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532D" w14:paraId="1E196983" w14:textId="77777777" w:rsidTr="0010095E">
        <w:trPr>
          <w:trHeight w:hRule="exact" w:val="1418"/>
        </w:trPr>
        <w:tc>
          <w:tcPr>
            <w:tcW w:w="6804" w:type="dxa"/>
            <w:shd w:val="clear" w:color="auto" w:fill="auto"/>
            <w:vAlign w:val="center"/>
          </w:tcPr>
          <w:p w14:paraId="51D60FDD" w14:textId="77777777" w:rsidR="00751A4A" w:rsidRPr="0071532D" w:rsidRDefault="00401488" w:rsidP="0010095E">
            <w:pPr>
              <w:pStyle w:val="EPName"/>
            </w:pPr>
            <w:r w:rsidRPr="0071532D">
              <w:t>Eiropas Parlaments</w:t>
            </w:r>
          </w:p>
          <w:p w14:paraId="1C2B80B5" w14:textId="77777777" w:rsidR="00751A4A" w:rsidRPr="0071532D" w:rsidRDefault="005F1B17" w:rsidP="005F1B17">
            <w:pPr>
              <w:pStyle w:val="EPTerm"/>
              <w:rPr>
                <w:rStyle w:val="HideTWBExt"/>
                <w:noProof w:val="0"/>
                <w:vanish w:val="0"/>
                <w:color w:val="auto"/>
              </w:rPr>
            </w:pPr>
            <w:r w:rsidRPr="0071532D">
              <w:t>2024</w:t>
            </w:r>
            <w:r w:rsidR="00817416" w:rsidRPr="0071532D">
              <w:t>-202</w:t>
            </w:r>
            <w:r w:rsidRPr="0071532D">
              <w:t>9</w:t>
            </w:r>
          </w:p>
        </w:tc>
        <w:tc>
          <w:tcPr>
            <w:tcW w:w="2268" w:type="dxa"/>
            <w:shd w:val="clear" w:color="auto" w:fill="auto"/>
          </w:tcPr>
          <w:p w14:paraId="4BF5570D" w14:textId="77777777" w:rsidR="00751A4A" w:rsidRPr="0071532D" w:rsidRDefault="00187494" w:rsidP="0010095E">
            <w:pPr>
              <w:pStyle w:val="EPLogo"/>
            </w:pPr>
            <w:r w:rsidRPr="0071532D">
              <w:rPr>
                <w:noProof/>
                <w:lang w:eastAsia="ja-JP"/>
              </w:rPr>
              <w:drawing>
                <wp:inline distT="0" distB="0" distL="0" distR="0" wp14:anchorId="6824856B" wp14:editId="5C1F54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F18D9F" w14:textId="77777777" w:rsidR="00D058B8" w:rsidRPr="0071532D" w:rsidRDefault="00D058B8" w:rsidP="004C5D52">
      <w:pPr>
        <w:pStyle w:val="LineTop"/>
      </w:pPr>
    </w:p>
    <w:p w14:paraId="00D2EE19" w14:textId="77777777" w:rsidR="00680577" w:rsidRPr="0071532D" w:rsidRDefault="00401488" w:rsidP="00680577">
      <w:pPr>
        <w:pStyle w:val="EPBodyTA1"/>
      </w:pPr>
      <w:r w:rsidRPr="0071532D">
        <w:t>PIEŅEMTIE TEKSTI</w:t>
      </w:r>
    </w:p>
    <w:p w14:paraId="3704E6AF" w14:textId="77777777" w:rsidR="00D058B8" w:rsidRPr="0071532D" w:rsidRDefault="00D058B8" w:rsidP="00D058B8">
      <w:pPr>
        <w:pStyle w:val="LineBottom"/>
      </w:pPr>
    </w:p>
    <w:p w14:paraId="5212AADB" w14:textId="033D69B2" w:rsidR="00401488" w:rsidRPr="0071532D" w:rsidRDefault="00401488" w:rsidP="00401488">
      <w:pPr>
        <w:pStyle w:val="ATHeading1"/>
      </w:pPr>
      <w:bookmarkStart w:id="0" w:name="TANumber"/>
      <w:r w:rsidRPr="0071532D">
        <w:t>P10_TA(2025)0</w:t>
      </w:r>
      <w:r w:rsidR="0067003F">
        <w:t>219</w:t>
      </w:r>
      <w:bookmarkEnd w:id="0"/>
    </w:p>
    <w:p w14:paraId="31316C5A" w14:textId="3128E02D" w:rsidR="00401488" w:rsidRPr="0071532D" w:rsidRDefault="005479ED" w:rsidP="00401488">
      <w:pPr>
        <w:pStyle w:val="ATHeading2"/>
      </w:pPr>
      <w:bookmarkStart w:id="1" w:name="title"/>
      <w:r w:rsidRPr="005479ED">
        <w:t xml:space="preserve">Eiropas Globalizācijas pielāgošanās fonda izmantošana: Vācijas pieteikums </w:t>
      </w:r>
      <w:r w:rsidRPr="00713A05">
        <w:t>EGF/2025/002</w:t>
      </w:r>
      <w:r w:rsidRPr="0067003F">
        <w:rPr>
          <w:i/>
          <w:iCs/>
        </w:rPr>
        <w:t xml:space="preserve"> </w:t>
      </w:r>
      <w:r w:rsidRPr="00713A05">
        <w:t>DE/</w:t>
      </w:r>
      <w:r w:rsidRPr="0067003F">
        <w:rPr>
          <w:i/>
          <w:iCs/>
        </w:rPr>
        <w:t xml:space="preserve">Goodyear </w:t>
      </w:r>
      <w:r w:rsidRPr="00713A05">
        <w:t>2</w:t>
      </w:r>
      <w:bookmarkEnd w:id="1"/>
    </w:p>
    <w:p w14:paraId="50167589" w14:textId="77777777" w:rsidR="00401488" w:rsidRPr="0071532D" w:rsidRDefault="00401488" w:rsidP="00401488">
      <w:pPr>
        <w:rPr>
          <w:i/>
          <w:vanish/>
        </w:rPr>
      </w:pPr>
      <w:r w:rsidRPr="0071532D">
        <w:rPr>
          <w:i/>
        </w:rPr>
        <w:fldChar w:fldCharType="begin"/>
      </w:r>
      <w:r w:rsidRPr="0071532D">
        <w:rPr>
          <w:i/>
        </w:rPr>
        <w:instrText xml:space="preserve"> TC"(</w:instrText>
      </w:r>
      <w:bookmarkStart w:id="2" w:name="DocNumber"/>
      <w:r w:rsidRPr="0071532D">
        <w:rPr>
          <w:i/>
        </w:rPr>
        <w:instrText>A10-0168/2025</w:instrText>
      </w:r>
      <w:bookmarkEnd w:id="2"/>
      <w:r w:rsidRPr="0071532D">
        <w:rPr>
          <w:i/>
        </w:rPr>
        <w:instrText xml:space="preserve"> - Referents: Olivier Chastel)"\l3 \n&gt; \* MERGEFORMAT </w:instrText>
      </w:r>
      <w:r w:rsidRPr="0071532D">
        <w:rPr>
          <w:i/>
        </w:rPr>
        <w:fldChar w:fldCharType="end"/>
      </w:r>
    </w:p>
    <w:p w14:paraId="08A7F57F" w14:textId="77777777" w:rsidR="00401488" w:rsidRPr="0071532D" w:rsidRDefault="00401488" w:rsidP="00401488">
      <w:pPr>
        <w:rPr>
          <w:vanish/>
        </w:rPr>
      </w:pPr>
      <w:bookmarkStart w:id="3" w:name="Commission"/>
      <w:r w:rsidRPr="0071532D">
        <w:rPr>
          <w:vanish/>
        </w:rPr>
        <w:t>Budžeta komiteja</w:t>
      </w:r>
      <w:bookmarkEnd w:id="3"/>
    </w:p>
    <w:p w14:paraId="2E81ABC1" w14:textId="77777777" w:rsidR="00401488" w:rsidRPr="0071532D" w:rsidRDefault="00401488" w:rsidP="00401488">
      <w:pPr>
        <w:rPr>
          <w:vanish/>
        </w:rPr>
      </w:pPr>
      <w:bookmarkStart w:id="4" w:name="PE"/>
      <w:r w:rsidRPr="0071532D">
        <w:rPr>
          <w:vanish/>
        </w:rPr>
        <w:t>PE776.828</w:t>
      </w:r>
      <w:bookmarkEnd w:id="4"/>
    </w:p>
    <w:p w14:paraId="3FA6E1CE" w14:textId="0A9A47CA" w:rsidR="00401488" w:rsidRPr="0071532D" w:rsidRDefault="00401488" w:rsidP="00401488">
      <w:pPr>
        <w:pStyle w:val="ATHeading3"/>
      </w:pPr>
      <w:bookmarkStart w:id="5" w:name="Sujet"/>
      <w:r w:rsidRPr="0071532D">
        <w:t xml:space="preserve">Eiropas Parlamenta 2025. gada </w:t>
      </w:r>
      <w:r w:rsidR="005479ED">
        <w:t>8. oktobra</w:t>
      </w:r>
      <w:r w:rsidRPr="0071532D">
        <w:t xml:space="preserve"> rezolūcija par priekšlikumu Eiropas Parlamenta un Padomes lēmumam par Eiropas Globalizācijas pielāgošanās fonda darbu zaudējušiem darba ņēmējiem izmantošanu saistībā ar Vācijas iesniegto pieteikumu </w:t>
      </w:r>
      <w:r w:rsidRPr="00713A05">
        <w:t>EGF/2025/002 DE/</w:t>
      </w:r>
      <w:r w:rsidRPr="0067003F">
        <w:rPr>
          <w:i/>
          <w:iCs/>
        </w:rPr>
        <w:t xml:space="preserve">Goodyear </w:t>
      </w:r>
      <w:r w:rsidRPr="00713A05">
        <w:t>2</w:t>
      </w:r>
      <w:bookmarkEnd w:id="5"/>
      <w:r w:rsidRPr="0071532D">
        <w:t xml:space="preserve"> </w:t>
      </w:r>
      <w:bookmarkStart w:id="6" w:name="References"/>
      <w:r w:rsidRPr="0071532D">
        <w:t>(COM(2025)0302 – C10-0182/2025 – 2025/0245(BUD))</w:t>
      </w:r>
      <w:bookmarkEnd w:id="6"/>
    </w:p>
    <w:p w14:paraId="0F97D722" w14:textId="77777777" w:rsidR="00D41D97" w:rsidRPr="0071532D" w:rsidRDefault="00D41D97" w:rsidP="00D41D97">
      <w:pPr>
        <w:pStyle w:val="EPComma"/>
        <w:rPr>
          <w:noProof/>
        </w:rPr>
      </w:pPr>
      <w:r w:rsidRPr="0071532D">
        <w:rPr>
          <w:i/>
        </w:rPr>
        <w:t>Eiropas Parlaments</w:t>
      </w:r>
      <w:r w:rsidRPr="0071532D">
        <w:t>,</w:t>
      </w:r>
    </w:p>
    <w:p w14:paraId="4F24EAF3" w14:textId="77777777" w:rsidR="00D41D97" w:rsidRPr="0071532D" w:rsidRDefault="00D41D97" w:rsidP="00D41D97">
      <w:pPr>
        <w:pStyle w:val="NormalHanging12a"/>
        <w:rPr>
          <w:noProof/>
        </w:rPr>
      </w:pPr>
      <w:r w:rsidRPr="0071532D">
        <w:t>–</w:t>
      </w:r>
      <w:r w:rsidRPr="0071532D">
        <w:tab/>
        <w:t>ņemot vērā Komisijas priekšlikumu Eiropas Parlamentam un Padomei (COM(2025)0302 – C10-0182/2025),</w:t>
      </w:r>
    </w:p>
    <w:p w14:paraId="56563D93" w14:textId="77777777" w:rsidR="00D41D97" w:rsidRPr="0071532D" w:rsidRDefault="00D41D97" w:rsidP="00D41D97">
      <w:pPr>
        <w:pStyle w:val="NormalHanging12a"/>
        <w:rPr>
          <w:noProof/>
        </w:rPr>
      </w:pPr>
      <w:r w:rsidRPr="0071532D">
        <w:t>–</w:t>
      </w:r>
      <w:r w:rsidRPr="0071532D">
        <w:tab/>
        <w:t>ņemot vērā Eiropas Parlamenta un Padomes 2021. gada 28. aprīļa Regulu (ES) 2021/691 par Eiropas Globalizācijas pielāgošanās fondu darbu zaudējušiem darba ņēmējiem (EGF) un ar ko atceļ Regulu (ES) Nr. 1309/2013</w:t>
      </w:r>
      <w:r w:rsidRPr="0071532D">
        <w:rPr>
          <w:rStyle w:val="FootnoteReference"/>
          <w:noProof/>
        </w:rPr>
        <w:footnoteReference w:id="1"/>
      </w:r>
      <w:r w:rsidRPr="0071532D">
        <w:t xml:space="preserve"> (“EGF regula”),</w:t>
      </w:r>
    </w:p>
    <w:p w14:paraId="45850D50" w14:textId="77777777" w:rsidR="00D41D97" w:rsidRPr="0071532D" w:rsidRDefault="00D41D97" w:rsidP="00D41D97">
      <w:pPr>
        <w:pStyle w:val="NormalHanging12a"/>
        <w:rPr>
          <w:noProof/>
        </w:rPr>
      </w:pPr>
      <w:r w:rsidRPr="0071532D">
        <w:t>–</w:t>
      </w:r>
      <w:r w:rsidRPr="0071532D">
        <w:tab/>
        <w:t xml:space="preserve">ņemot vērā Padomes 2020. gada 17. decembra Regulu (ES, </w:t>
      </w:r>
      <w:r w:rsidRPr="0071532D">
        <w:rPr>
          <w:i/>
        </w:rPr>
        <w:t>Euratom</w:t>
      </w:r>
      <w:r w:rsidRPr="0071532D">
        <w:t>) 2020/2093, ar ko nosaka daudzgadu finanšu shēmu 2021.–2027. gadam</w:t>
      </w:r>
      <w:r w:rsidRPr="0071532D">
        <w:rPr>
          <w:rStyle w:val="FootnoteReference"/>
          <w:noProof/>
        </w:rPr>
        <w:footnoteReference w:id="2"/>
      </w:r>
      <w:r w:rsidRPr="0071532D">
        <w:t xml:space="preserve">, kurā izdarīti grozījumi ar Regulu (ES, </w:t>
      </w:r>
      <w:r w:rsidRPr="0071532D">
        <w:rPr>
          <w:i/>
        </w:rPr>
        <w:t>Euratom</w:t>
      </w:r>
      <w:r w:rsidRPr="0071532D">
        <w:t>) 2024/765</w:t>
      </w:r>
      <w:r w:rsidRPr="0071532D">
        <w:rPr>
          <w:rStyle w:val="FootnoteReference"/>
          <w:bdr w:val="none" w:sz="0" w:space="0" w:color="auto" w:frame="1"/>
        </w:rPr>
        <w:footnoteReference w:id="3"/>
      </w:r>
      <w:r w:rsidRPr="0071532D">
        <w:t>, un jo īpaši tās 8. pantu,</w:t>
      </w:r>
    </w:p>
    <w:p w14:paraId="1C5C98E5" w14:textId="77777777" w:rsidR="00D41D97" w:rsidRPr="0071532D" w:rsidRDefault="00D41D97" w:rsidP="00D41D97">
      <w:pPr>
        <w:pStyle w:val="NormalHanging12a"/>
        <w:rPr>
          <w:noProof/>
        </w:rPr>
      </w:pPr>
      <w:r w:rsidRPr="0071532D">
        <w:t>–</w:t>
      </w:r>
      <w:r w:rsidRPr="0071532D">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71532D">
        <w:rPr>
          <w:rStyle w:val="FootnoteReference"/>
          <w:noProof/>
        </w:rPr>
        <w:footnoteReference w:id="4"/>
      </w:r>
      <w:r w:rsidRPr="0071532D">
        <w:t>, un jo īpaši tā 9. punktu,</w:t>
      </w:r>
    </w:p>
    <w:p w14:paraId="27625313" w14:textId="77777777" w:rsidR="00D41D97" w:rsidRPr="0071532D" w:rsidRDefault="00D41D97" w:rsidP="00D41D97">
      <w:pPr>
        <w:pStyle w:val="NormalHanging12a"/>
        <w:rPr>
          <w:noProof/>
        </w:rPr>
      </w:pPr>
      <w:r w:rsidRPr="0071532D">
        <w:t>–</w:t>
      </w:r>
      <w:r w:rsidRPr="0071532D">
        <w:tab/>
        <w:t>ņemot vērā Nodarbinātības un sociālo lietu komitejas vēstuli,</w:t>
      </w:r>
    </w:p>
    <w:p w14:paraId="0219B721" w14:textId="77777777" w:rsidR="00D41D97" w:rsidRPr="0071532D" w:rsidRDefault="00D41D97" w:rsidP="00D41D97">
      <w:pPr>
        <w:pStyle w:val="NormalHanging12a"/>
      </w:pPr>
      <w:r w:rsidRPr="0071532D">
        <w:t>–</w:t>
      </w:r>
      <w:r w:rsidRPr="0071532D">
        <w:tab/>
        <w:t xml:space="preserve">ņemot vērā Budžeta komitejas ziņojumu (A10-0168/2025), </w:t>
      </w:r>
    </w:p>
    <w:p w14:paraId="2F931B72" w14:textId="77777777" w:rsidR="00D41D97" w:rsidRPr="0071532D" w:rsidRDefault="00D41D97" w:rsidP="00D41D97">
      <w:pPr>
        <w:pStyle w:val="NormalHanging12a"/>
        <w:rPr>
          <w:noProof/>
        </w:rPr>
      </w:pPr>
      <w:r w:rsidRPr="0071532D">
        <w:lastRenderedPageBreak/>
        <w:t>A.</w:t>
      </w:r>
      <w:r w:rsidRPr="0071532D">
        <w:tab/>
        <w:t>tā kā Savienība ir izveidojusi likumdošanas un budžeta instrumentus, lai sniegtu papildu atbalstu darba ņēmējiem, kurus nelabvēlīgi ietekmējušas lielas strukturālas pārmaiņas pasaules tirdzniecības modeļos vai globālā finanšu un ekonomikas krīze, un lai palīdzētu viņiem no jauna iekļauties darba tirgū; tā kā šī palīdzība izpaužas kā finansiāls atbalsts darba ņēmējiem un uzņēmumiem, kuros tie strādājuši;</w:t>
      </w:r>
    </w:p>
    <w:p w14:paraId="3990AF92" w14:textId="77777777" w:rsidR="00D41D97" w:rsidRPr="0071532D" w:rsidRDefault="00D41D97" w:rsidP="00D41D97">
      <w:pPr>
        <w:pStyle w:val="NormalHanging12a"/>
      </w:pPr>
      <w:r w:rsidRPr="0071532D">
        <w:t xml:space="preserve">B. </w:t>
      </w:r>
      <w:r w:rsidRPr="0071532D">
        <w:tab/>
        <w:t>tā kā Vācija ir iesniegusi pieteikumu EGF/2025/002 DE/</w:t>
      </w:r>
      <w:r w:rsidRPr="0071532D">
        <w:rPr>
          <w:i/>
        </w:rPr>
        <w:t>Goodyear 2</w:t>
      </w:r>
      <w:r w:rsidRPr="0071532D">
        <w:t xml:space="preserve"> par finansiālās iemaksas saņemšanu no Eiropas Globalizācijas pielāgošanās fonda (EGF), ņemot vērā to, ka ekonomikas sektorā, kas klasificēts NACE 2. redakcijas 22. nodaļā (Gumijas un plastmasas izstrādājumu ražošana), Kaseles (DE73) un Darmštates (DE71) reģionā darbu zaudējis pavisam 1171 darba ņēmējs</w:t>
      </w:r>
      <w:r w:rsidRPr="0071532D">
        <w:rPr>
          <w:rStyle w:val="FootnoteReference"/>
        </w:rPr>
        <w:footnoteReference w:id="5"/>
      </w:r>
      <w:r w:rsidRPr="0071532D">
        <w:t xml:space="preserve">: 747 – pieteikuma atsauces periodā no 2024. gada 1. septembra līdz 2025. gada 1. janvārim, bet 424 – pirms vai pēc atsauces perioda; </w:t>
      </w:r>
    </w:p>
    <w:p w14:paraId="7EAC45A2" w14:textId="0530308B" w:rsidR="00D41D97" w:rsidRPr="0071532D" w:rsidRDefault="00D41D97" w:rsidP="00D41D97">
      <w:pPr>
        <w:pStyle w:val="NormalHanging12a"/>
      </w:pPr>
      <w:r w:rsidRPr="0071532D">
        <w:t>C.</w:t>
      </w:r>
      <w:r w:rsidRPr="0071532D">
        <w:tab/>
        <w:t xml:space="preserve">tā kā pieteikums attiecas uz 424 darba ņēmējiem, kuri darbu zaudēja pirms vai pēc </w:t>
      </w:r>
      <w:r w:rsidR="00713A05" w:rsidRPr="0071532D">
        <w:t>četru</w:t>
      </w:r>
      <w:r w:rsidR="00713A05">
        <w:t xml:space="preserve"> </w:t>
      </w:r>
      <w:r w:rsidRPr="0071532D">
        <w:t>mēnešu atsauces perioda, ja var noteikt skaidru cēloņsakarību ar notikumu, kurš izraisīja darba zaudējumu atsauces periodā, kā to paredz EGF regulas 6. panta otrā daļa;</w:t>
      </w:r>
      <w:r w:rsidRPr="0071532D">
        <w:rPr>
          <w:sz w:val="23"/>
        </w:rPr>
        <w:t xml:space="preserve"> </w:t>
      </w:r>
    </w:p>
    <w:p w14:paraId="31F850A3" w14:textId="54C772AB" w:rsidR="00D41D97" w:rsidRPr="0071532D" w:rsidRDefault="00D41D97" w:rsidP="00D41D97">
      <w:pPr>
        <w:pStyle w:val="NormalHanging12a"/>
      </w:pPr>
      <w:r w:rsidRPr="0071532D">
        <w:t>D.</w:t>
      </w:r>
      <w:r w:rsidRPr="0071532D">
        <w:tab/>
        <w:t xml:space="preserve">tā kā pieteikums pamatojas uz intervences kritērijiem EGF regulas 4. panta 2. punkta a) apakšpunktā, kurā paredzēts nosacījums, ka četru mēnešu atsauces periodā darbu zaudējuši vismaz 200 darba ņēmēji kādā dalībvalsts uzņēmumā vai </w:t>
      </w:r>
      <w:proofErr w:type="spellStart"/>
      <w:r w:rsidRPr="0071532D">
        <w:t>pašnodarbinātas</w:t>
      </w:r>
      <w:proofErr w:type="spellEnd"/>
      <w:r w:rsidRPr="0071532D">
        <w:t xml:space="preserve"> personas, ieskaitot darbu zaudējušus darba ņēmējus attiecīgajos piegādes uzņēmumos un pakārtotās ražošanas uzņēmumos;</w:t>
      </w:r>
    </w:p>
    <w:p w14:paraId="1E3A4F90" w14:textId="29E30E54" w:rsidR="00D41D97" w:rsidRPr="0071532D" w:rsidRDefault="00D41D97" w:rsidP="00D41D97">
      <w:pPr>
        <w:pStyle w:val="NormalHanging12a"/>
        <w:rPr>
          <w:noProof/>
          <w:color w:val="7030A0"/>
        </w:rPr>
      </w:pPr>
      <w:r w:rsidRPr="0071532D">
        <w:t xml:space="preserve">E. </w:t>
      </w:r>
      <w:r w:rsidRPr="0071532D">
        <w:tab/>
        <w:t xml:space="preserve">tā kā Krievijas agresijas karš pret Ukrainu un pieaugošā inflācija ir ietekmējuši enerģijas, materiālu un darbaspēka izmaksas, palielinot spiedienu uz </w:t>
      </w:r>
      <w:r w:rsidR="005479ED" w:rsidRPr="0067003F">
        <w:rPr>
          <w:i/>
          <w:iCs/>
          <w:noProof/>
        </w:rPr>
        <w:t xml:space="preserve">Goodyear </w:t>
      </w:r>
      <w:r w:rsidRPr="0071532D">
        <w:t xml:space="preserve">uzņēmuma peļņu; </w:t>
      </w:r>
    </w:p>
    <w:p w14:paraId="3E0B12B1" w14:textId="77777777" w:rsidR="00D41D97" w:rsidRPr="0071532D" w:rsidRDefault="00D41D97" w:rsidP="00D41D97">
      <w:pPr>
        <w:pStyle w:val="NormalHanging12a"/>
        <w:rPr>
          <w:noProof/>
        </w:rPr>
      </w:pPr>
      <w:r w:rsidRPr="0071532D">
        <w:t xml:space="preserve">F. </w:t>
      </w:r>
      <w:r w:rsidRPr="0071532D">
        <w:tab/>
        <w:t xml:space="preserve">tā kā </w:t>
      </w:r>
      <w:r w:rsidRPr="0071532D">
        <w:rPr>
          <w:i/>
        </w:rPr>
        <w:t xml:space="preserve">Goodyear </w:t>
      </w:r>
      <w:proofErr w:type="spellStart"/>
      <w:r w:rsidRPr="0071532D">
        <w:rPr>
          <w:i/>
        </w:rPr>
        <w:t>Germany</w:t>
      </w:r>
      <w:proofErr w:type="spellEnd"/>
      <w:r w:rsidRPr="0071532D">
        <w:rPr>
          <w:i/>
        </w:rPr>
        <w:t xml:space="preserve"> </w:t>
      </w:r>
      <w:proofErr w:type="spellStart"/>
      <w:r w:rsidRPr="0071532D">
        <w:rPr>
          <w:i/>
        </w:rPr>
        <w:t>GmbH</w:t>
      </w:r>
      <w:proofErr w:type="spellEnd"/>
      <w:r w:rsidRPr="0071532D">
        <w:t xml:space="preserve"> specializējas gumijas un plastmasas izstrādājumu, jo īpaši riepu, ražošanā; tā kā uzņēmumu ir būtiski ietekmējusi pastiprināta konkurence, ko rada Āzijas izcelsmes lēto izstrādājumu imports; </w:t>
      </w:r>
    </w:p>
    <w:p w14:paraId="49D8DFCD" w14:textId="0D489602" w:rsidR="00D41D97" w:rsidRPr="0071532D" w:rsidRDefault="00D41D97" w:rsidP="00D41D97">
      <w:pPr>
        <w:pStyle w:val="NormalHanging12a"/>
        <w:rPr>
          <w:noProof/>
        </w:rPr>
      </w:pPr>
      <w:r w:rsidRPr="0071532D">
        <w:t>G.</w:t>
      </w:r>
      <w:r w:rsidRPr="0071532D">
        <w:tab/>
        <w:t xml:space="preserve">tā kā šī ir otrā EGF izmantošana, ko Vācijas iestādes pieprasījušas pēc </w:t>
      </w:r>
      <w:r w:rsidRPr="0071532D">
        <w:rPr>
          <w:i/>
          <w:iCs/>
        </w:rPr>
        <w:t>Goodyear</w:t>
      </w:r>
      <w:r w:rsidRPr="0071532D">
        <w:t xml:space="preserve"> uzņēmuma pārstrukturēšanas, jo EGF tika izmantots pēc </w:t>
      </w:r>
      <w:r w:rsidR="00322FCE">
        <w:t xml:space="preserve">vienas no </w:t>
      </w:r>
      <w:r w:rsidRPr="0071532D">
        <w:t>uzņēmuma rūpnīc</w:t>
      </w:r>
      <w:r w:rsidR="00322FCE">
        <w:t>ām</w:t>
      </w:r>
      <w:r w:rsidRPr="0071532D">
        <w:t xml:space="preserve"> slēgšanas </w:t>
      </w:r>
      <w:proofErr w:type="spellStart"/>
      <w:r w:rsidR="00322FCE" w:rsidRPr="0071532D">
        <w:t>Filipsburg</w:t>
      </w:r>
      <w:r w:rsidR="00322FCE">
        <w:t>ā</w:t>
      </w:r>
      <w:proofErr w:type="spellEnd"/>
      <w:r w:rsidR="00322FCE" w:rsidRPr="0071532D">
        <w:t xml:space="preserve"> </w:t>
      </w:r>
      <w:r w:rsidRPr="0071532D">
        <w:t>2017. gadā;</w:t>
      </w:r>
    </w:p>
    <w:p w14:paraId="200E8A99" w14:textId="77777777" w:rsidR="00D41D97" w:rsidRPr="0071532D" w:rsidRDefault="00D41D97" w:rsidP="00D41D97">
      <w:pPr>
        <w:pStyle w:val="NormalHanging12a"/>
        <w:rPr>
          <w:noProof/>
        </w:rPr>
      </w:pPr>
      <w:r w:rsidRPr="0071532D">
        <w:t>H.</w:t>
      </w:r>
      <w:r w:rsidRPr="0071532D">
        <w:rPr>
          <w:color w:val="7030A0"/>
        </w:rPr>
        <w:tab/>
      </w:r>
      <w:r w:rsidRPr="0071532D">
        <w:t>tā kā straujais pieprasījuma kritums apvienojumā ar ražošanas izmaksu pieaugumu lika uzņēmumam uzsākt pārstrukturēšanas procesu, kura dēļ 2024. gadā viena ražotne Vācijā tika pilnībā, bet otra daļēji slēgta;</w:t>
      </w:r>
    </w:p>
    <w:p w14:paraId="68E7E23A" w14:textId="77777777" w:rsidR="00D41D97" w:rsidRPr="0071532D" w:rsidRDefault="00D41D97" w:rsidP="00D41D97">
      <w:pPr>
        <w:pStyle w:val="NormalHanging12a"/>
        <w:jc w:val="both"/>
      </w:pPr>
      <w:r w:rsidRPr="0071532D">
        <w:t>I.</w:t>
      </w:r>
      <w:r w:rsidRPr="0071532D">
        <w:tab/>
        <w:t xml:space="preserve">tā kā Vācijas federālais budžets, kā arī </w:t>
      </w:r>
      <w:proofErr w:type="spellStart"/>
      <w:r w:rsidRPr="0071532D">
        <w:rPr>
          <w:i/>
        </w:rPr>
        <w:t>Bundesagentur</w:t>
      </w:r>
      <w:proofErr w:type="spellEnd"/>
      <w:r w:rsidRPr="0071532D">
        <w:rPr>
          <w:i/>
        </w:rPr>
        <w:t xml:space="preserve"> </w:t>
      </w:r>
      <w:proofErr w:type="spellStart"/>
      <w:r w:rsidRPr="0071532D">
        <w:rPr>
          <w:i/>
        </w:rPr>
        <w:t>für</w:t>
      </w:r>
      <w:proofErr w:type="spellEnd"/>
      <w:r w:rsidRPr="0071532D">
        <w:rPr>
          <w:i/>
        </w:rPr>
        <w:t xml:space="preserve"> </w:t>
      </w:r>
      <w:proofErr w:type="spellStart"/>
      <w:r w:rsidRPr="0071532D">
        <w:rPr>
          <w:i/>
        </w:rPr>
        <w:t>Arbeit</w:t>
      </w:r>
      <w:proofErr w:type="spellEnd"/>
      <w:r w:rsidRPr="0071532D">
        <w:t xml:space="preserve"> nodrošina pasākumu valsts </w:t>
      </w:r>
      <w:proofErr w:type="spellStart"/>
      <w:r w:rsidRPr="0071532D">
        <w:t>priekšfinansējumu</w:t>
      </w:r>
      <w:proofErr w:type="spellEnd"/>
      <w:r w:rsidRPr="0071532D">
        <w:t xml:space="preserve"> un līdzfinansējumu;</w:t>
      </w:r>
    </w:p>
    <w:p w14:paraId="22DEB253" w14:textId="34AF7178" w:rsidR="00D41D97" w:rsidRPr="0071532D" w:rsidRDefault="00D41D97" w:rsidP="00D41D97">
      <w:pPr>
        <w:pStyle w:val="NormalHanging12a"/>
        <w:jc w:val="both"/>
      </w:pPr>
      <w:r w:rsidRPr="0071532D">
        <w:t>J.</w:t>
      </w:r>
      <w:r w:rsidRPr="0071532D">
        <w:tab/>
        <w:t xml:space="preserve">tā kā ir ievērotas </w:t>
      </w:r>
      <w:r w:rsidR="00322FCE">
        <w:t>Savienības</w:t>
      </w:r>
      <w:r w:rsidR="00322FCE" w:rsidRPr="0071532D">
        <w:t xml:space="preserve"> </w:t>
      </w:r>
      <w:r w:rsidRPr="0071532D">
        <w:t>un valsts tiesību aktos paredzētās prasības attiecībā uz kolektīvo atlaišanu;</w:t>
      </w:r>
    </w:p>
    <w:p w14:paraId="546BD92B" w14:textId="77777777" w:rsidR="00D41D97" w:rsidRPr="0071532D" w:rsidRDefault="00D41D97" w:rsidP="00D41D97">
      <w:pPr>
        <w:pStyle w:val="NormalHanging12a"/>
      </w:pPr>
      <w:r w:rsidRPr="0071532D">
        <w:t>K.</w:t>
      </w:r>
      <w:r w:rsidRPr="0071532D">
        <w:tab/>
        <w:t xml:space="preserve">tā kā EGF finansiālās iemaksas galvenokārt būtu jānovirza aktīviem darba tirgus politikas pasākumiem un individualizētiem pakalpojumiem, kuru mērķis ir ātri no jauna integrēt atbalsta saņēmējus pienācīgā un ilgtspējīgā nodarbinātībā viņu sākotnējā darbības nozarē vai ārpus tās, vienlaikus sagatavojot tos zaļākai un digitālākai Eiropas </w:t>
      </w:r>
      <w:r w:rsidRPr="0071532D">
        <w:lastRenderedPageBreak/>
        <w:t>ekonomikai;</w:t>
      </w:r>
    </w:p>
    <w:p w14:paraId="4877173E" w14:textId="77777777" w:rsidR="00D41D97" w:rsidRPr="0071532D" w:rsidRDefault="00D41D97" w:rsidP="00D41D97">
      <w:pPr>
        <w:widowControl/>
        <w:spacing w:after="240"/>
        <w:ind w:left="567" w:hanging="567"/>
        <w:rPr>
          <w:szCs w:val="24"/>
        </w:rPr>
      </w:pPr>
      <w:r w:rsidRPr="0071532D">
        <w:t>L.</w:t>
      </w:r>
      <w:r w:rsidRPr="0071532D">
        <w:rPr>
          <w:color w:val="7030A0"/>
        </w:rPr>
        <w:tab/>
      </w:r>
      <w:r w:rsidRPr="0071532D">
        <w:t xml:space="preserve">tā kā EGF maksimālais gada apjoms nedrīkst pārsniegt 30 miljonus EUR (2018. gada cenās), kā noteikts 8. pantā Regulā (ES, </w:t>
      </w:r>
      <w:r w:rsidRPr="0071532D">
        <w:rPr>
          <w:i/>
        </w:rPr>
        <w:t>Euratom</w:t>
      </w:r>
      <w:r w:rsidRPr="0071532D">
        <w:t xml:space="preserve">) 2020/2093, kas grozīta ar Padomes Regulu (ES, </w:t>
      </w:r>
      <w:r w:rsidRPr="0071532D">
        <w:rPr>
          <w:i/>
        </w:rPr>
        <w:t>Euratom</w:t>
      </w:r>
      <w:r w:rsidRPr="0071532D">
        <w:t xml:space="preserve">) 2024/765; </w:t>
      </w:r>
    </w:p>
    <w:p w14:paraId="1BC39073" w14:textId="77777777" w:rsidR="00D41D97" w:rsidRPr="0071532D" w:rsidRDefault="00D41D97" w:rsidP="00D41D97">
      <w:pPr>
        <w:pStyle w:val="NormalHanging12a"/>
      </w:pPr>
      <w:r w:rsidRPr="0071532D">
        <w:t>1.</w:t>
      </w:r>
      <w:r w:rsidRPr="0071532D">
        <w:tab/>
        <w:t>piekrīt Komisijai, ka EGF regulas 4. panta 2. punkta a) apakšpunktā paredzētie nosacījumi ir ievēroti un ka Vācija saskaņā ar minēto regulu ir tiesīga saņemt finansiālu iemaksu 3 085 166 EUR apmērā, kas ir 60 % no kopējām izmaksām, proti, 5 141 944 EUR, kuras aptver izdevumus par individualizētajiem pakalpojumiem 4 936 274 EUR apmērā un izdevumus par sagatavošanās, pārvaldības, informācijas un reklāmas, kontroles un ziņošanas darbībām 205 670 EUR apmērā;</w:t>
      </w:r>
    </w:p>
    <w:p w14:paraId="388946F9" w14:textId="77777777" w:rsidR="00D41D97" w:rsidRPr="0071532D" w:rsidRDefault="00D41D97" w:rsidP="00D41D97">
      <w:pPr>
        <w:pStyle w:val="NormalHanging12a"/>
      </w:pPr>
      <w:r w:rsidRPr="0071532D">
        <w:t xml:space="preserve">2. </w:t>
      </w:r>
      <w:r w:rsidRPr="0071532D">
        <w:tab/>
        <w:t xml:space="preserve">norāda, ka Vācijas iestādes pieteikumu iesniedza 2025. gada 10. martā un pēc tam, kad Vācija bija sniegusi papildu informāciju, Komisija pieteikuma novērtēšanu pabeidza 2025. gada 29. jūlijā, vairāk nekā četrus mēnešus vēlāk, un 2025. gada 26. augustā par to paziņoja Parlamentam; </w:t>
      </w:r>
    </w:p>
    <w:p w14:paraId="057484F8" w14:textId="77777777" w:rsidR="00D41D97" w:rsidRPr="0071532D" w:rsidRDefault="00D41D97" w:rsidP="00D41D97">
      <w:pPr>
        <w:pStyle w:val="NormalHanging12a"/>
      </w:pPr>
      <w:r w:rsidRPr="0071532D">
        <w:t>3.</w:t>
      </w:r>
      <w:r w:rsidRPr="0071532D">
        <w:tab/>
        <w:t xml:space="preserve">norāda, ka piemērošanas jomā ir iekļauts 1171 darba ņēmējs, kuru </w:t>
      </w:r>
      <w:proofErr w:type="spellStart"/>
      <w:r w:rsidRPr="0071532D">
        <w:t>skārusi</w:t>
      </w:r>
      <w:proofErr w:type="spellEnd"/>
      <w:r w:rsidRPr="0071532D">
        <w:t xml:space="preserve"> darbinieku atlaišana ražotnes </w:t>
      </w:r>
      <w:proofErr w:type="spellStart"/>
      <w:r w:rsidRPr="0071532D">
        <w:t>Fuldā</w:t>
      </w:r>
      <w:proofErr w:type="spellEnd"/>
      <w:r w:rsidRPr="0071532D">
        <w:t xml:space="preserve"> pilnīgas un ražotnes </w:t>
      </w:r>
      <w:proofErr w:type="spellStart"/>
      <w:r w:rsidRPr="0071532D">
        <w:t>Hānavā</w:t>
      </w:r>
      <w:proofErr w:type="spellEnd"/>
      <w:r w:rsidRPr="0071532D">
        <w:t xml:space="preserve"> daļējas slēgšanas rezultātā. turklāt norāda, ka atbalsts un gaidāmā dalība pasākumos ir paredzēta kopumā 915 darbu zaudējušiem darba ņēmējiem;</w:t>
      </w:r>
    </w:p>
    <w:p w14:paraId="621DCEA5" w14:textId="77777777" w:rsidR="00D41D97" w:rsidRPr="0071532D" w:rsidRDefault="00D41D97" w:rsidP="00D41D97">
      <w:pPr>
        <w:pStyle w:val="NormalHanging12a"/>
      </w:pPr>
      <w:r w:rsidRPr="0071532D">
        <w:t>4.</w:t>
      </w:r>
      <w:r w:rsidRPr="0071532D">
        <w:tab/>
        <w:t xml:space="preserve">pieņem zināšanai, ka lielākajai daļai darbu zaudējušo darba ņēmēju ir zems izglītības līmenis (56 % ar zemākā līmeņa vidējo izglītību vai mazāk) un ir 54 gadus veci vai vecāki (42 %); uzsver, ka jo īpaši vecāki darba ņēmēji ir ļoti neaizsargāta grupa, kas saskaras ar ievērojamiem šķēršļiem darba atsākšanai, jo tiem ir ierobežotas prasmju pilnveides un </w:t>
      </w:r>
      <w:proofErr w:type="spellStart"/>
      <w:r w:rsidRPr="0071532D">
        <w:t>pārkvalifikācijas</w:t>
      </w:r>
      <w:proofErr w:type="spellEnd"/>
      <w:r w:rsidRPr="0071532D">
        <w:t xml:space="preserve"> iespējas; </w:t>
      </w:r>
    </w:p>
    <w:p w14:paraId="2C8D84C2" w14:textId="4AF71FD1" w:rsidR="00D41D97" w:rsidRPr="0071532D" w:rsidRDefault="00D41D97" w:rsidP="00D41D97">
      <w:pPr>
        <w:pStyle w:val="NormalHanging12a"/>
      </w:pPr>
      <w:bookmarkStart w:id="7" w:name="_Hlk210736149"/>
      <w:r w:rsidRPr="0071532D">
        <w:t>5.</w:t>
      </w:r>
      <w:r w:rsidRPr="0071532D">
        <w:tab/>
      </w:r>
      <w:r w:rsidR="00B152D1" w:rsidRPr="0071532D">
        <w:t xml:space="preserve">norāda, ka </w:t>
      </w:r>
      <w:r w:rsidR="00B152D1" w:rsidRPr="0071532D">
        <w:rPr>
          <w:i/>
          <w:iCs/>
        </w:rPr>
        <w:t>Goodyear</w:t>
      </w:r>
      <w:r w:rsidR="00B152D1" w:rsidRPr="0071532D">
        <w:t xml:space="preserve"> darbinieku atlaišana palielināja ikgadējo bezdarba līmeni </w:t>
      </w:r>
      <w:proofErr w:type="spellStart"/>
      <w:r w:rsidR="00B152D1" w:rsidRPr="00322FCE">
        <w:t>Fuldas</w:t>
      </w:r>
      <w:proofErr w:type="spellEnd"/>
      <w:r w:rsidR="00B152D1" w:rsidRPr="00322FCE">
        <w:t xml:space="preserve"> </w:t>
      </w:r>
      <w:r w:rsidR="00B152D1" w:rsidRPr="0071532D">
        <w:t xml:space="preserve">reģionā </w:t>
      </w:r>
      <w:r w:rsidR="00B152D1">
        <w:t xml:space="preserve">par </w:t>
      </w:r>
      <w:r w:rsidR="00B152D1" w:rsidRPr="0071532D">
        <w:t>vairāk nekā 10 %, nesamērīgi ietekmējot strādājošos vīriešus un personas, kas vecākas par 50 gadiem, – daudziem no viņiem ir novecojušas kvalifikācijas un viņu prasmju kopums neatbilst pašreizējām darba tirgus prasībām; uzsver, ka ir ātri jārīkojas, lai nepieļautu strukturālu reģionālo lejupslīdi, un uzsver, ka ir svarīgi veicināt kvalitatīvas un uz nākotni orientētas darbvietas, lai nodrošinātu ilgtermiņa ekonomisko un sociālo noturību</w:t>
      </w:r>
      <w:r w:rsidRPr="0071532D">
        <w:t>;</w:t>
      </w:r>
    </w:p>
    <w:bookmarkEnd w:id="7"/>
    <w:p w14:paraId="4C2AC0C5" w14:textId="77777777" w:rsidR="00D41D97" w:rsidRPr="0071532D" w:rsidRDefault="00D41D97" w:rsidP="00D41D97">
      <w:pPr>
        <w:pStyle w:val="NormalHanging12a"/>
      </w:pPr>
      <w:r w:rsidRPr="0071532D">
        <w:t>6.</w:t>
      </w:r>
      <w:r w:rsidRPr="0071532D">
        <w:tab/>
        <w:t xml:space="preserve">atgādina, ka atlaistajiem darba ņēmējiem sniedzamie individualizētie pakalpojumi ietver šādas darbības: būtiski prasmju pilnveides vai </w:t>
      </w:r>
      <w:proofErr w:type="spellStart"/>
      <w:r w:rsidRPr="0071532D">
        <w:t>pārkvalifikācijas</w:t>
      </w:r>
      <w:proofErr w:type="spellEnd"/>
      <w:r w:rsidRPr="0071532D">
        <w:t xml:space="preserve"> pasākumi, orientācija un konsultācijas un profesionālās orientācijas un aktivizācijas pasākumi, uzņēmējdarbības sākšanas konsultāciju pakalpojumi un dotācijas, palīdzība darba meklēšanā, prasmju pilnveides un papildu stimuli, apmācības pabalsti, digitālā apmācība; šajā kontekstā uzsver, ka labi apmācīts darbaspēks ir būtisks nākotnes prasībām atbilstošas Eiropas ekonomikas priekšnoteikums;</w:t>
      </w:r>
    </w:p>
    <w:p w14:paraId="1F322B8C" w14:textId="77777777" w:rsidR="00D41D97" w:rsidRPr="0071532D" w:rsidRDefault="00D41D97" w:rsidP="00D41D97">
      <w:pPr>
        <w:pStyle w:val="NormalHanging12a"/>
      </w:pPr>
      <w:r w:rsidRPr="0071532D">
        <w:t>7.</w:t>
      </w:r>
      <w:r w:rsidRPr="0071532D">
        <w:tab/>
        <w:t>uzskata, ka Savienības un dalībvalstu sociālā atbildība ir nodrošināt šiem atlaistajiem darba ņēmējiem kvalifikāciju, kas nepieciešama nākotnes prasībām atbilstošai Eiropas ekonomikai, kura īsteno digitālo un zaļo pārkārtošanos; tādēļ uzskata, ka EGF izmantošana ir jāiekļauj plašākā politikas reakcijā;</w:t>
      </w:r>
    </w:p>
    <w:p w14:paraId="62BD5580" w14:textId="77777777" w:rsidR="00D41D97" w:rsidRPr="0071532D" w:rsidRDefault="00D41D97" w:rsidP="00D41D97">
      <w:pPr>
        <w:pStyle w:val="NormalHanging12a"/>
      </w:pPr>
      <w:r w:rsidRPr="0071532D">
        <w:t>8.</w:t>
      </w:r>
      <w:r w:rsidRPr="0071532D">
        <w:tab/>
        <w:t xml:space="preserve">prasa veikt rūpīgu galīgo novērtējumu par īstenotajiem pasākumiem, iekļaujot datus par </w:t>
      </w:r>
      <w:r w:rsidRPr="0071532D">
        <w:lastRenderedPageBreak/>
        <w:t xml:space="preserve">to darba ņēmēju skaitu, kuri ir veiksmīgi </w:t>
      </w:r>
      <w:proofErr w:type="spellStart"/>
      <w:r w:rsidRPr="0071532D">
        <w:t>reintegrēti</w:t>
      </w:r>
      <w:proofErr w:type="spellEnd"/>
      <w:r w:rsidRPr="0071532D">
        <w:t xml:space="preserve"> darba tirgū, kā arī par to darba ņēmēju skaitu, kuri ir pabeiguši apmācības un prasmju pilnveides pasākumus;</w:t>
      </w:r>
    </w:p>
    <w:p w14:paraId="73B3D97A" w14:textId="77777777" w:rsidR="00D41D97" w:rsidRPr="0071532D" w:rsidRDefault="00D41D97" w:rsidP="00D41D97">
      <w:pPr>
        <w:pStyle w:val="NormalHanging12a"/>
      </w:pPr>
      <w:r w:rsidRPr="0071532D">
        <w:t>9.</w:t>
      </w:r>
      <w:r w:rsidRPr="0071532D">
        <w:tab/>
        <w:t xml:space="preserve">konstatē, ka 2025. gada 20. februārī starp uzņēmumu </w:t>
      </w:r>
      <w:r w:rsidRPr="0071532D">
        <w:rPr>
          <w:i/>
          <w:iCs/>
        </w:rPr>
        <w:t>Goodyear</w:t>
      </w:r>
      <w:r w:rsidRPr="0071532D">
        <w:t xml:space="preserve">, tā darbiniekiem un </w:t>
      </w:r>
      <w:r w:rsidRPr="0071532D">
        <w:rPr>
          <w:i/>
          <w:iCs/>
        </w:rPr>
        <w:t xml:space="preserve">PMB </w:t>
      </w:r>
      <w:proofErr w:type="spellStart"/>
      <w:r w:rsidRPr="0071532D">
        <w:rPr>
          <w:i/>
          <w:iCs/>
        </w:rPr>
        <w:t>International</w:t>
      </w:r>
      <w:proofErr w:type="spellEnd"/>
      <w:r w:rsidRPr="0071532D">
        <w:rPr>
          <w:i/>
          <w:iCs/>
        </w:rPr>
        <w:t xml:space="preserve"> </w:t>
      </w:r>
      <w:proofErr w:type="spellStart"/>
      <w:r w:rsidRPr="0071532D">
        <w:rPr>
          <w:i/>
          <w:iCs/>
        </w:rPr>
        <w:t>GmbH</w:t>
      </w:r>
      <w:proofErr w:type="spellEnd"/>
      <w:r w:rsidRPr="0071532D">
        <w:t xml:space="preserve"> – pakalpojumu sniedzēju, kas ir izvēlēts pārvaldīt pārejas uzņēmumu, – kopumā ir noslēgti 915 trīspusēji līgumi: 781 attiecas uz </w:t>
      </w:r>
      <w:proofErr w:type="spellStart"/>
      <w:r w:rsidRPr="0071532D">
        <w:t>Fuldu</w:t>
      </w:r>
      <w:proofErr w:type="spellEnd"/>
      <w:r w:rsidRPr="0071532D">
        <w:t xml:space="preserve"> un 134 – </w:t>
      </w:r>
      <w:proofErr w:type="spellStart"/>
      <w:r w:rsidRPr="0071532D">
        <w:t>Hānavu</w:t>
      </w:r>
      <w:proofErr w:type="spellEnd"/>
      <w:r w:rsidRPr="0071532D">
        <w:t>; atzinīgi vērtē rādītājus, kas liecina, ka šis skaits varētu pieaugt tajā mērā, kādā puses paraksta vairāk līgumu;</w:t>
      </w:r>
    </w:p>
    <w:p w14:paraId="55AB1461" w14:textId="7AB1B609" w:rsidR="00D41D97" w:rsidRPr="0071532D" w:rsidRDefault="00D41D97" w:rsidP="00D41D97">
      <w:pPr>
        <w:pStyle w:val="NormalHanging12a"/>
      </w:pPr>
      <w:r w:rsidRPr="0071532D">
        <w:t>10.</w:t>
      </w:r>
      <w:r w:rsidRPr="0071532D">
        <w:tab/>
        <w:t xml:space="preserve">pieņem zināšanai to, ka Vācija sāka sniegt individualizētus pakalpojumus paredzētajiem atbalsta saņēmējiem 2024. gada 1. novembrī un ka tāpēc tiesības saņemt finansiālu iemaksu no EGF būs laikposmā, kas sākas šajā datumā un beidzas 24 mēnešus pēc </w:t>
      </w:r>
      <w:r w:rsidR="00713A05" w:rsidRPr="0036641D">
        <w:t>šai rezolūcijai pievienot</w:t>
      </w:r>
      <w:r w:rsidR="00713A05">
        <w:t>ā</w:t>
      </w:r>
      <w:r w:rsidR="00713A05" w:rsidRPr="0036641D">
        <w:t xml:space="preserve"> lēmum</w:t>
      </w:r>
      <w:r w:rsidR="00713A05">
        <w:t>a</w:t>
      </w:r>
      <w:r w:rsidR="00713A05" w:rsidRPr="008E2A9E">
        <w:t xml:space="preserve"> </w:t>
      </w:r>
      <w:r w:rsidRPr="0071532D">
        <w:t>spēkā stāšanās dienas;</w:t>
      </w:r>
    </w:p>
    <w:p w14:paraId="1F39BF35" w14:textId="0EA16185" w:rsidR="00D41D97" w:rsidRPr="0071532D" w:rsidRDefault="00D41D97" w:rsidP="00D41D97">
      <w:pPr>
        <w:pStyle w:val="NormalHanging12a"/>
        <w:rPr>
          <w:sz w:val="23"/>
          <w:szCs w:val="23"/>
        </w:rPr>
      </w:pPr>
      <w:r w:rsidRPr="0071532D">
        <w:t>11.</w:t>
      </w:r>
      <w:r w:rsidRPr="0071532D">
        <w:tab/>
        <w:t xml:space="preserve">norāda, ka Vācijai administratīvie izdevumi saistībā ar EGF īstenošanu sāka rasties 2024. gada 1. novembrī un tāpēc par šādiem izdevumiem ir tiesības saņemt finansiālu iemaksu no EGF par laikposmu, kas sākas minētajā datumā un beidzas 31 mēnesi pēc </w:t>
      </w:r>
      <w:r w:rsidR="00713A05" w:rsidRPr="0036641D">
        <w:t>šai rezolūcijai pievienot</w:t>
      </w:r>
      <w:r w:rsidR="00713A05">
        <w:t>ā</w:t>
      </w:r>
      <w:r w:rsidR="00713A05" w:rsidRPr="0036641D">
        <w:t xml:space="preserve"> lēmum</w:t>
      </w:r>
      <w:r w:rsidR="00713A05">
        <w:t>a</w:t>
      </w:r>
      <w:r w:rsidR="00713A05" w:rsidRPr="008E2A9E">
        <w:t xml:space="preserve"> </w:t>
      </w:r>
      <w:r w:rsidRPr="0071532D">
        <w:t>spēkā stāšanās dienas;</w:t>
      </w:r>
    </w:p>
    <w:p w14:paraId="0569124C" w14:textId="77777777" w:rsidR="00D41D97" w:rsidRPr="0071532D" w:rsidRDefault="00D41D97" w:rsidP="00D41D97">
      <w:pPr>
        <w:pStyle w:val="NormalHanging12a"/>
      </w:pPr>
      <w:r w:rsidRPr="0071532D">
        <w:t>12.</w:t>
      </w:r>
      <w:r w:rsidRPr="0071532D">
        <w:tab/>
        <w:t xml:space="preserve">uzsver, ka Vācijas iestādes sniedz apstiprinājumu tam, ka attiecībā uz piekļuvi ierosinātajām darbībām un to īstenošanu tiks ievēroti vienlīdzīgas attieksmes un </w:t>
      </w:r>
      <w:proofErr w:type="spellStart"/>
      <w:r w:rsidRPr="0071532D">
        <w:t>nediskriminācijas</w:t>
      </w:r>
      <w:proofErr w:type="spellEnd"/>
      <w:r w:rsidRPr="0071532D">
        <w:t xml:space="preserve"> principi un ka tiks novērsta jebkāda dubulta finansēšana;</w:t>
      </w:r>
    </w:p>
    <w:p w14:paraId="2AEFB05F" w14:textId="77777777" w:rsidR="00D41D97" w:rsidRPr="0071532D" w:rsidRDefault="00D41D97" w:rsidP="00D41D97">
      <w:pPr>
        <w:pStyle w:val="NormalHanging12a"/>
      </w:pPr>
      <w:r w:rsidRPr="0071532D">
        <w:t>13.</w:t>
      </w:r>
      <w:r w:rsidRPr="0071532D">
        <w:tab/>
        <w:t xml:space="preserve">atgādina, ka Vācijas iestādes apliecina Savienības finansējuma izcelsmi un nodrošina tā </w:t>
      </w:r>
      <w:proofErr w:type="spellStart"/>
      <w:r w:rsidRPr="0071532D">
        <w:t>pamanāmību</w:t>
      </w:r>
      <w:proofErr w:type="spellEnd"/>
      <w:r w:rsidRPr="0071532D">
        <w:t>, vienlaikus uzsverot Savienības pievienoto vērtību; uzsver, ka tas būtu jāpanāk, izmantojot mērķtiecīgus informācijas pasākumus, kas paredzēti atbalsta saņēmējiem, sociālajiem partneriem un medijiem;</w:t>
      </w:r>
    </w:p>
    <w:p w14:paraId="484E0048" w14:textId="77777777" w:rsidR="00D41D97" w:rsidRPr="0071532D" w:rsidRDefault="00D41D97" w:rsidP="00D41D97">
      <w:pPr>
        <w:pStyle w:val="NormalHanging12a"/>
      </w:pPr>
      <w:r w:rsidRPr="0071532D">
        <w:t>14.</w:t>
      </w:r>
      <w:r w:rsidRPr="0071532D">
        <w:tab/>
        <w:t>atkārtoti norāda, ka palīdzība no EGF nedrīkst aizstāt darbības, par kurām saskaņā ar attiecīgās valsts tiesību aktiem vai koplīgumiem ir atbildīgi uzņēmumi;</w:t>
      </w:r>
    </w:p>
    <w:p w14:paraId="736DA6D7" w14:textId="77777777" w:rsidR="00D41D97" w:rsidRPr="0071532D" w:rsidRDefault="00D41D97" w:rsidP="00D41D97">
      <w:pPr>
        <w:pStyle w:val="NormalHanging12a"/>
      </w:pPr>
      <w:r w:rsidRPr="0071532D">
        <w:t>15.</w:t>
      </w:r>
      <w:r w:rsidRPr="0071532D">
        <w:tab/>
        <w:t>uzsver, ka steidzami ir vajadzīgi saskaņoti un koordinēti Savienības konkurētspējas centieni, kas izstrādāti ciešā partnerībā ar dalībvalstīm, lai aizsargātu Eiropas rūpniecības nodarbinātības bāzi un sociālo nodrošinājumu; uzsver, ka tikai stabila un noturīga Eiropas ekonomika var efektīvi novērst plašu darbinieku atlaišanu, tādējādi pirmām kārtām samazinot vajadzību pēc EGF intervences;</w:t>
      </w:r>
    </w:p>
    <w:p w14:paraId="50A67A65" w14:textId="77777777" w:rsidR="00D41D97" w:rsidRPr="0071532D" w:rsidRDefault="00D41D97" w:rsidP="00D41D97">
      <w:pPr>
        <w:pStyle w:val="NormalHanging12a"/>
      </w:pPr>
      <w:r w:rsidRPr="0071532D">
        <w:t>16.</w:t>
      </w:r>
      <w:r w:rsidRPr="0071532D">
        <w:tab/>
        <w:t>apstiprina šai rezolūcijai pievienoto lēmumu;</w:t>
      </w:r>
    </w:p>
    <w:p w14:paraId="1DB24AF0" w14:textId="77777777" w:rsidR="00D41D97" w:rsidRPr="0071532D" w:rsidRDefault="00D41D97" w:rsidP="00D41D97">
      <w:pPr>
        <w:pStyle w:val="NormalHanging12a"/>
      </w:pPr>
      <w:r w:rsidRPr="0071532D">
        <w:t>17.</w:t>
      </w:r>
      <w:r w:rsidRPr="0071532D">
        <w:tab/>
        <w:t xml:space="preserve">uzdod priekšsēdētājai parakstīt šo lēmumu kopā ar Padomes priekšsēdētāju un nodrošināt tā publicēšanu </w:t>
      </w:r>
      <w:r w:rsidRPr="0071532D">
        <w:rPr>
          <w:i/>
        </w:rPr>
        <w:t>Eiropas Savienības Oficiālajā Vēstnesī</w:t>
      </w:r>
      <w:r w:rsidRPr="0071532D">
        <w:t>;</w:t>
      </w:r>
    </w:p>
    <w:p w14:paraId="5BF18F49" w14:textId="77777777" w:rsidR="00D41D97" w:rsidRPr="0071532D" w:rsidRDefault="00D41D97" w:rsidP="00D41D97">
      <w:pPr>
        <w:widowControl/>
        <w:ind w:left="567" w:hanging="567"/>
      </w:pPr>
      <w:r w:rsidRPr="0071532D">
        <w:t>18.</w:t>
      </w:r>
      <w:r w:rsidRPr="0071532D">
        <w:tab/>
        <w:t>uzdod priekšsēdētājai šo rezolūciju, kā arī tās pielikumu nosūtīt Padomei un Komisijai.</w:t>
      </w:r>
    </w:p>
    <w:p w14:paraId="5D12C2E7" w14:textId="77777777" w:rsidR="00D41D97" w:rsidRPr="0071532D" w:rsidRDefault="00D41D97" w:rsidP="00D41D97"/>
    <w:p w14:paraId="33CBFA86" w14:textId="77777777" w:rsidR="00D41D97" w:rsidRPr="0071532D" w:rsidRDefault="00D41D97" w:rsidP="00D41D97">
      <w:pPr>
        <w:rPr>
          <w:noProof/>
        </w:rPr>
      </w:pPr>
    </w:p>
    <w:p w14:paraId="3356C205" w14:textId="77777777" w:rsidR="00D41D97" w:rsidRPr="0071532D" w:rsidRDefault="00D41D97" w:rsidP="00D41D97">
      <w:pPr>
        <w:widowControl/>
        <w:rPr>
          <w:rFonts w:ascii="Arial" w:hAnsi="Arial" w:cs="Arial"/>
          <w:b/>
          <w:noProof/>
        </w:rPr>
        <w:sectPr w:rsidR="00D41D97" w:rsidRPr="0071532D" w:rsidSect="0071532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14:paraId="0F2B5411" w14:textId="77777777" w:rsidR="0039596F" w:rsidRPr="002D3BEF" w:rsidRDefault="00D41D97" w:rsidP="00D41D97">
      <w:pPr>
        <w:pStyle w:val="PageHeading"/>
      </w:pPr>
      <w:bookmarkStart w:id="8" w:name="_Toc210269966"/>
      <w:r w:rsidRPr="002D3BEF">
        <w:lastRenderedPageBreak/>
        <w:t>PIELIKUMS</w:t>
      </w:r>
    </w:p>
    <w:p w14:paraId="225DFD67" w14:textId="11734BB0" w:rsidR="00D41D97" w:rsidRPr="002D3BEF" w:rsidRDefault="00D41D97" w:rsidP="00D41D97">
      <w:pPr>
        <w:pStyle w:val="PageHeading"/>
        <w:rPr>
          <w:noProof/>
        </w:rPr>
      </w:pPr>
      <w:r w:rsidRPr="002D3BEF">
        <w:t>EIROPAS PARLAMENTA UN PADOMES LĒMUMS</w:t>
      </w:r>
      <w:bookmarkEnd w:id="8"/>
    </w:p>
    <w:p w14:paraId="36162081" w14:textId="09E9BB73" w:rsidR="0039596F" w:rsidRPr="0039596F" w:rsidRDefault="00D41D97" w:rsidP="0039596F">
      <w:pPr>
        <w:pStyle w:val="NormalBold24a"/>
        <w:spacing w:before="120" w:after="0"/>
      </w:pPr>
      <w:r w:rsidRPr="0071532D">
        <w:t>par Eiropas Globalizācijas pielāgošanās fonda darbu zaudējušiem darba ņēmējiem izmantošanu saistībā ar Vācijas iesniegto pieteikumu EGF/2025/002 DE/</w:t>
      </w:r>
      <w:r w:rsidRPr="0071532D">
        <w:rPr>
          <w:i/>
          <w:iCs/>
        </w:rPr>
        <w:t>Goodyear</w:t>
      </w:r>
      <w:r w:rsidRPr="0071532D">
        <w:t xml:space="preserve"> 2</w:t>
      </w:r>
    </w:p>
    <w:p w14:paraId="73EC951A" w14:textId="2574A5CD" w:rsidR="0039596F" w:rsidRDefault="0039596F" w:rsidP="0039596F">
      <w:pPr>
        <w:pStyle w:val="Normal24Bold"/>
        <w:spacing w:before="360"/>
        <w:rPr>
          <w:b w:val="0"/>
          <w:i/>
          <w:iCs/>
          <w:noProof/>
        </w:rPr>
      </w:pPr>
      <w:r w:rsidRPr="00EB02AD">
        <w:rPr>
          <w:b w:val="0"/>
          <w:i/>
          <w:iCs/>
          <w:noProof/>
        </w:rPr>
        <w:t>(Šā</w:t>
      </w:r>
      <w:r>
        <w:rPr>
          <w:b w:val="0"/>
          <w:i/>
          <w:iCs/>
          <w:noProof/>
        </w:rPr>
        <w:t xml:space="preserve"> </w:t>
      </w:r>
      <w:r w:rsidRPr="00EB02AD">
        <w:rPr>
          <w:b w:val="0"/>
          <w:i/>
          <w:iCs/>
          <w:noProof/>
        </w:rPr>
        <w:t>pielikuma</w:t>
      </w:r>
      <w:r>
        <w:rPr>
          <w:b w:val="0"/>
          <w:i/>
          <w:iCs/>
          <w:noProof/>
        </w:rPr>
        <w:t xml:space="preserve"> </w:t>
      </w:r>
      <w:r w:rsidRPr="00EB02AD">
        <w:rPr>
          <w:b w:val="0"/>
          <w:i/>
          <w:iCs/>
          <w:noProof/>
        </w:rPr>
        <w:t>teksts</w:t>
      </w:r>
      <w:r>
        <w:rPr>
          <w:b w:val="0"/>
          <w:i/>
          <w:iCs/>
          <w:noProof/>
        </w:rPr>
        <w:t xml:space="preserve"> </w:t>
      </w:r>
      <w:r w:rsidRPr="00EB02AD">
        <w:rPr>
          <w:b w:val="0"/>
          <w:i/>
          <w:iCs/>
          <w:noProof/>
        </w:rPr>
        <w:t>šeit</w:t>
      </w:r>
      <w:r>
        <w:rPr>
          <w:b w:val="0"/>
          <w:i/>
          <w:iCs/>
          <w:noProof/>
        </w:rPr>
        <w:t xml:space="preserve"> </w:t>
      </w:r>
      <w:r w:rsidRPr="00EB02AD">
        <w:rPr>
          <w:b w:val="0"/>
          <w:i/>
          <w:iCs/>
          <w:noProof/>
        </w:rPr>
        <w:t>nav</w:t>
      </w:r>
      <w:r>
        <w:rPr>
          <w:b w:val="0"/>
          <w:i/>
          <w:iCs/>
          <w:noProof/>
        </w:rPr>
        <w:t xml:space="preserve"> </w:t>
      </w:r>
      <w:r w:rsidRPr="00EB02AD">
        <w:rPr>
          <w:b w:val="0"/>
          <w:i/>
          <w:iCs/>
          <w:noProof/>
        </w:rPr>
        <w:t>iekļauts,</w:t>
      </w:r>
      <w:r>
        <w:rPr>
          <w:b w:val="0"/>
          <w:i/>
          <w:iCs/>
          <w:noProof/>
        </w:rPr>
        <w:t xml:space="preserve"> </w:t>
      </w:r>
      <w:r w:rsidRPr="00EB02AD">
        <w:rPr>
          <w:b w:val="0"/>
          <w:i/>
          <w:iCs/>
          <w:noProof/>
        </w:rPr>
        <w:t>jo</w:t>
      </w:r>
      <w:r>
        <w:rPr>
          <w:b w:val="0"/>
          <w:i/>
          <w:iCs/>
          <w:noProof/>
        </w:rPr>
        <w:t xml:space="preserve"> </w:t>
      </w:r>
      <w:r w:rsidRPr="00EB02AD">
        <w:rPr>
          <w:b w:val="0"/>
          <w:i/>
          <w:iCs/>
          <w:noProof/>
        </w:rPr>
        <w:t>tas</w:t>
      </w:r>
      <w:r>
        <w:rPr>
          <w:b w:val="0"/>
          <w:i/>
          <w:iCs/>
          <w:noProof/>
        </w:rPr>
        <w:t xml:space="preserve"> </w:t>
      </w:r>
      <w:r w:rsidRPr="00EB02AD">
        <w:rPr>
          <w:b w:val="0"/>
          <w:i/>
          <w:iCs/>
          <w:noProof/>
        </w:rPr>
        <w:t>atbilst</w:t>
      </w:r>
      <w:r>
        <w:rPr>
          <w:b w:val="0"/>
          <w:i/>
          <w:iCs/>
          <w:noProof/>
        </w:rPr>
        <w:t xml:space="preserve"> </w:t>
      </w:r>
      <w:r w:rsidRPr="00EB02AD">
        <w:rPr>
          <w:b w:val="0"/>
          <w:i/>
          <w:iCs/>
          <w:noProof/>
        </w:rPr>
        <w:t>galīgajam</w:t>
      </w:r>
      <w:r>
        <w:rPr>
          <w:b w:val="0"/>
          <w:i/>
          <w:iCs/>
          <w:noProof/>
        </w:rPr>
        <w:t xml:space="preserve"> aktam </w:t>
      </w:r>
      <w:r w:rsidRPr="00EB02AD">
        <w:rPr>
          <w:b w:val="0"/>
          <w:i/>
          <w:iCs/>
          <w:noProof/>
        </w:rPr>
        <w:t>– Lēmumam</w:t>
      </w:r>
      <w:r>
        <w:rPr>
          <w:b w:val="0"/>
          <w:i/>
          <w:iCs/>
          <w:noProof/>
        </w:rPr>
        <w:t xml:space="preserve"> (ES) </w:t>
      </w:r>
      <w:r w:rsidRPr="00611295">
        <w:rPr>
          <w:b w:val="0"/>
          <w:i/>
          <w:iCs/>
          <w:noProof/>
        </w:rPr>
        <w:t>20</w:t>
      </w:r>
      <w:r>
        <w:rPr>
          <w:b w:val="0"/>
          <w:i/>
          <w:iCs/>
          <w:noProof/>
        </w:rPr>
        <w:t>25</w:t>
      </w:r>
      <w:r w:rsidRPr="00611295">
        <w:rPr>
          <w:b w:val="0"/>
          <w:i/>
          <w:iCs/>
          <w:noProof/>
        </w:rPr>
        <w:t>/</w:t>
      </w:r>
      <w:r>
        <w:rPr>
          <w:b w:val="0"/>
          <w:i/>
          <w:iCs/>
          <w:noProof/>
        </w:rPr>
        <w:t>2135</w:t>
      </w:r>
      <w:r w:rsidRPr="00981C8E">
        <w:rPr>
          <w:b w:val="0"/>
          <w:i/>
          <w:iCs/>
          <w:noProof/>
        </w:rPr>
        <w:t>.</w:t>
      </w:r>
      <w:r w:rsidRPr="00EB02AD">
        <w:rPr>
          <w:b w:val="0"/>
          <w:i/>
          <w:iCs/>
          <w:noProof/>
        </w:rPr>
        <w:t>)</w:t>
      </w:r>
    </w:p>
    <w:p w14:paraId="5A3AD74B" w14:textId="77777777" w:rsidR="0039596F" w:rsidRPr="0071532D" w:rsidRDefault="0039596F" w:rsidP="00D41D97">
      <w:pPr>
        <w:pStyle w:val="NormalBold24a"/>
        <w:spacing w:before="120" w:after="0"/>
        <w:rPr>
          <w:noProof/>
        </w:rPr>
      </w:pPr>
    </w:p>
    <w:sectPr w:rsidR="0039596F" w:rsidRPr="0071532D" w:rsidSect="0071532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537E6" w14:textId="77777777" w:rsidR="00401488" w:rsidRPr="0071532D" w:rsidRDefault="00401488">
      <w:r w:rsidRPr="0071532D">
        <w:separator/>
      </w:r>
    </w:p>
  </w:endnote>
  <w:endnote w:type="continuationSeparator" w:id="0">
    <w:p w14:paraId="2EE27654" w14:textId="77777777" w:rsidR="00401488" w:rsidRPr="0071532D" w:rsidRDefault="00401488">
      <w:r w:rsidRPr="007153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804D4" w14:textId="77777777" w:rsidR="00D41D97" w:rsidRPr="0071532D" w:rsidRDefault="00D41D97" w:rsidP="0076008E">
    <w:pPr>
      <w:pStyle w:val="EPFooter"/>
    </w:pPr>
    <w:r w:rsidRPr="0071532D">
      <w:t>PE</w:t>
    </w:r>
    <w:r w:rsidRPr="0071532D">
      <w:rPr>
        <w:rStyle w:val="HideTWBExt"/>
      </w:rPr>
      <w:t>&lt;NoPE&gt;</w:t>
    </w:r>
    <w:r w:rsidRPr="0071532D">
      <w:t>776.828</w:t>
    </w:r>
    <w:r w:rsidRPr="0071532D">
      <w:rPr>
        <w:rStyle w:val="HideTWBExt"/>
      </w:rPr>
      <w:t>&lt;/NoPE&gt;&lt;Version&gt;</w:t>
    </w:r>
    <w:r w:rsidRPr="0071532D">
      <w:t>v02-00</w:t>
    </w:r>
    <w:r w:rsidRPr="0071532D">
      <w:rPr>
        <w:rStyle w:val="HideTWBExt"/>
      </w:rPr>
      <w:t>&lt;/Version&gt;</w:t>
    </w:r>
    <w:r w:rsidRPr="0071532D">
      <w:tab/>
    </w:r>
    <w:r w:rsidRPr="0071532D">
      <w:fldChar w:fldCharType="begin"/>
    </w:r>
    <w:r w:rsidRPr="0071532D">
      <w:instrText xml:space="preserve"> PAGE  \* MERGEFORMAT </w:instrText>
    </w:r>
    <w:r w:rsidRPr="0071532D">
      <w:fldChar w:fldCharType="separate"/>
    </w:r>
    <w:r w:rsidRPr="0071532D">
      <w:rPr>
        <w:noProof/>
      </w:rPr>
      <w:t>1</w:t>
    </w:r>
    <w:r w:rsidRPr="0071532D">
      <w:fldChar w:fldCharType="end"/>
    </w:r>
    <w:r w:rsidRPr="0071532D">
      <w:t>/</w:t>
    </w:r>
    <w:r w:rsidR="002D3BEF">
      <w:fldChar w:fldCharType="begin"/>
    </w:r>
    <w:r w:rsidR="002D3BEF">
      <w:instrText xml:space="preserve"> NUMPAGES  \* MERGEFORMAT </w:instrText>
    </w:r>
    <w:r w:rsidR="002D3BEF">
      <w:fldChar w:fldCharType="separate"/>
    </w:r>
    <w:r w:rsidRPr="0071532D">
      <w:rPr>
        <w:noProof/>
      </w:rPr>
      <w:t>2</w:t>
    </w:r>
    <w:r w:rsidR="002D3BEF">
      <w:rPr>
        <w:noProof/>
      </w:rPr>
      <w:fldChar w:fldCharType="end"/>
    </w:r>
    <w:r w:rsidRPr="0071532D">
      <w:tab/>
    </w:r>
    <w:r w:rsidRPr="0071532D">
      <w:rPr>
        <w:rStyle w:val="HideTWBExt"/>
      </w:rPr>
      <w:t>&lt;PathFdR&gt;</w:t>
    </w:r>
    <w:r w:rsidRPr="0071532D">
      <w:t>RR\1328613LV.docx</w:t>
    </w:r>
    <w:r w:rsidRPr="0071532D">
      <w:rPr>
        <w:rStyle w:val="HideTWBExt"/>
      </w:rPr>
      <w:t>&lt;/PathFdR&gt;</w:t>
    </w:r>
  </w:p>
  <w:p w14:paraId="211DEEE4" w14:textId="77777777" w:rsidR="00D41D97" w:rsidRPr="0071532D" w:rsidRDefault="00D41D97" w:rsidP="0076008E">
    <w:pPr>
      <w:pStyle w:val="EPFooter2"/>
    </w:pPr>
    <w:r w:rsidRPr="0071532D">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9508D" w14:textId="3BFFA6BB" w:rsidR="00D41D97" w:rsidRPr="0071532D" w:rsidRDefault="00D41D97" w:rsidP="0076008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51349" w14:textId="77777777" w:rsidR="00D41D97" w:rsidRPr="0071532D" w:rsidRDefault="00D41D97" w:rsidP="0076008E">
    <w:pPr>
      <w:pStyle w:val="EPFooter"/>
    </w:pPr>
    <w:r w:rsidRPr="0071532D">
      <w:rPr>
        <w:rStyle w:val="HideTWBExt"/>
      </w:rPr>
      <w:t>&lt;PathFdR&gt;</w:t>
    </w:r>
    <w:r w:rsidRPr="0071532D">
      <w:t>RR\1328613LV.docx</w:t>
    </w:r>
    <w:r w:rsidRPr="0071532D">
      <w:rPr>
        <w:rStyle w:val="HideTWBExt"/>
      </w:rPr>
      <w:t>&lt;/PathFdR&gt;</w:t>
    </w:r>
    <w:r w:rsidRPr="0071532D">
      <w:tab/>
    </w:r>
    <w:r w:rsidRPr="0071532D">
      <w:tab/>
      <w:t>PE</w:t>
    </w:r>
    <w:r w:rsidRPr="0071532D">
      <w:rPr>
        <w:rStyle w:val="HideTWBExt"/>
      </w:rPr>
      <w:t>&lt;NoPE&gt;</w:t>
    </w:r>
    <w:r w:rsidRPr="0071532D">
      <w:t>776.828</w:t>
    </w:r>
    <w:r w:rsidRPr="0071532D">
      <w:rPr>
        <w:rStyle w:val="HideTWBExt"/>
      </w:rPr>
      <w:t>&lt;/NoPE&gt;&lt;Version&gt;</w:t>
    </w:r>
    <w:r w:rsidRPr="0071532D">
      <w:t>v02-00</w:t>
    </w:r>
    <w:r w:rsidRPr="0071532D">
      <w:rPr>
        <w:rStyle w:val="HideTWBExt"/>
      </w:rPr>
      <w:t>&lt;/Version&gt;</w:t>
    </w:r>
  </w:p>
  <w:p w14:paraId="06D18933" w14:textId="77777777" w:rsidR="00D41D97" w:rsidRPr="0071532D" w:rsidRDefault="00D41D97" w:rsidP="0076008E">
    <w:pPr>
      <w:pStyle w:val="EPFooter2"/>
    </w:pPr>
    <w:r w:rsidRPr="0071532D">
      <w:t>LV</w:t>
    </w:r>
    <w:r w:rsidRPr="0071532D">
      <w:tab/>
    </w:r>
    <w:r w:rsidRPr="0071532D">
      <w:rPr>
        <w:b w:val="0"/>
        <w:i/>
        <w:color w:val="C0C0C0"/>
        <w:sz w:val="22"/>
      </w:rPr>
      <w:t>Vienoti daudzveidībā</w:t>
    </w:r>
    <w:r w:rsidRPr="0071532D">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20D3C" w14:textId="77777777" w:rsidR="00064002" w:rsidRPr="0071532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036E4" w14:textId="77777777" w:rsidR="00064002" w:rsidRPr="0071532D"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4BA65" w14:textId="77777777" w:rsidR="00064002" w:rsidRPr="007153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E3589" w14:textId="77777777" w:rsidR="00401488" w:rsidRPr="0071532D" w:rsidRDefault="00401488">
      <w:r w:rsidRPr="0071532D">
        <w:separator/>
      </w:r>
    </w:p>
  </w:footnote>
  <w:footnote w:type="continuationSeparator" w:id="0">
    <w:p w14:paraId="74C72FB0" w14:textId="77777777" w:rsidR="00401488" w:rsidRPr="0071532D" w:rsidRDefault="00401488">
      <w:r w:rsidRPr="0071532D">
        <w:continuationSeparator/>
      </w:r>
    </w:p>
  </w:footnote>
  <w:footnote w:id="1">
    <w:p w14:paraId="71820084" w14:textId="3F4AA0BF" w:rsidR="00D41D97" w:rsidRPr="0071532D" w:rsidRDefault="00D41D97" w:rsidP="0071532D">
      <w:pPr>
        <w:pStyle w:val="FootnoteText"/>
        <w:ind w:left="567" w:hanging="567"/>
        <w:rPr>
          <w:sz w:val="24"/>
          <w:lang w:val="lv-LV"/>
        </w:rPr>
      </w:pPr>
      <w:r w:rsidRPr="0071532D">
        <w:rPr>
          <w:rStyle w:val="FootnoteReference"/>
          <w:sz w:val="24"/>
          <w:lang w:val="lv-LV"/>
        </w:rPr>
        <w:footnoteRef/>
      </w:r>
      <w:r w:rsidR="0071532D" w:rsidRPr="0071532D">
        <w:rPr>
          <w:sz w:val="24"/>
          <w:lang w:val="lv-LV"/>
        </w:rPr>
        <w:t xml:space="preserve"> </w:t>
      </w:r>
      <w:r w:rsidR="0071532D" w:rsidRPr="0071532D">
        <w:rPr>
          <w:sz w:val="24"/>
          <w:lang w:val="lv-LV"/>
        </w:rPr>
        <w:tab/>
      </w:r>
      <w:r w:rsidRPr="0071532D">
        <w:rPr>
          <w:sz w:val="24"/>
          <w:lang w:val="lv-LV"/>
        </w:rPr>
        <w:t xml:space="preserve">OV L 153, 3.5.2021., 48. lpp., ELI: </w:t>
      </w:r>
      <w:hyperlink r:id="rId1" w:history="1">
        <w:r w:rsidRPr="0071532D">
          <w:rPr>
            <w:rStyle w:val="Hyperlink"/>
            <w:sz w:val="24"/>
            <w:lang w:val="lv-LV"/>
          </w:rPr>
          <w:t>http://data.europa.eu/eli/reg/2021/691/oj</w:t>
        </w:r>
      </w:hyperlink>
      <w:r w:rsidRPr="0071532D">
        <w:rPr>
          <w:sz w:val="24"/>
          <w:lang w:val="lv-LV"/>
        </w:rPr>
        <w:t>.</w:t>
      </w:r>
    </w:p>
  </w:footnote>
  <w:footnote w:id="2">
    <w:p w14:paraId="235AB3A1" w14:textId="49DFC2BC" w:rsidR="00D41D97" w:rsidRPr="0071532D" w:rsidRDefault="00D41D97" w:rsidP="0071532D">
      <w:pPr>
        <w:pStyle w:val="FootnoteText"/>
        <w:ind w:left="567" w:hanging="567"/>
        <w:rPr>
          <w:sz w:val="24"/>
          <w:lang w:val="lv-LV"/>
        </w:rPr>
      </w:pPr>
      <w:r w:rsidRPr="0071532D">
        <w:rPr>
          <w:rStyle w:val="FootnoteReference"/>
          <w:sz w:val="24"/>
          <w:lang w:val="lv-LV"/>
        </w:rPr>
        <w:footnoteRef/>
      </w:r>
      <w:r w:rsidR="0071532D" w:rsidRPr="0071532D">
        <w:rPr>
          <w:sz w:val="24"/>
          <w:lang w:val="lv-LV"/>
        </w:rPr>
        <w:t xml:space="preserve"> </w:t>
      </w:r>
      <w:r w:rsidR="0071532D" w:rsidRPr="0071532D">
        <w:rPr>
          <w:sz w:val="24"/>
          <w:lang w:val="lv-LV"/>
        </w:rPr>
        <w:tab/>
      </w:r>
      <w:r w:rsidRPr="0071532D">
        <w:rPr>
          <w:sz w:val="24"/>
          <w:lang w:val="lv-LV"/>
        </w:rPr>
        <w:t xml:space="preserve">OV L 433 I, 22.12.2020., 11. lpp., ELI: </w:t>
      </w:r>
      <w:r w:rsidR="002D3BEF">
        <w:fldChar w:fldCharType="begin"/>
      </w:r>
      <w:r w:rsidR="002D3BEF" w:rsidRPr="002D3BEF">
        <w:rPr>
          <w:lang w:val="lv-LV"/>
        </w:rPr>
        <w:instrText>HYPERLINK "http://data.europa.eu/eli/reg/2020/2093/oj"</w:instrText>
      </w:r>
      <w:r w:rsidR="002D3BEF">
        <w:fldChar w:fldCharType="separate"/>
      </w:r>
      <w:r w:rsidRPr="0071532D">
        <w:rPr>
          <w:rStyle w:val="Hyperlink"/>
          <w:sz w:val="24"/>
          <w:lang w:val="lv-LV"/>
        </w:rPr>
        <w:t>http://data.europa.eu/eli/reg/2020/2093/oj</w:t>
      </w:r>
      <w:r w:rsidR="002D3BEF">
        <w:rPr>
          <w:rStyle w:val="Hyperlink"/>
          <w:sz w:val="24"/>
          <w:lang w:val="lv-LV"/>
        </w:rPr>
        <w:fldChar w:fldCharType="end"/>
      </w:r>
      <w:r w:rsidRPr="0071532D">
        <w:rPr>
          <w:sz w:val="24"/>
          <w:lang w:val="lv-LV"/>
        </w:rPr>
        <w:t>.</w:t>
      </w:r>
    </w:p>
  </w:footnote>
  <w:footnote w:id="3">
    <w:p w14:paraId="69A9DBB6" w14:textId="0175E880" w:rsidR="00D41D97" w:rsidRPr="0071532D" w:rsidRDefault="00D41D97" w:rsidP="0071532D">
      <w:pPr>
        <w:pStyle w:val="FootnoteText"/>
        <w:ind w:left="567" w:hanging="567"/>
        <w:rPr>
          <w:sz w:val="24"/>
          <w:lang w:val="lv-LV"/>
        </w:rPr>
      </w:pPr>
      <w:r w:rsidRPr="0071532D">
        <w:rPr>
          <w:rStyle w:val="FootnoteReference"/>
          <w:sz w:val="24"/>
          <w:lang w:val="lv-LV"/>
        </w:rPr>
        <w:footnoteRef/>
      </w:r>
      <w:r w:rsidR="0071532D" w:rsidRPr="0071532D">
        <w:rPr>
          <w:color w:val="333333"/>
          <w:sz w:val="24"/>
          <w:shd w:val="clear" w:color="auto" w:fill="FFFFFF"/>
          <w:lang w:val="lv-LV"/>
        </w:rPr>
        <w:t xml:space="preserve"> </w:t>
      </w:r>
      <w:r w:rsidR="0071532D" w:rsidRPr="0071532D">
        <w:rPr>
          <w:color w:val="333333"/>
          <w:sz w:val="24"/>
          <w:shd w:val="clear" w:color="auto" w:fill="FFFFFF"/>
          <w:lang w:val="lv-LV"/>
        </w:rPr>
        <w:tab/>
      </w:r>
      <w:r w:rsidRPr="0071532D">
        <w:rPr>
          <w:color w:val="333333"/>
          <w:sz w:val="24"/>
          <w:shd w:val="clear" w:color="auto" w:fill="FFFFFF"/>
          <w:lang w:val="lv-LV"/>
        </w:rPr>
        <w:t xml:space="preserve">Padomes Regula (ES, </w:t>
      </w:r>
      <w:r w:rsidRPr="0071532D">
        <w:rPr>
          <w:i/>
          <w:color w:val="333333"/>
          <w:sz w:val="24"/>
          <w:shd w:val="clear" w:color="auto" w:fill="FFFFFF"/>
          <w:lang w:val="lv-LV"/>
        </w:rPr>
        <w:t>Euratom</w:t>
      </w:r>
      <w:r w:rsidRPr="0071532D">
        <w:rPr>
          <w:color w:val="333333"/>
          <w:sz w:val="24"/>
          <w:shd w:val="clear" w:color="auto" w:fill="FFFFFF"/>
          <w:lang w:val="lv-LV"/>
        </w:rPr>
        <w:t xml:space="preserve">) 2024/765 (2024. gada 29. februāris), ar kuru groza Regulu (ES, </w:t>
      </w:r>
      <w:r w:rsidRPr="0071532D">
        <w:rPr>
          <w:i/>
          <w:color w:val="333333"/>
          <w:sz w:val="24"/>
          <w:shd w:val="clear" w:color="auto" w:fill="FFFFFF"/>
          <w:lang w:val="lv-LV"/>
        </w:rPr>
        <w:t>Euratom</w:t>
      </w:r>
      <w:r w:rsidRPr="0071532D">
        <w:rPr>
          <w:color w:val="333333"/>
          <w:sz w:val="24"/>
          <w:shd w:val="clear" w:color="auto" w:fill="FFFFFF"/>
          <w:lang w:val="lv-LV"/>
        </w:rPr>
        <w:t>) 2020/2093, ar ko nosaka daudzgadu finanšu shēmu 2021.–2027. gadam (</w:t>
      </w:r>
      <w:r w:rsidRPr="0071532D">
        <w:rPr>
          <w:sz w:val="24"/>
          <w:lang w:val="lv-LV"/>
        </w:rPr>
        <w:t xml:space="preserve">OV L, 2024/765, 29.2.2024., ELI: </w:t>
      </w:r>
      <w:r w:rsidR="002D3BEF">
        <w:fldChar w:fldCharType="begin"/>
      </w:r>
      <w:r w:rsidR="002D3BEF" w:rsidRPr="002D3BEF">
        <w:rPr>
          <w:lang w:val="lv-LV"/>
        </w:rPr>
        <w:instrText>HYPERLINK "http://data.europa.eu/eli/reg/2024/765/oj"</w:instrText>
      </w:r>
      <w:r w:rsidR="002D3BEF">
        <w:fldChar w:fldCharType="separate"/>
      </w:r>
      <w:r w:rsidRPr="0071532D">
        <w:rPr>
          <w:rStyle w:val="Hyperlink"/>
          <w:sz w:val="24"/>
          <w:lang w:val="lv-LV"/>
        </w:rPr>
        <w:t>http://data.europa.eu/eli/reg/2024/765/oj</w:t>
      </w:r>
      <w:r w:rsidR="002D3BEF">
        <w:rPr>
          <w:rStyle w:val="Hyperlink"/>
          <w:sz w:val="24"/>
          <w:lang w:val="lv-LV"/>
        </w:rPr>
        <w:fldChar w:fldCharType="end"/>
      </w:r>
      <w:r w:rsidRPr="0071532D">
        <w:rPr>
          <w:rStyle w:val="Emphasis"/>
          <w:color w:val="333333"/>
          <w:sz w:val="24"/>
          <w:shd w:val="clear" w:color="auto" w:fill="FFFFFF"/>
          <w:lang w:val="lv-LV"/>
        </w:rPr>
        <w:t>).</w:t>
      </w:r>
    </w:p>
  </w:footnote>
  <w:footnote w:id="4">
    <w:p w14:paraId="345EC61C" w14:textId="7D8930A6" w:rsidR="00D41D97" w:rsidRPr="0071532D" w:rsidRDefault="00D41D97" w:rsidP="0071532D">
      <w:pPr>
        <w:pStyle w:val="FootnoteText"/>
        <w:ind w:left="567" w:hanging="567"/>
        <w:rPr>
          <w:sz w:val="24"/>
          <w:lang w:val="lv-LV"/>
        </w:rPr>
      </w:pPr>
      <w:r w:rsidRPr="0071532D">
        <w:rPr>
          <w:rStyle w:val="FootnoteReference"/>
          <w:sz w:val="24"/>
          <w:lang w:val="lv-LV"/>
        </w:rPr>
        <w:footnoteRef/>
      </w:r>
      <w:r w:rsidR="0071532D" w:rsidRPr="0071532D">
        <w:rPr>
          <w:sz w:val="24"/>
          <w:lang w:val="lv-LV"/>
        </w:rPr>
        <w:t xml:space="preserve"> </w:t>
      </w:r>
      <w:r w:rsidR="0071532D" w:rsidRPr="0071532D">
        <w:rPr>
          <w:sz w:val="24"/>
          <w:lang w:val="lv-LV"/>
        </w:rPr>
        <w:tab/>
      </w:r>
      <w:r w:rsidRPr="0071532D">
        <w:rPr>
          <w:sz w:val="24"/>
          <w:lang w:val="lv-LV"/>
        </w:rPr>
        <w:t xml:space="preserve">OV L 433 I, 22.12.2020., 28. lpp., ELI: </w:t>
      </w:r>
      <w:hyperlink r:id="rId2" w:history="1">
        <w:r w:rsidRPr="0071532D">
          <w:rPr>
            <w:rStyle w:val="Hyperlink"/>
            <w:sz w:val="24"/>
            <w:lang w:val="lv-LV"/>
          </w:rPr>
          <w:t>http://data.europa.eu/eli/agree_interinstit/2020/1222/oj</w:t>
        </w:r>
      </w:hyperlink>
      <w:r w:rsidRPr="0071532D">
        <w:rPr>
          <w:sz w:val="24"/>
          <w:lang w:val="lv-LV"/>
        </w:rPr>
        <w:t>.</w:t>
      </w:r>
    </w:p>
  </w:footnote>
  <w:footnote w:id="5">
    <w:p w14:paraId="32E2F6B7" w14:textId="423376E3" w:rsidR="00D41D97" w:rsidRPr="0071532D" w:rsidRDefault="00D41D97" w:rsidP="0071532D">
      <w:pPr>
        <w:pStyle w:val="FootnoteText"/>
        <w:ind w:left="567" w:hanging="567"/>
        <w:rPr>
          <w:sz w:val="24"/>
          <w:lang w:val="lv-LV"/>
        </w:rPr>
      </w:pPr>
      <w:r w:rsidRPr="0071532D">
        <w:rPr>
          <w:rStyle w:val="FootnoteReference"/>
          <w:sz w:val="24"/>
          <w:lang w:val="lv-LV"/>
        </w:rPr>
        <w:footnoteRef/>
      </w:r>
      <w:r w:rsidR="0071532D" w:rsidRPr="0071532D">
        <w:rPr>
          <w:sz w:val="24"/>
          <w:lang w:val="lv-LV"/>
        </w:rPr>
        <w:t xml:space="preserve"> </w:t>
      </w:r>
      <w:r w:rsidR="0071532D" w:rsidRPr="0071532D">
        <w:rPr>
          <w:sz w:val="24"/>
          <w:lang w:val="lv-LV"/>
        </w:rPr>
        <w:tab/>
      </w:r>
      <w:r w:rsidRPr="0071532D">
        <w:rPr>
          <w:sz w:val="24"/>
          <w:lang w:val="lv-LV"/>
        </w:rPr>
        <w:t>EGF regulas 3. panta nozīmē.</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3E40A" w14:textId="77777777" w:rsidR="00D41D97" w:rsidRPr="0071532D" w:rsidRDefault="00D41D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E0B3A" w14:textId="77777777" w:rsidR="00D41D97" w:rsidRPr="0071532D" w:rsidRDefault="00D41D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8CAA9" w14:textId="77777777" w:rsidR="00D41D97" w:rsidRPr="0071532D" w:rsidRDefault="00D41D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D23E0" w14:textId="77777777" w:rsidR="00064002" w:rsidRPr="0071532D"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D761F" w14:textId="77777777" w:rsidR="00064002" w:rsidRPr="0071532D"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60E95" w14:textId="77777777" w:rsidR="00064002" w:rsidRPr="007153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7533409">
    <w:abstractNumId w:val="9"/>
  </w:num>
  <w:num w:numId="2" w16cid:durableId="1729916552">
    <w:abstractNumId w:val="9"/>
  </w:num>
  <w:num w:numId="3" w16cid:durableId="715929041">
    <w:abstractNumId w:val="7"/>
  </w:num>
  <w:num w:numId="4" w16cid:durableId="1455564872">
    <w:abstractNumId w:val="7"/>
  </w:num>
  <w:num w:numId="5" w16cid:durableId="397940966">
    <w:abstractNumId w:val="6"/>
  </w:num>
  <w:num w:numId="6" w16cid:durableId="1704019076">
    <w:abstractNumId w:val="6"/>
  </w:num>
  <w:num w:numId="7" w16cid:durableId="340202589">
    <w:abstractNumId w:val="5"/>
  </w:num>
  <w:num w:numId="8" w16cid:durableId="2041512905">
    <w:abstractNumId w:val="5"/>
  </w:num>
  <w:num w:numId="9" w16cid:durableId="1655838547">
    <w:abstractNumId w:val="4"/>
  </w:num>
  <w:num w:numId="10" w16cid:durableId="272589337">
    <w:abstractNumId w:val="4"/>
  </w:num>
  <w:num w:numId="11" w16cid:durableId="1996570082">
    <w:abstractNumId w:val="8"/>
  </w:num>
  <w:num w:numId="12" w16cid:durableId="1225605056">
    <w:abstractNumId w:val="8"/>
  </w:num>
  <w:num w:numId="13" w16cid:durableId="1510216625">
    <w:abstractNumId w:val="3"/>
  </w:num>
  <w:num w:numId="14" w16cid:durableId="1449159118">
    <w:abstractNumId w:val="3"/>
  </w:num>
  <w:num w:numId="15" w16cid:durableId="1477600343">
    <w:abstractNumId w:val="2"/>
  </w:num>
  <w:num w:numId="16" w16cid:durableId="1330251056">
    <w:abstractNumId w:val="2"/>
  </w:num>
  <w:num w:numId="17" w16cid:durableId="2128772019">
    <w:abstractNumId w:val="1"/>
  </w:num>
  <w:num w:numId="18" w16cid:durableId="1992829498">
    <w:abstractNumId w:val="1"/>
  </w:num>
  <w:num w:numId="19" w16cid:durableId="1140030856">
    <w:abstractNumId w:val="0"/>
  </w:num>
  <w:num w:numId="20" w16cid:durableId="1797021420">
    <w:abstractNumId w:val="0"/>
  </w:num>
  <w:num w:numId="21" w16cid:durableId="1741515857">
    <w:abstractNumId w:val="9"/>
  </w:num>
  <w:num w:numId="22" w16cid:durableId="963583687">
    <w:abstractNumId w:val="7"/>
  </w:num>
  <w:num w:numId="23" w16cid:durableId="900486014">
    <w:abstractNumId w:val="6"/>
  </w:num>
  <w:num w:numId="24" w16cid:durableId="596015378">
    <w:abstractNumId w:val="5"/>
  </w:num>
  <w:num w:numId="25" w16cid:durableId="509805709">
    <w:abstractNumId w:val="4"/>
  </w:num>
  <w:num w:numId="26" w16cid:durableId="1810629367">
    <w:abstractNumId w:val="8"/>
  </w:num>
  <w:num w:numId="27" w16cid:durableId="355619707">
    <w:abstractNumId w:val="3"/>
  </w:num>
  <w:num w:numId="28" w16cid:durableId="823160089">
    <w:abstractNumId w:val="2"/>
  </w:num>
  <w:num w:numId="29" w16cid:durableId="396635503">
    <w:abstractNumId w:val="1"/>
  </w:num>
  <w:num w:numId="30" w16cid:durableId="1875578197">
    <w:abstractNumId w:val="0"/>
  </w:num>
  <w:num w:numId="31" w16cid:durableId="1824469373">
    <w:abstractNumId w:val="9"/>
  </w:num>
  <w:num w:numId="32" w16cid:durableId="558520358">
    <w:abstractNumId w:val="7"/>
  </w:num>
  <w:num w:numId="33" w16cid:durableId="1795519762">
    <w:abstractNumId w:val="6"/>
  </w:num>
  <w:num w:numId="34" w16cid:durableId="490147978">
    <w:abstractNumId w:val="5"/>
  </w:num>
  <w:num w:numId="35" w16cid:durableId="349070494">
    <w:abstractNumId w:val="4"/>
  </w:num>
  <w:num w:numId="36" w16cid:durableId="1716584982">
    <w:abstractNumId w:val="8"/>
  </w:num>
  <w:num w:numId="37" w16cid:durableId="1000502986">
    <w:abstractNumId w:val="3"/>
  </w:num>
  <w:num w:numId="38" w16cid:durableId="656150785">
    <w:abstractNumId w:val="2"/>
  </w:num>
  <w:num w:numId="39" w16cid:durableId="106774161">
    <w:abstractNumId w:val="1"/>
  </w:num>
  <w:num w:numId="40" w16cid:durableId="2114548735">
    <w:abstractNumId w:val="0"/>
  </w:num>
  <w:num w:numId="41" w16cid:durableId="1630818818">
    <w:abstractNumId w:val="10"/>
  </w:num>
  <w:num w:numId="42" w16cid:durableId="485047259">
    <w:abstractNumId w:val="10"/>
  </w:num>
  <w:num w:numId="43" w16cid:durableId="81221075">
    <w:abstractNumId w:val="10"/>
  </w:num>
  <w:num w:numId="44" w16cid:durableId="11851700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8/2025"/>
    <w:docVar w:name="dvlangue" w:val="LV"/>
    <w:docVar w:name="dvnumam" w:val="0"/>
    <w:docVar w:name="dvpe" w:val="776.828"/>
    <w:docVar w:name="dvrapporteur" w:val="Referents: "/>
    <w:docVar w:name="dvtitre" w:val="Eiropas Parlamenta 2025. gada XX. XXX  rezolūcija par priekšlikumu Eiropas Parlamenta un Padomes lēmumam par Eiropas Globalizācijas pielāgošanās fonda darbu zaudējušiem darba ņēmējiem izmantošanu saistībā ar Vācijas iesniegto pieteikumu EGF/2025/002 DE/Goodyear 2(COM(2025)0302 – C10-0182/2025 – 2025/0245(BUD))"/>
  </w:docVars>
  <w:rsids>
    <w:rsidRoot w:val="00401488"/>
    <w:rsid w:val="00002272"/>
    <w:rsid w:val="00064002"/>
    <w:rsid w:val="000677B9"/>
    <w:rsid w:val="000831BA"/>
    <w:rsid w:val="000A42CC"/>
    <w:rsid w:val="000E7DD9"/>
    <w:rsid w:val="0010095E"/>
    <w:rsid w:val="00125B37"/>
    <w:rsid w:val="00187494"/>
    <w:rsid w:val="001F32AE"/>
    <w:rsid w:val="0022201A"/>
    <w:rsid w:val="002767FF"/>
    <w:rsid w:val="002B18FE"/>
    <w:rsid w:val="002B5493"/>
    <w:rsid w:val="002D3BEF"/>
    <w:rsid w:val="00322FCE"/>
    <w:rsid w:val="00343214"/>
    <w:rsid w:val="00361C00"/>
    <w:rsid w:val="0039596F"/>
    <w:rsid w:val="00395FA1"/>
    <w:rsid w:val="003B1613"/>
    <w:rsid w:val="003E15D4"/>
    <w:rsid w:val="00401488"/>
    <w:rsid w:val="00411CCE"/>
    <w:rsid w:val="0041666E"/>
    <w:rsid w:val="00421060"/>
    <w:rsid w:val="00440C12"/>
    <w:rsid w:val="00471C19"/>
    <w:rsid w:val="004867E3"/>
    <w:rsid w:val="00494A28"/>
    <w:rsid w:val="004C0004"/>
    <w:rsid w:val="004C5D52"/>
    <w:rsid w:val="0050519A"/>
    <w:rsid w:val="005072A1"/>
    <w:rsid w:val="00514517"/>
    <w:rsid w:val="00545827"/>
    <w:rsid w:val="00546F95"/>
    <w:rsid w:val="005479ED"/>
    <w:rsid w:val="00560270"/>
    <w:rsid w:val="00584184"/>
    <w:rsid w:val="005C2568"/>
    <w:rsid w:val="005F1B17"/>
    <w:rsid w:val="006037C0"/>
    <w:rsid w:val="006631B6"/>
    <w:rsid w:val="0067003F"/>
    <w:rsid w:val="00680577"/>
    <w:rsid w:val="006B2A72"/>
    <w:rsid w:val="006E7A85"/>
    <w:rsid w:val="006F74FA"/>
    <w:rsid w:val="00713A05"/>
    <w:rsid w:val="0071532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7255"/>
    <w:rsid w:val="00AB441E"/>
    <w:rsid w:val="00AB6293"/>
    <w:rsid w:val="00AE0928"/>
    <w:rsid w:val="00AF3B82"/>
    <w:rsid w:val="00B12E95"/>
    <w:rsid w:val="00B152D1"/>
    <w:rsid w:val="00B22876"/>
    <w:rsid w:val="00B558F0"/>
    <w:rsid w:val="00BD48FE"/>
    <w:rsid w:val="00BD7BD8"/>
    <w:rsid w:val="00BE6ADC"/>
    <w:rsid w:val="00C05BFE"/>
    <w:rsid w:val="00C23CD4"/>
    <w:rsid w:val="00C61C0C"/>
    <w:rsid w:val="00C941CB"/>
    <w:rsid w:val="00CC2357"/>
    <w:rsid w:val="00CF071A"/>
    <w:rsid w:val="00D058B8"/>
    <w:rsid w:val="00D41D97"/>
    <w:rsid w:val="00D56C11"/>
    <w:rsid w:val="00D834A0"/>
    <w:rsid w:val="00D872DF"/>
    <w:rsid w:val="00D91E21"/>
    <w:rsid w:val="00DA7FCD"/>
    <w:rsid w:val="00E365E1"/>
    <w:rsid w:val="00E7081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8CE25A"/>
  <w15:chartTrackingRefBased/>
  <w15:docId w15:val="{3E3C9BE4-5883-4F05-ACFC-C495ADA99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41D9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D41D97"/>
    <w:pPr>
      <w:keepNext/>
      <w:spacing w:after="480"/>
      <w:jc w:val="center"/>
    </w:pPr>
    <w:rPr>
      <w:rFonts w:ascii="Arial" w:hAnsi="Arial" w:cs="Arial"/>
      <w:b/>
    </w:rPr>
  </w:style>
  <w:style w:type="paragraph" w:customStyle="1" w:styleId="NormalBold">
    <w:name w:val="NormalBold"/>
    <w:basedOn w:val="Normal"/>
    <w:rsid w:val="00D41D97"/>
    <w:rPr>
      <w:b/>
    </w:rPr>
  </w:style>
  <w:style w:type="paragraph" w:customStyle="1" w:styleId="NormalHanging12a">
    <w:name w:val="NormalHanging12a"/>
    <w:basedOn w:val="Normal"/>
    <w:link w:val="NormalHanging12aChar"/>
    <w:rsid w:val="00D41D97"/>
    <w:pPr>
      <w:spacing w:after="240"/>
      <w:ind w:left="567" w:hanging="567"/>
    </w:pPr>
  </w:style>
  <w:style w:type="paragraph" w:styleId="Header">
    <w:name w:val="header"/>
    <w:basedOn w:val="Normal"/>
    <w:link w:val="HeaderChar"/>
    <w:rsid w:val="00D41D97"/>
    <w:pPr>
      <w:tabs>
        <w:tab w:val="center" w:pos="4513"/>
        <w:tab w:val="right" w:pos="9026"/>
      </w:tabs>
    </w:pPr>
  </w:style>
  <w:style w:type="character" w:customStyle="1" w:styleId="HeaderChar">
    <w:name w:val="Header Char"/>
    <w:basedOn w:val="DefaultParagraphFont"/>
    <w:link w:val="Header"/>
    <w:rsid w:val="00D41D97"/>
    <w:rPr>
      <w:sz w:val="24"/>
      <w:lang w:val="lv-LV"/>
    </w:rPr>
  </w:style>
  <w:style w:type="paragraph" w:customStyle="1" w:styleId="NormalBold24a">
    <w:name w:val="NormalBold24a"/>
    <w:basedOn w:val="Normal"/>
    <w:rsid w:val="00D41D97"/>
    <w:pPr>
      <w:spacing w:after="480"/>
    </w:pPr>
    <w:rPr>
      <w:b/>
      <w:bCs/>
    </w:rPr>
  </w:style>
  <w:style w:type="paragraph" w:customStyle="1" w:styleId="EPFooter">
    <w:name w:val="EPFooter"/>
    <w:basedOn w:val="Normal"/>
    <w:rsid w:val="00D41D97"/>
    <w:pPr>
      <w:tabs>
        <w:tab w:val="center" w:pos="4535"/>
        <w:tab w:val="right" w:pos="9071"/>
      </w:tabs>
      <w:spacing w:before="240" w:after="240"/>
    </w:pPr>
    <w:rPr>
      <w:color w:val="010000"/>
      <w:sz w:val="22"/>
    </w:rPr>
  </w:style>
  <w:style w:type="paragraph" w:customStyle="1" w:styleId="EPComma">
    <w:name w:val="EPComma"/>
    <w:basedOn w:val="Normal"/>
    <w:rsid w:val="00D41D97"/>
    <w:pPr>
      <w:spacing w:before="480" w:after="240"/>
    </w:pPr>
  </w:style>
  <w:style w:type="character" w:styleId="Hyperlink">
    <w:name w:val="Hyperlink"/>
    <w:basedOn w:val="DefaultParagraphFont"/>
    <w:rsid w:val="00D41D97"/>
    <w:rPr>
      <w:color w:val="0563C1" w:themeColor="hyperlink"/>
      <w:u w:val="single"/>
    </w:rPr>
  </w:style>
  <w:style w:type="character" w:customStyle="1" w:styleId="NormalHanging12aChar">
    <w:name w:val="NormalHanging12a Char"/>
    <w:basedOn w:val="DefaultParagraphFont"/>
    <w:link w:val="NormalHanging12a"/>
    <w:locked/>
    <w:rsid w:val="00D41D97"/>
    <w:rPr>
      <w:sz w:val="24"/>
      <w:lang w:val="lv-LV"/>
    </w:rPr>
  </w:style>
  <w:style w:type="character" w:styleId="Emphasis">
    <w:name w:val="Emphasis"/>
    <w:basedOn w:val="DefaultParagraphFont"/>
    <w:uiPriority w:val="20"/>
    <w:qFormat/>
    <w:rsid w:val="00D41D97"/>
    <w:rPr>
      <w:i/>
      <w:iCs/>
    </w:rPr>
  </w:style>
  <w:style w:type="paragraph" w:customStyle="1" w:styleId="Institutionquisigne">
    <w:name w:val="Institution qui signe"/>
    <w:basedOn w:val="Normal"/>
    <w:next w:val="Normal"/>
    <w:rsid w:val="00D41D97"/>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D41D97"/>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D41D97"/>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41D9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41D97"/>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D41D97"/>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D41D97"/>
    <w:rPr>
      <w:rFonts w:ascii="Arial" w:hAnsi="Arial" w:cs="Arial"/>
      <w:b/>
      <w:sz w:val="24"/>
      <w:lang w:val="lv-LV"/>
    </w:rPr>
  </w:style>
  <w:style w:type="paragraph" w:styleId="Revision">
    <w:name w:val="Revision"/>
    <w:hidden/>
    <w:uiPriority w:val="99"/>
    <w:semiHidden/>
    <w:rsid w:val="005479ED"/>
    <w:rPr>
      <w:sz w:val="24"/>
      <w:lang w:val="lv-LV"/>
    </w:rPr>
  </w:style>
  <w:style w:type="character" w:styleId="CommentReference">
    <w:name w:val="annotation reference"/>
    <w:basedOn w:val="DefaultParagraphFont"/>
    <w:rsid w:val="00584184"/>
    <w:rPr>
      <w:sz w:val="16"/>
      <w:szCs w:val="16"/>
    </w:rPr>
  </w:style>
  <w:style w:type="paragraph" w:styleId="CommentText">
    <w:name w:val="annotation text"/>
    <w:basedOn w:val="Normal"/>
    <w:link w:val="CommentTextChar"/>
    <w:rsid w:val="00584184"/>
    <w:rPr>
      <w:sz w:val="20"/>
    </w:rPr>
  </w:style>
  <w:style w:type="character" w:customStyle="1" w:styleId="CommentTextChar">
    <w:name w:val="Comment Text Char"/>
    <w:basedOn w:val="DefaultParagraphFont"/>
    <w:link w:val="CommentText"/>
    <w:rsid w:val="00584184"/>
    <w:rPr>
      <w:lang w:val="lv-LV"/>
    </w:rPr>
  </w:style>
  <w:style w:type="paragraph" w:styleId="CommentSubject">
    <w:name w:val="annotation subject"/>
    <w:basedOn w:val="CommentText"/>
    <w:next w:val="CommentText"/>
    <w:link w:val="CommentSubjectChar"/>
    <w:rsid w:val="00584184"/>
    <w:rPr>
      <w:b/>
      <w:bCs/>
    </w:rPr>
  </w:style>
  <w:style w:type="character" w:customStyle="1" w:styleId="CommentSubjectChar">
    <w:name w:val="Comment Subject Char"/>
    <w:basedOn w:val="CommentTextChar"/>
    <w:link w:val="CommentSubject"/>
    <w:rsid w:val="00584184"/>
    <w:rPr>
      <w:b/>
      <w:bCs/>
      <w:lang w:val="lv-LV"/>
    </w:rPr>
  </w:style>
  <w:style w:type="paragraph" w:customStyle="1" w:styleId="Normal24Bold">
    <w:name w:val="Normal24Bold"/>
    <w:basedOn w:val="Normal"/>
    <w:rsid w:val="0039596F"/>
    <w:pPr>
      <w:spacing w:after="48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0/1222/oj" TargetMode="External"/><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1406</Words>
  <Characters>9108</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2025-12-17T07:25:00Z</dcterms:created>
  <dcterms:modified xsi:type="dcterms:W3CDTF">2025-12-17T07:25:00Z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P10_TA(2025)0219_</vt:lpwstr>
  </property>
  <property fmtid="{D5CDD505-2E9C-101B-9397-08002B2CF9AE}" pid="4" name="&lt;Type&gt;">
    <vt:lpwstr>RR</vt:lpwstr>
  </property>
</Properties>
</file>