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7033" w14:paraId="1833DF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04355B" w14:textId="77777777" w:rsidR="00751A4A" w:rsidRPr="00227033" w:rsidRDefault="0043309A" w:rsidP="0010095E">
            <w:pPr>
              <w:pStyle w:val="EPName"/>
            </w:pPr>
            <w:r w:rsidRPr="00227033">
              <w:t>Parlament Europejski</w:t>
            </w:r>
          </w:p>
          <w:p w14:paraId="237F9AD5" w14:textId="77777777" w:rsidR="00751A4A" w:rsidRPr="002270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7033">
              <w:t>2024</w:t>
            </w:r>
            <w:r w:rsidR="00817416" w:rsidRPr="00227033">
              <w:t>-202</w:t>
            </w:r>
            <w:r w:rsidRPr="00227033">
              <w:t>9</w:t>
            </w:r>
          </w:p>
        </w:tc>
        <w:tc>
          <w:tcPr>
            <w:tcW w:w="2268" w:type="dxa"/>
            <w:shd w:val="clear" w:color="auto" w:fill="auto"/>
          </w:tcPr>
          <w:p w14:paraId="7163AEC0" w14:textId="77777777" w:rsidR="00751A4A" w:rsidRPr="00227033" w:rsidRDefault="00187494" w:rsidP="0010095E">
            <w:pPr>
              <w:pStyle w:val="EPLogo"/>
            </w:pPr>
            <w:r w:rsidRPr="00227033">
              <w:rPr>
                <w:noProof/>
                <w:lang w:eastAsia="ja-JP"/>
              </w:rPr>
              <w:drawing>
                <wp:inline distT="0" distB="0" distL="0" distR="0" wp14:anchorId="2B698012" wp14:editId="0962F6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170246" w14:textId="77777777" w:rsidR="00D058B8" w:rsidRPr="00227033" w:rsidRDefault="00D058B8" w:rsidP="004C5D52">
      <w:pPr>
        <w:pStyle w:val="LineTop"/>
      </w:pPr>
    </w:p>
    <w:p w14:paraId="22BF08A7" w14:textId="77777777" w:rsidR="00680577" w:rsidRPr="00227033" w:rsidRDefault="0043309A" w:rsidP="00680577">
      <w:pPr>
        <w:pStyle w:val="EPBodyTA1"/>
      </w:pPr>
      <w:r w:rsidRPr="00227033">
        <w:t>TEKSTY PRZYJĘTE</w:t>
      </w:r>
    </w:p>
    <w:p w14:paraId="15BBC49D" w14:textId="77777777" w:rsidR="00D058B8" w:rsidRPr="00227033" w:rsidRDefault="00D058B8" w:rsidP="00D058B8">
      <w:pPr>
        <w:pStyle w:val="LineBottom"/>
      </w:pPr>
    </w:p>
    <w:p w14:paraId="5F727B9F" w14:textId="114B9BF8" w:rsidR="0043309A" w:rsidRPr="00227033" w:rsidRDefault="0043309A" w:rsidP="0043309A">
      <w:pPr>
        <w:pStyle w:val="ATHeading1"/>
      </w:pPr>
      <w:bookmarkStart w:id="0" w:name="TANumber"/>
      <w:r w:rsidRPr="00227033">
        <w:t>P10_TA(2025)0</w:t>
      </w:r>
      <w:bookmarkEnd w:id="0"/>
      <w:r w:rsidR="008F3E0B">
        <w:t>219</w:t>
      </w:r>
    </w:p>
    <w:p w14:paraId="27236B99" w14:textId="1B4C7853" w:rsidR="0043309A" w:rsidRPr="00227033" w:rsidRDefault="0043309A" w:rsidP="0043309A">
      <w:pPr>
        <w:pStyle w:val="ATHeading2"/>
      </w:pPr>
      <w:bookmarkStart w:id="1" w:name="title"/>
      <w:r w:rsidRPr="00227033">
        <w:t>Uruchomienie Europejskiego Funduszu Dostosowania do Globalizacji dla Zwalnianych Pracowników</w:t>
      </w:r>
      <w:r w:rsidR="00F56D62">
        <w:t xml:space="preserve"> </w:t>
      </w:r>
      <w:r w:rsidRPr="00227033">
        <w:t>w następstwie wniosku złożonego przez Niemcy – EGF/2025/002 DE/</w:t>
      </w:r>
      <w:proofErr w:type="spellStart"/>
      <w:r w:rsidRPr="00227033">
        <w:t>Goodyear</w:t>
      </w:r>
      <w:proofErr w:type="spellEnd"/>
      <w:r w:rsidRPr="00227033">
        <w:t xml:space="preserve"> 2</w:t>
      </w:r>
      <w:bookmarkEnd w:id="1"/>
    </w:p>
    <w:p w14:paraId="14E38FA5" w14:textId="77777777" w:rsidR="0043309A" w:rsidRPr="00227033" w:rsidRDefault="0043309A" w:rsidP="0043309A">
      <w:pPr>
        <w:rPr>
          <w:i/>
          <w:vanish/>
        </w:rPr>
      </w:pPr>
      <w:r w:rsidRPr="00227033">
        <w:rPr>
          <w:i/>
        </w:rPr>
        <w:fldChar w:fldCharType="begin"/>
      </w:r>
      <w:r w:rsidRPr="00227033">
        <w:rPr>
          <w:i/>
        </w:rPr>
        <w:instrText xml:space="preserve"> TC"(</w:instrText>
      </w:r>
      <w:bookmarkStart w:id="2" w:name="DocNumber"/>
      <w:r w:rsidRPr="00227033">
        <w:rPr>
          <w:i/>
        </w:rPr>
        <w:instrText>A10-0168/2025</w:instrText>
      </w:r>
      <w:bookmarkEnd w:id="2"/>
      <w:r w:rsidRPr="00227033">
        <w:rPr>
          <w:i/>
        </w:rPr>
        <w:instrText xml:space="preserve"> - Sprawozdawca: Olivier Chastel)"\l3 \n&gt; \* MERGEFORMAT </w:instrText>
      </w:r>
      <w:r w:rsidRPr="00227033">
        <w:rPr>
          <w:i/>
        </w:rPr>
        <w:fldChar w:fldCharType="end"/>
      </w:r>
    </w:p>
    <w:p w14:paraId="790A7638" w14:textId="77777777" w:rsidR="0043309A" w:rsidRPr="00227033" w:rsidRDefault="0043309A" w:rsidP="0043309A">
      <w:pPr>
        <w:rPr>
          <w:vanish/>
        </w:rPr>
      </w:pPr>
      <w:bookmarkStart w:id="3" w:name="Commission"/>
      <w:r w:rsidRPr="00227033">
        <w:rPr>
          <w:vanish/>
        </w:rPr>
        <w:t>Komisja Budżetowa</w:t>
      </w:r>
      <w:bookmarkEnd w:id="3"/>
    </w:p>
    <w:p w14:paraId="216634E9" w14:textId="77777777" w:rsidR="0043309A" w:rsidRPr="00227033" w:rsidRDefault="0043309A" w:rsidP="0043309A">
      <w:pPr>
        <w:rPr>
          <w:vanish/>
        </w:rPr>
      </w:pPr>
      <w:bookmarkStart w:id="4" w:name="PE"/>
      <w:r w:rsidRPr="00227033">
        <w:rPr>
          <w:vanish/>
        </w:rPr>
        <w:t>PE776.828</w:t>
      </w:r>
      <w:bookmarkEnd w:id="4"/>
    </w:p>
    <w:p w14:paraId="69089E24" w14:textId="76CAF682" w:rsidR="0043309A" w:rsidRPr="00227033" w:rsidRDefault="0043309A" w:rsidP="0043309A">
      <w:pPr>
        <w:pStyle w:val="ATHeading3"/>
      </w:pPr>
      <w:bookmarkStart w:id="5" w:name="Sujet"/>
      <w:r w:rsidRPr="00227033">
        <w:t xml:space="preserve">Rezolucja Parlamentu Europejskiego z dnia </w:t>
      </w:r>
      <w:r w:rsidR="00F56D62">
        <w:t>8 października</w:t>
      </w:r>
      <w:r w:rsidRPr="00227033">
        <w:t xml:space="preserve"> 2025 r. w sprawie wniosku dotyczącego decyzji Parlamentu Europejskiego i Rady w sprawie uruchomienia Europejskiego Funduszu Dostosowania do Globalizacji dla Zwalnianych Pracowników w następstwie wniosku złożonego przez Niemcy – EGF/2025/002 DE/</w:t>
      </w:r>
      <w:proofErr w:type="spellStart"/>
      <w:r w:rsidRPr="00227033">
        <w:t>Goodyear</w:t>
      </w:r>
      <w:proofErr w:type="spellEnd"/>
      <w:r w:rsidRPr="00227033">
        <w:t xml:space="preserve"> 2</w:t>
      </w:r>
      <w:bookmarkEnd w:id="5"/>
      <w:r w:rsidRPr="00227033">
        <w:t xml:space="preserve"> </w:t>
      </w:r>
      <w:bookmarkStart w:id="6" w:name="References"/>
      <w:r w:rsidRPr="00227033">
        <w:t>(COM(2025)0302 – C10-0182/2025 – 2025/0245(BUD))</w:t>
      </w:r>
      <w:bookmarkEnd w:id="6"/>
    </w:p>
    <w:p w14:paraId="766C632A" w14:textId="77777777" w:rsidR="003B19A2" w:rsidRPr="00227033" w:rsidRDefault="003B19A2" w:rsidP="003B19A2">
      <w:pPr>
        <w:pStyle w:val="EPComma"/>
        <w:rPr>
          <w:noProof/>
        </w:rPr>
      </w:pPr>
      <w:r w:rsidRPr="00227033">
        <w:rPr>
          <w:i/>
        </w:rPr>
        <w:t>Parlament Europejski</w:t>
      </w:r>
      <w:r w:rsidRPr="00227033">
        <w:t>,</w:t>
      </w:r>
    </w:p>
    <w:p w14:paraId="37252756" w14:textId="77777777" w:rsidR="003B19A2" w:rsidRPr="00227033" w:rsidRDefault="003B19A2" w:rsidP="003B19A2">
      <w:pPr>
        <w:pStyle w:val="NormalHanging12a"/>
        <w:rPr>
          <w:noProof/>
        </w:rPr>
      </w:pPr>
      <w:r w:rsidRPr="00227033">
        <w:t>–</w:t>
      </w:r>
      <w:r w:rsidRPr="00227033">
        <w:tab/>
        <w:t>uwzględniając wniosek Komisji przedłożony Parlamentowi Europejskiemu i Radzie (COM(2025)0302 – C10-0182/2025),</w:t>
      </w:r>
    </w:p>
    <w:p w14:paraId="2762E96F" w14:textId="77777777" w:rsidR="003B19A2" w:rsidRPr="00227033" w:rsidRDefault="003B19A2" w:rsidP="003B19A2">
      <w:pPr>
        <w:pStyle w:val="NormalHanging12a"/>
        <w:rPr>
          <w:noProof/>
        </w:rPr>
      </w:pPr>
      <w:r w:rsidRPr="00227033">
        <w:t>–</w:t>
      </w:r>
      <w:r w:rsidRPr="00227033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227033">
        <w:rPr>
          <w:rStyle w:val="FootnoteReference"/>
          <w:noProof/>
        </w:rPr>
        <w:footnoteReference w:id="1"/>
      </w:r>
      <w:r w:rsidRPr="00227033">
        <w:t xml:space="preserve"> („rozporządzenie w sprawie EFG”),</w:t>
      </w:r>
    </w:p>
    <w:p w14:paraId="18A1FCFA" w14:textId="77777777" w:rsidR="003B19A2" w:rsidRPr="00227033" w:rsidRDefault="003B19A2" w:rsidP="003B19A2">
      <w:pPr>
        <w:pStyle w:val="NormalHanging12a"/>
        <w:rPr>
          <w:noProof/>
        </w:rPr>
      </w:pPr>
      <w:r w:rsidRPr="00227033">
        <w:t>–</w:t>
      </w:r>
      <w:r w:rsidRPr="00227033">
        <w:tab/>
        <w:t xml:space="preserve">uwzględniając rozporządzenie Rady (UE, </w:t>
      </w:r>
      <w:proofErr w:type="spellStart"/>
      <w:r w:rsidRPr="00227033">
        <w:t>Euratom</w:t>
      </w:r>
      <w:proofErr w:type="spellEnd"/>
      <w:r w:rsidRPr="00227033">
        <w:t>) 2020/2093 z dnia 17 grudnia 2020 r. określające wieloletnie ramy finansowe na lata 2021−2027</w:t>
      </w:r>
      <w:r w:rsidRPr="00227033">
        <w:rPr>
          <w:rStyle w:val="FootnoteReference"/>
          <w:noProof/>
        </w:rPr>
        <w:footnoteReference w:id="2"/>
      </w:r>
      <w:r w:rsidRPr="00227033">
        <w:t xml:space="preserve">, zmienione rozporządzeniem (UE, </w:t>
      </w:r>
      <w:proofErr w:type="spellStart"/>
      <w:r w:rsidRPr="00227033">
        <w:t>Euratom</w:t>
      </w:r>
      <w:proofErr w:type="spellEnd"/>
      <w:r w:rsidRPr="00227033">
        <w:t>) 2024/765</w:t>
      </w:r>
      <w:r w:rsidRPr="00227033">
        <w:rPr>
          <w:rStyle w:val="FootnoteReference"/>
          <w:bdr w:val="none" w:sz="0" w:space="0" w:color="auto" w:frame="1"/>
        </w:rPr>
        <w:footnoteReference w:id="3"/>
      </w:r>
      <w:r w:rsidRPr="00227033">
        <w:t>, w szczególności jego art. 8,</w:t>
      </w:r>
    </w:p>
    <w:p w14:paraId="1972B866" w14:textId="77777777" w:rsidR="003B19A2" w:rsidRPr="00227033" w:rsidRDefault="003B19A2" w:rsidP="003B19A2">
      <w:pPr>
        <w:pStyle w:val="NormalHanging12a"/>
        <w:rPr>
          <w:noProof/>
        </w:rPr>
      </w:pPr>
      <w:r w:rsidRPr="00227033">
        <w:t>–</w:t>
      </w:r>
      <w:r w:rsidRPr="00227033">
        <w:tab/>
        <w:t xml:space="preserve"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227033">
        <w:lastRenderedPageBreak/>
        <w:t>wprowadzania nowych zasobów własnych</w:t>
      </w:r>
      <w:r w:rsidRPr="00227033">
        <w:rPr>
          <w:rStyle w:val="FootnoteReference"/>
          <w:noProof/>
        </w:rPr>
        <w:footnoteReference w:id="4"/>
      </w:r>
      <w:r w:rsidRPr="00227033">
        <w:t>, w szczególności jego pkt 9,</w:t>
      </w:r>
    </w:p>
    <w:p w14:paraId="6118CFA9" w14:textId="77777777" w:rsidR="003B19A2" w:rsidRPr="00227033" w:rsidRDefault="003B19A2" w:rsidP="003B19A2">
      <w:pPr>
        <w:pStyle w:val="NormalHanging12a"/>
        <w:rPr>
          <w:noProof/>
        </w:rPr>
      </w:pPr>
      <w:r w:rsidRPr="00227033">
        <w:t>–</w:t>
      </w:r>
      <w:r w:rsidRPr="00227033">
        <w:tab/>
        <w:t>uwzględniając pismo przesłane przez Komisję Zatrudnienia i Spraw Socjalnych,</w:t>
      </w:r>
    </w:p>
    <w:p w14:paraId="0FE35F7D" w14:textId="77777777" w:rsidR="003B19A2" w:rsidRPr="00227033" w:rsidRDefault="003B19A2" w:rsidP="003B19A2">
      <w:pPr>
        <w:pStyle w:val="NormalHanging12a"/>
      </w:pPr>
      <w:r w:rsidRPr="00227033">
        <w:t>–</w:t>
      </w:r>
      <w:r w:rsidRPr="00227033">
        <w:tab/>
        <w:t xml:space="preserve">uwzględniając sprawozdanie Komisji Budżetowej (A10-0168/2025), </w:t>
      </w:r>
    </w:p>
    <w:p w14:paraId="20D2F0C4" w14:textId="77777777" w:rsidR="003B19A2" w:rsidRPr="00227033" w:rsidRDefault="003B19A2" w:rsidP="003B19A2">
      <w:pPr>
        <w:pStyle w:val="NormalHanging12a"/>
        <w:rPr>
          <w:noProof/>
        </w:rPr>
      </w:pPr>
      <w:r w:rsidRPr="00227033">
        <w:t>A.</w:t>
      </w:r>
      <w:r w:rsidRPr="00227033">
        <w:tab/>
        <w:t>mając na uwadze, że Unia opracowała instrumenty ustawodawcze i budżetowe w celu udzielenia dodatkowego wsparcia pracownikom dotkniętym skutkami istotnych zmian w strukturze światowego handlu lub światowego kryzysu finansowego i gospodarczego oraz z myślą o ułatwieniu im powrotu na rynek pracy; mając na uwadze, że pomoc ta przybiera postać wsparcia finansowego udzielanego pracownikom i przedsiębiorstwom, dla których pracowali;</w:t>
      </w:r>
    </w:p>
    <w:p w14:paraId="576B4513" w14:textId="77777777" w:rsidR="003B19A2" w:rsidRPr="00227033" w:rsidRDefault="003B19A2" w:rsidP="003B19A2">
      <w:pPr>
        <w:pStyle w:val="NormalHanging12a"/>
      </w:pPr>
      <w:r w:rsidRPr="00227033">
        <w:t xml:space="preserve">B. </w:t>
      </w:r>
      <w:r w:rsidRPr="00227033">
        <w:tab/>
        <w:t>mając na uwadze, że Niemcy złożyły wniosek EGF/2025/002 DE/</w:t>
      </w:r>
      <w:proofErr w:type="spellStart"/>
      <w:r w:rsidRPr="00227033">
        <w:t>Goodyear</w:t>
      </w:r>
      <w:proofErr w:type="spellEnd"/>
      <w:r w:rsidRPr="00227033">
        <w:t xml:space="preserve"> 2 o wkład finansowy z Europejskiego Funduszu Dostosowania do Globalizacji (EFG) w związku z łączną liczbą 1 171 zwolnień</w:t>
      </w:r>
      <w:r w:rsidRPr="00227033">
        <w:rPr>
          <w:rStyle w:val="FootnoteReference"/>
        </w:rPr>
        <w:footnoteReference w:id="5"/>
      </w:r>
      <w:r w:rsidRPr="00227033">
        <w:t xml:space="preserve"> w sektorze gospodarki zaklasyfikowanym do działu 22 według klasyfikacji NACE </w:t>
      </w:r>
      <w:proofErr w:type="spellStart"/>
      <w:r w:rsidRPr="00227033">
        <w:t>Rev</w:t>
      </w:r>
      <w:proofErr w:type="spellEnd"/>
      <w:r w:rsidRPr="00227033">
        <w:t xml:space="preserve">. 2 (Produkcja wyrobów z gumy i tworzyw sztucznych) w regionach Kassel (DE73) i Darmstadt (DE71) w Niemczech, przy czym 747 zwolnienia nastąpiły w okresie odniesienia trwającym od 1 września 2024 r. do 1 stycznia 2025 r., a 424 zwolnień przed okresem odniesienia lub po nim; </w:t>
      </w:r>
    </w:p>
    <w:p w14:paraId="4945DABE" w14:textId="77777777" w:rsidR="003B19A2" w:rsidRPr="00227033" w:rsidRDefault="003B19A2" w:rsidP="003B19A2">
      <w:pPr>
        <w:pStyle w:val="NormalHanging12a"/>
      </w:pPr>
      <w:r w:rsidRPr="00227033">
        <w:t>C.</w:t>
      </w:r>
      <w:r w:rsidRPr="00227033">
        <w:tab/>
        <w:t>mając na uwadze, że w przypadku 424 zwolnionych pracowników, którzy zaprzestali działalności przed czteromiesięcznym okresem odniesienia lub po nim, można ustalić wyraźny związek przyczynowy ze zdarzeniem, które doprowadziło do zaprzestania działalności przez zwolnionych pracowników w okresie odniesienia, zgodnie z wymogami art. 6 ust. 2 rozporządzenia w sprawie EFG;</w:t>
      </w:r>
      <w:r w:rsidRPr="00227033">
        <w:rPr>
          <w:sz w:val="23"/>
        </w:rPr>
        <w:t xml:space="preserve"> </w:t>
      </w:r>
    </w:p>
    <w:p w14:paraId="17E599FF" w14:textId="77777777" w:rsidR="003B19A2" w:rsidRPr="00227033" w:rsidRDefault="003B19A2" w:rsidP="003B19A2">
      <w:pPr>
        <w:pStyle w:val="NormalHanging12a"/>
      </w:pPr>
      <w:r w:rsidRPr="00227033">
        <w:t xml:space="preserve">D. </w:t>
      </w:r>
      <w:r w:rsidRPr="00227033">
        <w:tab/>
        <w:t>mając na uwadze, że wniosek opiera się na kryterium interwencji przewidzianym w art. 4 ust. 2 lit. a) rozporządzenia w sprawie EFG, którym to kryterium jest zaprzestanie działalności przez co najmniej 200 zwalnianych pracowników lub osób prowadzących działalność na własny rachunek w czteromiesięcznym okresie odniesienia w przedsiębiorstwie w państwie członkowskim, z uwzględnieniem zwolnień pracowników u jego dostawców i producentów na wcześniejszych etapach w łańcuchu dostaw;</w:t>
      </w:r>
    </w:p>
    <w:p w14:paraId="5E517F7C" w14:textId="44D41AAA" w:rsidR="003B19A2" w:rsidRPr="00227033" w:rsidRDefault="003B19A2" w:rsidP="003B19A2">
      <w:pPr>
        <w:pStyle w:val="NormalHanging12a"/>
        <w:rPr>
          <w:noProof/>
          <w:color w:val="7030A0"/>
        </w:rPr>
      </w:pPr>
      <w:r w:rsidRPr="00227033">
        <w:t xml:space="preserve">E. </w:t>
      </w:r>
      <w:r w:rsidRPr="00227033">
        <w:tab/>
        <w:t xml:space="preserve">mając na uwadze, że rosyjska wojna napastnicza przeciwko Ukrainie i rosnąca inflacja miały wpływ na koszty energii, materiałów i pracy, zwiększając presję na marże </w:t>
      </w:r>
      <w:r w:rsidR="008B13ED">
        <w:t xml:space="preserve">spółki </w:t>
      </w:r>
      <w:proofErr w:type="spellStart"/>
      <w:r w:rsidR="008B13ED">
        <w:t>Goodyear</w:t>
      </w:r>
      <w:proofErr w:type="spellEnd"/>
      <w:r w:rsidRPr="00227033">
        <w:t xml:space="preserve">; </w:t>
      </w:r>
    </w:p>
    <w:p w14:paraId="7794AC8F" w14:textId="77777777" w:rsidR="003B19A2" w:rsidRPr="00227033" w:rsidRDefault="003B19A2" w:rsidP="003B19A2">
      <w:pPr>
        <w:pStyle w:val="NormalHanging12a"/>
        <w:rPr>
          <w:noProof/>
        </w:rPr>
      </w:pPr>
      <w:r w:rsidRPr="00227033">
        <w:t xml:space="preserve">F. </w:t>
      </w:r>
      <w:r w:rsidRPr="00227033">
        <w:tab/>
        <w:t xml:space="preserve">mając na uwadze, że </w:t>
      </w:r>
      <w:proofErr w:type="spellStart"/>
      <w:r w:rsidRPr="00227033">
        <w:t>Goodyear</w:t>
      </w:r>
      <w:proofErr w:type="spellEnd"/>
      <w:r w:rsidRPr="00227033">
        <w:t xml:space="preserve"> Germany GmbH specjalizuje się w produkcji wyrobów z gumy i tworzyw sztucznych, w szczególności opon; mając na uwadze, że przedsiębiorstwo to w znacznym stopniu odczuło nasilającą się konkurencję ze strony tanich importów pochodzących z Azji; </w:t>
      </w:r>
    </w:p>
    <w:p w14:paraId="1DACD519" w14:textId="59AE17A1" w:rsidR="003B19A2" w:rsidRPr="00227033" w:rsidRDefault="003B19A2" w:rsidP="003B19A2">
      <w:pPr>
        <w:pStyle w:val="NormalHanging12a"/>
        <w:rPr>
          <w:noProof/>
        </w:rPr>
      </w:pPr>
      <w:r w:rsidRPr="00227033">
        <w:t>G.</w:t>
      </w:r>
      <w:r w:rsidRPr="00227033">
        <w:tab/>
        <w:t xml:space="preserve">mając na uwadze, że jest to drugie uruchomienie EFG, o które wnioskowały władze niemieckie w związku z restrukturyzacją przedsiębiorstwa </w:t>
      </w:r>
      <w:proofErr w:type="spellStart"/>
      <w:r w:rsidRPr="00227033">
        <w:t>Goodyear</w:t>
      </w:r>
      <w:proofErr w:type="spellEnd"/>
      <w:r w:rsidRPr="00227033">
        <w:t xml:space="preserve">, ponieważ EFG uruchomiono po zamknięciu </w:t>
      </w:r>
      <w:r w:rsidR="008B13ED">
        <w:t xml:space="preserve">jednego z </w:t>
      </w:r>
      <w:r w:rsidRPr="00227033">
        <w:t>zakład</w:t>
      </w:r>
      <w:r w:rsidR="008B13ED">
        <w:t>ów</w:t>
      </w:r>
      <w:r w:rsidRPr="00227033">
        <w:t xml:space="preserve"> tego przedsiębiorstwa w </w:t>
      </w:r>
      <w:proofErr w:type="spellStart"/>
      <w:r w:rsidRPr="00227033">
        <w:t>Philippsburgu</w:t>
      </w:r>
      <w:proofErr w:type="spellEnd"/>
      <w:r w:rsidRPr="00227033">
        <w:t xml:space="preserve"> w 2017 r.;</w:t>
      </w:r>
    </w:p>
    <w:p w14:paraId="0A77F055" w14:textId="77777777" w:rsidR="003B19A2" w:rsidRPr="00227033" w:rsidRDefault="003B19A2" w:rsidP="003B19A2">
      <w:pPr>
        <w:pStyle w:val="NormalHanging12a"/>
        <w:rPr>
          <w:noProof/>
        </w:rPr>
      </w:pPr>
      <w:r w:rsidRPr="00227033">
        <w:lastRenderedPageBreak/>
        <w:t>H.</w:t>
      </w:r>
      <w:r w:rsidRPr="00227033">
        <w:rPr>
          <w:color w:val="7030A0"/>
        </w:rPr>
        <w:tab/>
      </w:r>
      <w:r w:rsidRPr="00227033">
        <w:t>mając na uwadze, że gwałtowny spadek popytu w połączeniu z rosnącymi kosztami produkcji zmusił przedsiębiorstwo do przeprowadzenia procesu restrukturyzacji, który wiązał się z zamknięciem jednego z zakładów produkcyjnych i częściowym zamknięciem innego zakładu w Niemczech w 2024 r.;</w:t>
      </w:r>
    </w:p>
    <w:p w14:paraId="364BB4F6" w14:textId="77777777" w:rsidR="003B19A2" w:rsidRPr="00227033" w:rsidRDefault="003B19A2" w:rsidP="003B19A2">
      <w:pPr>
        <w:pStyle w:val="NormalHanging12a"/>
        <w:jc w:val="both"/>
      </w:pPr>
      <w:r w:rsidRPr="00227033">
        <w:t>I.</w:t>
      </w:r>
      <w:r w:rsidRPr="00227033">
        <w:tab/>
        <w:t xml:space="preserve">mając na uwadze, że niemiecki budżet federalny oraz </w:t>
      </w:r>
      <w:proofErr w:type="spellStart"/>
      <w:r w:rsidRPr="00227033">
        <w:t>Bundesagentur</w:t>
      </w:r>
      <w:proofErr w:type="spellEnd"/>
      <w:r w:rsidRPr="00227033">
        <w:t xml:space="preserve"> </w:t>
      </w:r>
      <w:proofErr w:type="spellStart"/>
      <w:r w:rsidRPr="00227033">
        <w:t>für</w:t>
      </w:r>
      <w:proofErr w:type="spellEnd"/>
      <w:r w:rsidRPr="00227033">
        <w:t xml:space="preserve"> </w:t>
      </w:r>
      <w:proofErr w:type="spellStart"/>
      <w:r w:rsidRPr="00227033">
        <w:t>Arbeit</w:t>
      </w:r>
      <w:proofErr w:type="spellEnd"/>
      <w:r w:rsidRPr="00227033">
        <w:t xml:space="preserve"> wypłacają zaliczki na poczet wspomnianych środków i je współfinansują;</w:t>
      </w:r>
    </w:p>
    <w:p w14:paraId="116A112B" w14:textId="77777777" w:rsidR="003B19A2" w:rsidRPr="00227033" w:rsidRDefault="003B19A2" w:rsidP="003B19A2">
      <w:pPr>
        <w:pStyle w:val="NormalHanging12a"/>
        <w:jc w:val="both"/>
      </w:pPr>
      <w:r w:rsidRPr="00227033">
        <w:t>J.</w:t>
      </w:r>
      <w:r w:rsidRPr="00227033">
        <w:tab/>
        <w:t>mając na uwadze, że spełniono wymogi przepisów unijnych i krajowych odnoszących się do zwolnień grupowych;</w:t>
      </w:r>
    </w:p>
    <w:p w14:paraId="2D216342" w14:textId="77777777" w:rsidR="003B19A2" w:rsidRPr="00227033" w:rsidRDefault="003B19A2" w:rsidP="003B19A2">
      <w:pPr>
        <w:pStyle w:val="NormalHanging12a"/>
      </w:pPr>
      <w:r w:rsidRPr="00227033">
        <w:t>K.</w:t>
      </w:r>
      <w:r w:rsidRPr="00227033">
        <w:tab/>
        <w:t>mając na uwadze, że wkłady finansowe z EFG powinny być ukierunkowane przede wszystkim na środki aktywnej polityki rynku pracy i zindywidualizowane usługi, które mają na celu szybką reintegrację beneficjentów poprzez umożliwienie im godnego i trwałego zatrudnienia w ich pierwotnym sektorze działalności lub poza nim, przy jednoczesnym przygotowaniu ich do funkcjonowania w bardziej ekologicznej i cyfrowej gospodarce europejskiej;</w:t>
      </w:r>
    </w:p>
    <w:p w14:paraId="74E99D23" w14:textId="77777777" w:rsidR="003B19A2" w:rsidRPr="00227033" w:rsidRDefault="003B19A2" w:rsidP="003B19A2">
      <w:pPr>
        <w:widowControl/>
        <w:spacing w:after="240"/>
        <w:ind w:left="567" w:hanging="567"/>
        <w:rPr>
          <w:szCs w:val="24"/>
        </w:rPr>
      </w:pPr>
      <w:r w:rsidRPr="00227033">
        <w:t>L.</w:t>
      </w:r>
      <w:r w:rsidRPr="00227033">
        <w:rPr>
          <w:color w:val="7030A0"/>
        </w:rPr>
        <w:tab/>
      </w:r>
      <w:r w:rsidRPr="00227033">
        <w:t xml:space="preserve">mając na uwadze, że środki EFG nie mogą przekroczyć maksymalnej rocznej kwoty 30 mln EUR (w cenach z 2018 r.), jak określono w art. 8 rozporządzenia (UE, </w:t>
      </w:r>
      <w:proofErr w:type="spellStart"/>
      <w:r w:rsidRPr="00227033">
        <w:t>Euratom</w:t>
      </w:r>
      <w:proofErr w:type="spellEnd"/>
      <w:r w:rsidRPr="00227033">
        <w:t xml:space="preserve">) 2020/2093, zmienionego rozporządzeniem Rady (UE, </w:t>
      </w:r>
      <w:proofErr w:type="spellStart"/>
      <w:r w:rsidRPr="00227033">
        <w:t>Euratom</w:t>
      </w:r>
      <w:proofErr w:type="spellEnd"/>
      <w:r w:rsidRPr="00227033">
        <w:t xml:space="preserve">) 2024/765; </w:t>
      </w:r>
    </w:p>
    <w:p w14:paraId="413E3077" w14:textId="77777777" w:rsidR="003B19A2" w:rsidRPr="00227033" w:rsidRDefault="003B19A2" w:rsidP="003B19A2">
      <w:pPr>
        <w:pStyle w:val="NormalHanging12a"/>
      </w:pPr>
      <w:r w:rsidRPr="00227033">
        <w:t>1.</w:t>
      </w:r>
      <w:r w:rsidRPr="00227033">
        <w:tab/>
        <w:t>zgadza się z Komisją, że warunki wymienione w art. 4 ust. 2 lit. a) rozporządzenia w sprawie EFG zostały spełnione i że Niemcy mają prawo do wkładu finansowego w wysokości 3 085 166 EUR na mocy tego rozporządzenia, co stanowi 60 % łącznych kosztów wynoszących 5 141 944 EUR, na które składają się wydatki na zindywidualizowane usługi w wysokości 4 936 274 EUR oraz wydatki na działania przygotowawcze, działania w zakresie zarządzania, informacji, reklamy, kontroli i sprawozdawczości w wysokości 205 670 EUR;</w:t>
      </w:r>
    </w:p>
    <w:p w14:paraId="09D61CAD" w14:textId="77777777" w:rsidR="003B19A2" w:rsidRPr="00227033" w:rsidRDefault="003B19A2" w:rsidP="003B19A2">
      <w:pPr>
        <w:pStyle w:val="NormalHanging12a"/>
      </w:pPr>
      <w:r w:rsidRPr="00227033">
        <w:t xml:space="preserve">2. </w:t>
      </w:r>
      <w:r w:rsidRPr="00227033">
        <w:tab/>
        <w:t xml:space="preserve">zauważa, że niemieckie władze złożyły wniosek w dniu 10 marca 2025 r. oraz że po przekazaniu przez Niemcy dodatkowych informacji Komisja zakończyła ocenę tego wniosku w dniu 29 lipca 2025 r., czyli ponad cztery miesiące później, i przekazała ją Parlamentowi w dniu 26 sierpnia 2025 r.; </w:t>
      </w:r>
    </w:p>
    <w:p w14:paraId="7616CB59" w14:textId="77777777" w:rsidR="003B19A2" w:rsidRPr="00227033" w:rsidRDefault="003B19A2" w:rsidP="003B19A2">
      <w:pPr>
        <w:pStyle w:val="NormalHanging12a"/>
      </w:pPr>
      <w:r w:rsidRPr="00227033">
        <w:t>3.</w:t>
      </w:r>
      <w:r w:rsidRPr="00227033">
        <w:tab/>
        <w:t>zauważa, że wniosek dotyczy 1 171 pracowników zwolnionych w wyniku zamknięcia zakładu produkcyjnego w Fuldzie oraz częściowego zamknięcia produkcji w zakładzie w </w:t>
      </w:r>
      <w:proofErr w:type="spellStart"/>
      <w:r w:rsidRPr="00227033">
        <w:t>Hanau</w:t>
      </w:r>
      <w:proofErr w:type="spellEnd"/>
      <w:r w:rsidRPr="00227033">
        <w:t>; ponadto zauważa, że łącznie 915 zwolnionych pracowników będzie beneficjentami objętymi pomocą i zostanie objętych środkami wsparcia;</w:t>
      </w:r>
    </w:p>
    <w:p w14:paraId="6383FF81" w14:textId="77777777" w:rsidR="003B19A2" w:rsidRPr="00227033" w:rsidRDefault="003B19A2" w:rsidP="003B19A2">
      <w:pPr>
        <w:pStyle w:val="NormalHanging12a"/>
      </w:pPr>
      <w:r w:rsidRPr="00227033">
        <w:t>4.</w:t>
      </w:r>
      <w:r w:rsidRPr="00227033">
        <w:tab/>
        <w:t xml:space="preserve">zwraca uwagę, że większość zwolnionych pracowników ma niskie wykształcenie (56 % posiada wykształcenie średnie I stopnia lub niższe) i ma 54 lata lub więcej (42 %); podkreśla, że zwłaszcza starsi pracownicy stanowią szczególnie wrażliwą grupę, która boryka się ze znacznymi barierami w ponownym zatrudnieniu ze względu na ograniczone możliwości podnoszenia kwalifikacji i przekwalifikowania; </w:t>
      </w:r>
    </w:p>
    <w:p w14:paraId="59EDE089" w14:textId="43CFCB56" w:rsidR="003B19A2" w:rsidRPr="00227033" w:rsidRDefault="003B19A2" w:rsidP="003B19A2">
      <w:pPr>
        <w:pStyle w:val="NormalHanging12a"/>
      </w:pPr>
      <w:r w:rsidRPr="00227033">
        <w:t>5.</w:t>
      </w:r>
      <w:r w:rsidRPr="00227033">
        <w:tab/>
        <w:t xml:space="preserve">zwraca uwagę, że zwolnienia w przedsiębiorstwie </w:t>
      </w:r>
      <w:proofErr w:type="spellStart"/>
      <w:r w:rsidRPr="00227033">
        <w:t>Goodyear</w:t>
      </w:r>
      <w:proofErr w:type="spellEnd"/>
      <w:r w:rsidRPr="00227033">
        <w:t xml:space="preserve"> spowodowały wzrost rocznej stopy bezrobocia w regionie Fulda o ponad 10%, co miało nieproporcjonalny wpływ na pracowników płci męskiej i osoby powyżej 50. roku życia, z których wielu posiada przestarzałe kwalifikacje i umiejętności, które nie odpowiadają aktualnym wymaganiom rynku pracy; podkreśla, że potrzebne są szybkie działania, aby zapobiec strukturalnej zapaści w regionie, oraz podkreśla, jak ważne jest tworzenie </w:t>
      </w:r>
      <w:r w:rsidRPr="00227033">
        <w:lastRenderedPageBreak/>
        <w:t>przyszłościowych miejsc pracy wysokiej jakości z myślą o długoterminowej odporności gospodarczej i społecznej;</w:t>
      </w:r>
    </w:p>
    <w:p w14:paraId="15CBDE75" w14:textId="77777777" w:rsidR="003B19A2" w:rsidRPr="00227033" w:rsidRDefault="003B19A2" w:rsidP="003B19A2">
      <w:pPr>
        <w:pStyle w:val="NormalHanging12a"/>
      </w:pPr>
      <w:r w:rsidRPr="00227033">
        <w:t>6.</w:t>
      </w:r>
      <w:r w:rsidRPr="00227033">
        <w:tab/>
        <w:t>przypomina, że zindywidualizowane usługi, które mają zostać zapewnione pracownikom, obejmują następujące działania: istotne środki w zakresie podnoszenia lub zmiany kwalifikacji, poradnictwo i doradztwo oraz środki w zakresie orientacji i aktywizacji zawodowej, usługi doradcze dla podmiotów rozpoczynających działalność gospodarczą i dotacje na rozpoczęcie działalności gospodarczej, pomoc w poszukiwaniu pracy, zachęty do podnoszenia i uzupełniania kwalifikacji, dodatki szkoleniowe, szkolenia w zakresie umiejętności cyfrowych; podkreśla w tym kontekście, że dobrze wyszkolona siła robocza ma kluczowe znaczenie dla europejskiej gospodarki przygotowanej na przyszłe wyzwania;</w:t>
      </w:r>
    </w:p>
    <w:p w14:paraId="4921FD8E" w14:textId="5B1941BE" w:rsidR="003B19A2" w:rsidRPr="00227033" w:rsidRDefault="003B19A2" w:rsidP="003B19A2">
      <w:pPr>
        <w:pStyle w:val="NormalHanging12a"/>
      </w:pPr>
      <w:r w:rsidRPr="00227033">
        <w:t>7.</w:t>
      </w:r>
      <w:r w:rsidRPr="00227033">
        <w:tab/>
        <w:t xml:space="preserve">uważa, że obowiązkiem społecznym Unii i państw członkowskich jest zapewnienie </w:t>
      </w:r>
      <w:r w:rsidR="008B13ED">
        <w:t>zwolnionym</w:t>
      </w:r>
      <w:r w:rsidRPr="00227033">
        <w:t xml:space="preserve"> pracownikom kwalifikacji niezbędnych w europejskiej gospodarce przygotowanej na przyszłe wyzwania, w której przeprowadzono transformację cyfrową i ekologiczną; w związku z tym uważa, że uruchomienie EFG musi być częścią szerszej reakcji politycznej;</w:t>
      </w:r>
    </w:p>
    <w:p w14:paraId="3808FC44" w14:textId="77777777" w:rsidR="003B19A2" w:rsidRPr="00227033" w:rsidRDefault="003B19A2" w:rsidP="003B19A2">
      <w:pPr>
        <w:pStyle w:val="NormalHanging12a"/>
      </w:pPr>
      <w:r w:rsidRPr="00227033">
        <w:t>8.</w:t>
      </w:r>
      <w:r w:rsidRPr="00227033">
        <w:tab/>
        <w:t>apeluje o przeprowadzenie szczegółowych ocen końcowych dotyczących wdrożonych środków i obejmujących dane o liczbie pracowników, którzy pomyślnie powrócili na rynek pracy, a także o pracownikach, którzy ukończyli szkolenia i skorzystali ze środków podnoszenia kwalifikacji;</w:t>
      </w:r>
    </w:p>
    <w:p w14:paraId="7FF7081E" w14:textId="77777777" w:rsidR="003B19A2" w:rsidRPr="00227033" w:rsidRDefault="003B19A2" w:rsidP="003B19A2">
      <w:pPr>
        <w:pStyle w:val="NormalHanging12a"/>
      </w:pPr>
      <w:r w:rsidRPr="00227033">
        <w:t>9.</w:t>
      </w:r>
      <w:r w:rsidRPr="00227033">
        <w:tab/>
        <w:t xml:space="preserve">zauważa, że na dzień 20 lutego 2025 r. zawarto łącznie 915 umów trójstronnych między przedsiębiorstwem </w:t>
      </w:r>
      <w:proofErr w:type="spellStart"/>
      <w:r w:rsidRPr="00227033">
        <w:t>Goodyear</w:t>
      </w:r>
      <w:proofErr w:type="spellEnd"/>
      <w:r w:rsidRPr="00227033">
        <w:t xml:space="preserve">, pracownikami, a PMB International GmbH, usługodawcą wybranym do zarządzania spółką transferową, w tym 781 pozycji przewidziano dla zakładu w Fuldzie i 134 dla </w:t>
      </w:r>
      <w:proofErr w:type="spellStart"/>
      <w:r w:rsidRPr="00227033">
        <w:t>Hanau</w:t>
      </w:r>
      <w:proofErr w:type="spellEnd"/>
      <w:r w:rsidRPr="00227033">
        <w:t>; z zadowoleniem przyjmuje informację, że liczby te będą rosnąć w miarę podpisywania kolejnych umów;</w:t>
      </w:r>
    </w:p>
    <w:p w14:paraId="42FF6168" w14:textId="4226F217" w:rsidR="003B19A2" w:rsidRPr="00227033" w:rsidRDefault="003B19A2" w:rsidP="003B19A2">
      <w:pPr>
        <w:pStyle w:val="NormalHanging12a"/>
      </w:pPr>
      <w:r w:rsidRPr="00227033">
        <w:t>10.</w:t>
      </w:r>
      <w:r w:rsidRPr="00227033">
        <w:tab/>
        <w:t xml:space="preserve">stwierdza, że 1 listopada 2024 r. Niemcy rozpoczęły świadczenie zindywidualizowanych usług na rzecz beneficjentów objętych pomocą, a zatem okres kwalifikowalności do otrzymania wkładu finansowego z EFG będzie trwał od tego dnia do upłynięcia 24 miesięcy od daty wejścia w życie decyzji </w:t>
      </w:r>
      <w:r w:rsidR="008B13ED">
        <w:t>załączonej do niniejszej rezolucji</w:t>
      </w:r>
      <w:r w:rsidRPr="00227033">
        <w:t>;</w:t>
      </w:r>
    </w:p>
    <w:p w14:paraId="5A48AC05" w14:textId="15940F09" w:rsidR="003B19A2" w:rsidRPr="00227033" w:rsidRDefault="003B19A2" w:rsidP="003B19A2">
      <w:pPr>
        <w:pStyle w:val="NormalHanging12a"/>
        <w:rPr>
          <w:sz w:val="23"/>
          <w:szCs w:val="23"/>
        </w:rPr>
      </w:pPr>
      <w:r w:rsidRPr="00227033">
        <w:t>11.</w:t>
      </w:r>
      <w:r w:rsidRPr="00227033">
        <w:tab/>
        <w:t xml:space="preserve">stwierdza, że Niemcy zaczęły ponosić wydatki administracyjne związane z wdrażaniem EFG 1 listopada 2024 r. i że takie wydatki kwalifikują się do otrzymania wkładu finansowego z EFG od tego dnia do upłynięcia 31 miesięcy od daty wejścia w życie decyzji </w:t>
      </w:r>
      <w:r w:rsidR="008B13ED">
        <w:t>załączonej do niniejszej rezolucji</w:t>
      </w:r>
      <w:r w:rsidRPr="00227033">
        <w:t>;</w:t>
      </w:r>
    </w:p>
    <w:p w14:paraId="30FC2278" w14:textId="77777777" w:rsidR="003B19A2" w:rsidRPr="00227033" w:rsidRDefault="003B19A2" w:rsidP="003B19A2">
      <w:pPr>
        <w:pStyle w:val="NormalHanging12a"/>
      </w:pPr>
      <w:r w:rsidRPr="00227033">
        <w:t>12.</w:t>
      </w:r>
      <w:r w:rsidRPr="00227033">
        <w:tab/>
        <w:t>podkreśla, że władze niemieckie zapewniły, iż przy dostępie do proponowanych działań i ich wdrażaniu przestrzegane będą zasady równego traktowania i niedyskryminacji oraz że będzie się zapobiegać ewentualnym przypadkom podwójnego finansowania;</w:t>
      </w:r>
    </w:p>
    <w:p w14:paraId="53C32996" w14:textId="77777777" w:rsidR="003B19A2" w:rsidRPr="00227033" w:rsidRDefault="003B19A2" w:rsidP="003B19A2">
      <w:pPr>
        <w:pStyle w:val="NormalHanging12a"/>
      </w:pPr>
      <w:r w:rsidRPr="00227033">
        <w:t>13.</w:t>
      </w:r>
      <w:r w:rsidRPr="00227033">
        <w:tab/>
        <w:t>przypomina, że władze niemieckie uznają pochodzenie finansowania unijnego i zapewniają jego widoczność, a także podkreślają europejską wartość dodaną; podkreśla, że należy to osiągnąć za pomocą działań informacyjnych skierowanych do beneficjentów, partnerów społecznych i mediów;</w:t>
      </w:r>
    </w:p>
    <w:p w14:paraId="011F5116" w14:textId="77777777" w:rsidR="003B19A2" w:rsidRPr="00227033" w:rsidRDefault="003B19A2" w:rsidP="003B19A2">
      <w:pPr>
        <w:pStyle w:val="NormalHanging12a"/>
      </w:pPr>
      <w:r w:rsidRPr="00227033">
        <w:t>14.</w:t>
      </w:r>
      <w:r w:rsidRPr="00227033">
        <w:tab/>
        <w:t>przypomina, że pomoc z EFG nie może zastępować działań, za które na mocy prawa krajowego lub układów zbiorowych odpowiedzialne są przedsiębiorstwa;</w:t>
      </w:r>
    </w:p>
    <w:p w14:paraId="29767A8E" w14:textId="77777777" w:rsidR="003B19A2" w:rsidRPr="00227033" w:rsidRDefault="003B19A2" w:rsidP="003B19A2">
      <w:pPr>
        <w:pStyle w:val="NormalHanging12a"/>
      </w:pPr>
      <w:r w:rsidRPr="00227033">
        <w:lastRenderedPageBreak/>
        <w:t>15.</w:t>
      </w:r>
      <w:r w:rsidRPr="00227033">
        <w:tab/>
        <w:t>podkreśla pilną potrzebę spójnych i skoordynowanych wysiłków Unii na rzecz konkurencyjności, opracowanych w ścisłej współpracy z państwami członkowskimi, w celu ochrony europejskiej bazy zatrudnienia w przemyśle i zabezpieczenia społecznego; podkreśla, że jedynie solidna i odporna gospodarka europejska może skutecznie zapobiegać zwolnieniom na dużą skalę, a tym samym ograniczać potrzebę interwencji ze strony EFG;</w:t>
      </w:r>
    </w:p>
    <w:p w14:paraId="414870F4" w14:textId="77777777" w:rsidR="003B19A2" w:rsidRPr="00227033" w:rsidRDefault="003B19A2" w:rsidP="003B19A2">
      <w:pPr>
        <w:pStyle w:val="NormalHanging12a"/>
      </w:pPr>
      <w:r w:rsidRPr="00227033">
        <w:t>16.</w:t>
      </w:r>
      <w:r w:rsidRPr="00227033">
        <w:tab/>
        <w:t>zatwierdza decyzję załączoną do rezolucji;</w:t>
      </w:r>
    </w:p>
    <w:p w14:paraId="13221E0B" w14:textId="77777777" w:rsidR="003B19A2" w:rsidRPr="00227033" w:rsidRDefault="003B19A2" w:rsidP="003B19A2">
      <w:pPr>
        <w:pStyle w:val="NormalHanging12a"/>
      </w:pPr>
      <w:r w:rsidRPr="00227033">
        <w:t>17.</w:t>
      </w:r>
      <w:r w:rsidRPr="00227033">
        <w:tab/>
        <w:t xml:space="preserve">zobowiązuje swoją przewodniczącą do podpisania wraz z przewodniczącym Rady niniejszej decyzji i zapewnienia jej publikacji w </w:t>
      </w:r>
      <w:r w:rsidRPr="00227033">
        <w:rPr>
          <w:i/>
        </w:rPr>
        <w:t>Dzienniku Urzędowym Unii Europejskiej</w:t>
      </w:r>
      <w:r w:rsidRPr="00227033">
        <w:t>;</w:t>
      </w:r>
    </w:p>
    <w:p w14:paraId="1EE73C41" w14:textId="77777777" w:rsidR="003B19A2" w:rsidRPr="00227033" w:rsidRDefault="003B19A2" w:rsidP="003B19A2">
      <w:pPr>
        <w:widowControl/>
        <w:ind w:left="567" w:hanging="567"/>
      </w:pPr>
      <w:r w:rsidRPr="00227033">
        <w:t>18.</w:t>
      </w:r>
      <w:r w:rsidRPr="00227033">
        <w:tab/>
        <w:t>zobowiązuje swoją przewodniczącą do przekazania niniejszej rezolucji wraz z załącznikiem Radzie i Komisji.</w:t>
      </w:r>
    </w:p>
    <w:p w14:paraId="27FF3C31" w14:textId="77777777" w:rsidR="003B19A2" w:rsidRPr="00227033" w:rsidRDefault="003B19A2" w:rsidP="003B19A2">
      <w:bookmarkStart w:id="7" w:name="_Toc206749151"/>
    </w:p>
    <w:p w14:paraId="05B4EE95" w14:textId="77777777" w:rsidR="003B19A2" w:rsidRPr="00227033" w:rsidRDefault="003B19A2" w:rsidP="003B19A2">
      <w:pPr>
        <w:sectPr w:rsidR="003B19A2" w:rsidRPr="00227033" w:rsidSect="0022703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40659D0B" w14:textId="77777777" w:rsidR="000D2D4F" w:rsidRDefault="003B19A2" w:rsidP="003B19A2">
      <w:pPr>
        <w:pStyle w:val="PageHeading"/>
      </w:pPr>
      <w:bookmarkStart w:id="8" w:name="_Toc210380845"/>
      <w:r w:rsidRPr="00227033">
        <w:lastRenderedPageBreak/>
        <w:t>ZAŁĄCZNIK</w:t>
      </w:r>
    </w:p>
    <w:p w14:paraId="09318840" w14:textId="01C3677B" w:rsidR="003B19A2" w:rsidRPr="00227033" w:rsidRDefault="003B19A2" w:rsidP="003B19A2">
      <w:pPr>
        <w:pStyle w:val="PageHeading"/>
        <w:rPr>
          <w:noProof/>
        </w:rPr>
      </w:pPr>
      <w:r w:rsidRPr="00227033">
        <w:t>DECYZJA PARLAMENTU EUROPEJSKIEGO I RADY</w:t>
      </w:r>
      <w:bookmarkEnd w:id="7"/>
      <w:bookmarkEnd w:id="8"/>
    </w:p>
    <w:p w14:paraId="4C44A29E" w14:textId="77777777" w:rsidR="003B19A2" w:rsidRPr="00227033" w:rsidRDefault="003B19A2" w:rsidP="003B19A2">
      <w:pPr>
        <w:pStyle w:val="NormalBold24a"/>
        <w:spacing w:before="120" w:after="0"/>
        <w:rPr>
          <w:noProof/>
        </w:rPr>
      </w:pPr>
      <w:r w:rsidRPr="00227033">
        <w:t>w sprawie uruchomienia Europejskiego Funduszu Dostosowania do Globalizacji dla Zwalnianych Pracowników w następstwie wniosku złożonego przez Niemcy (EGF/2025/002 DE/</w:t>
      </w:r>
      <w:proofErr w:type="spellStart"/>
      <w:r w:rsidRPr="00227033">
        <w:t>Goodyear</w:t>
      </w:r>
      <w:proofErr w:type="spellEnd"/>
      <w:r w:rsidRPr="00227033">
        <w:t xml:space="preserve"> 2)</w:t>
      </w:r>
    </w:p>
    <w:p w14:paraId="1E2E05BC" w14:textId="74AD802C" w:rsidR="000D2D4F" w:rsidRPr="009B0F34" w:rsidRDefault="000D2D4F" w:rsidP="000D2D4F">
      <w:pPr>
        <w:spacing w:before="240"/>
        <w:rPr>
          <w:i/>
        </w:rPr>
      </w:pPr>
      <w:r w:rsidRPr="009B0F34">
        <w:rPr>
          <w:i/>
        </w:rPr>
        <w:t>(Tekst tego załącznika nie został powtórzony w tym miejscu, ponieważ odpowiada on końcowej wersji decyzji (UE) 2025/</w:t>
      </w:r>
      <w:r>
        <w:rPr>
          <w:i/>
        </w:rPr>
        <w:t>2135</w:t>
      </w:r>
      <w:r w:rsidRPr="009B0F34">
        <w:rPr>
          <w:i/>
        </w:rPr>
        <w:t>.)</w:t>
      </w:r>
    </w:p>
    <w:p w14:paraId="542F896E" w14:textId="77777777" w:rsidR="003B19A2" w:rsidRPr="00227033" w:rsidRDefault="003B19A2" w:rsidP="000D2D4F">
      <w:pPr>
        <w:pStyle w:val="Institutionquiagit"/>
        <w:tabs>
          <w:tab w:val="left" w:pos="567"/>
          <w:tab w:val="left" w:pos="1134"/>
        </w:tabs>
      </w:pPr>
    </w:p>
    <w:sectPr w:rsidR="003B19A2" w:rsidRPr="00227033" w:rsidSect="0022703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7E09D" w14:textId="77777777" w:rsidR="0043309A" w:rsidRPr="00227033" w:rsidRDefault="0043309A">
      <w:r w:rsidRPr="00227033">
        <w:separator/>
      </w:r>
    </w:p>
  </w:endnote>
  <w:endnote w:type="continuationSeparator" w:id="0">
    <w:p w14:paraId="2A8A4877" w14:textId="77777777" w:rsidR="0043309A" w:rsidRPr="00227033" w:rsidRDefault="0043309A">
      <w:r w:rsidRPr="002270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DB39B" w14:textId="77777777" w:rsidR="003B19A2" w:rsidRPr="00227033" w:rsidRDefault="003B19A2" w:rsidP="00C64340">
    <w:pPr>
      <w:pStyle w:val="EPFooter"/>
    </w:pPr>
    <w:r w:rsidRPr="00227033">
      <w:t>PE</w:t>
    </w:r>
    <w:r w:rsidRPr="00227033">
      <w:rPr>
        <w:rStyle w:val="HideTWBExt"/>
      </w:rPr>
      <w:t>&lt;NoPE&gt;</w:t>
    </w:r>
    <w:r w:rsidRPr="00227033">
      <w:t>776.828</w:t>
    </w:r>
    <w:r w:rsidRPr="00227033">
      <w:rPr>
        <w:rStyle w:val="HideTWBExt"/>
      </w:rPr>
      <w:t>&lt;/NoPE&gt;&lt;Version&gt;</w:t>
    </w:r>
    <w:r w:rsidRPr="00227033">
      <w:t>v02-00</w:t>
    </w:r>
    <w:r w:rsidRPr="00227033">
      <w:rPr>
        <w:rStyle w:val="HideTWBExt"/>
      </w:rPr>
      <w:t>&lt;/Version&gt;</w:t>
    </w:r>
    <w:r w:rsidRPr="00227033">
      <w:tab/>
    </w:r>
    <w:r w:rsidRPr="00227033">
      <w:fldChar w:fldCharType="begin"/>
    </w:r>
    <w:r w:rsidRPr="00227033">
      <w:instrText xml:space="preserve"> PAGE  \* MERGEFORMAT </w:instrText>
    </w:r>
    <w:r w:rsidRPr="00227033">
      <w:fldChar w:fldCharType="separate"/>
    </w:r>
    <w:r w:rsidRPr="00227033">
      <w:rPr>
        <w:noProof/>
      </w:rPr>
      <w:t>6</w:t>
    </w:r>
    <w:r w:rsidRPr="00227033">
      <w:fldChar w:fldCharType="end"/>
    </w:r>
    <w:r w:rsidRPr="00227033">
      <w:t>/</w:t>
    </w:r>
    <w:r w:rsidR="000D2D4F">
      <w:fldChar w:fldCharType="begin"/>
    </w:r>
    <w:r w:rsidR="000D2D4F">
      <w:instrText xml:space="preserve"> NUMPAGES  \* MERGEFORMAT </w:instrText>
    </w:r>
    <w:r w:rsidR="000D2D4F">
      <w:fldChar w:fldCharType="separate"/>
    </w:r>
    <w:r w:rsidRPr="00227033">
      <w:rPr>
        <w:noProof/>
      </w:rPr>
      <w:t>18</w:t>
    </w:r>
    <w:r w:rsidR="000D2D4F">
      <w:rPr>
        <w:noProof/>
      </w:rPr>
      <w:fldChar w:fldCharType="end"/>
    </w:r>
    <w:r w:rsidRPr="00227033">
      <w:tab/>
    </w:r>
    <w:r w:rsidRPr="00227033">
      <w:rPr>
        <w:rStyle w:val="HideTWBExt"/>
      </w:rPr>
      <w:t>&lt;PathFdR&gt;</w:t>
    </w:r>
    <w:r w:rsidRPr="00227033">
      <w:t>RR\1328613PL.docx</w:t>
    </w:r>
    <w:r w:rsidRPr="00227033">
      <w:rPr>
        <w:rStyle w:val="HideTWBExt"/>
      </w:rPr>
      <w:t>&lt;/PathFdR&gt;</w:t>
    </w:r>
  </w:p>
  <w:p w14:paraId="1370292A" w14:textId="77777777" w:rsidR="003B19A2" w:rsidRPr="00227033" w:rsidRDefault="003B19A2" w:rsidP="00C64340">
    <w:pPr>
      <w:pStyle w:val="EPFooter2"/>
    </w:pPr>
    <w:r w:rsidRPr="00227033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40942" w14:textId="30EEDC6F" w:rsidR="003B19A2" w:rsidRPr="00227033" w:rsidRDefault="003B19A2" w:rsidP="00C64340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95205" w14:textId="77777777" w:rsidR="003B19A2" w:rsidRPr="00227033" w:rsidRDefault="003B19A2" w:rsidP="00C64340">
    <w:pPr>
      <w:pStyle w:val="EPFooter"/>
    </w:pPr>
    <w:r w:rsidRPr="00227033">
      <w:rPr>
        <w:rStyle w:val="HideTWBExt"/>
      </w:rPr>
      <w:t>&lt;PathFdR&gt;</w:t>
    </w:r>
    <w:r w:rsidRPr="00227033">
      <w:t>RR\1328613PL.docx</w:t>
    </w:r>
    <w:r w:rsidRPr="00227033">
      <w:rPr>
        <w:rStyle w:val="HideTWBExt"/>
      </w:rPr>
      <w:t>&lt;/PathFdR&gt;</w:t>
    </w:r>
    <w:r w:rsidRPr="00227033">
      <w:tab/>
    </w:r>
    <w:r w:rsidRPr="00227033">
      <w:tab/>
      <w:t>PE</w:t>
    </w:r>
    <w:r w:rsidRPr="00227033">
      <w:rPr>
        <w:rStyle w:val="HideTWBExt"/>
      </w:rPr>
      <w:t>&lt;NoPE&gt;</w:t>
    </w:r>
    <w:r w:rsidRPr="00227033">
      <w:t>776.828</w:t>
    </w:r>
    <w:r w:rsidRPr="00227033">
      <w:rPr>
        <w:rStyle w:val="HideTWBExt"/>
      </w:rPr>
      <w:t>&lt;/NoPE&gt;&lt;Version&gt;</w:t>
    </w:r>
    <w:r w:rsidRPr="00227033">
      <w:t>v02-00</w:t>
    </w:r>
    <w:r w:rsidRPr="00227033">
      <w:rPr>
        <w:rStyle w:val="HideTWBExt"/>
      </w:rPr>
      <w:t>&lt;/Version&gt;</w:t>
    </w:r>
  </w:p>
  <w:p w14:paraId="02CC2D69" w14:textId="77777777" w:rsidR="003B19A2" w:rsidRPr="00227033" w:rsidRDefault="003B19A2" w:rsidP="00C64340">
    <w:pPr>
      <w:pStyle w:val="EPFooter2"/>
    </w:pPr>
    <w:r w:rsidRPr="00227033">
      <w:t>PL</w:t>
    </w:r>
    <w:r w:rsidRPr="00227033">
      <w:tab/>
    </w:r>
    <w:r w:rsidRPr="00227033">
      <w:rPr>
        <w:b w:val="0"/>
        <w:i/>
        <w:color w:val="C0C0C0"/>
        <w:sz w:val="22"/>
      </w:rPr>
      <w:t>Zjednoczona w różnorodności</w:t>
    </w:r>
    <w:r w:rsidRPr="00227033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21DF2" w14:textId="77777777" w:rsidR="00064002" w:rsidRPr="0022703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25569" w14:textId="77777777" w:rsidR="00064002" w:rsidRPr="0022703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C487E" w14:textId="77777777" w:rsidR="00064002" w:rsidRPr="002270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B19F6" w14:textId="77777777" w:rsidR="0043309A" w:rsidRPr="00227033" w:rsidRDefault="0043309A">
      <w:r w:rsidRPr="00227033">
        <w:separator/>
      </w:r>
    </w:p>
  </w:footnote>
  <w:footnote w:type="continuationSeparator" w:id="0">
    <w:p w14:paraId="6956C924" w14:textId="77777777" w:rsidR="0043309A" w:rsidRPr="00227033" w:rsidRDefault="0043309A">
      <w:r w:rsidRPr="00227033">
        <w:continuationSeparator/>
      </w:r>
    </w:p>
  </w:footnote>
  <w:footnote w:id="1">
    <w:p w14:paraId="3D38092E" w14:textId="3AFFFDC3" w:rsidR="003B19A2" w:rsidRPr="00227033" w:rsidRDefault="003B19A2" w:rsidP="00227033">
      <w:pPr>
        <w:pStyle w:val="FootnoteText"/>
        <w:ind w:left="567" w:hanging="567"/>
        <w:rPr>
          <w:sz w:val="24"/>
          <w:lang w:val="pl-PL"/>
        </w:rPr>
      </w:pPr>
      <w:r w:rsidRPr="00227033">
        <w:rPr>
          <w:rStyle w:val="FootnoteReference"/>
          <w:sz w:val="24"/>
          <w:lang w:val="pl-PL"/>
        </w:rPr>
        <w:footnoteRef/>
      </w:r>
      <w:r w:rsidR="00227033" w:rsidRPr="00227033">
        <w:rPr>
          <w:sz w:val="24"/>
          <w:lang w:val="pl-PL"/>
        </w:rPr>
        <w:t xml:space="preserve"> </w:t>
      </w:r>
      <w:r w:rsidR="00227033" w:rsidRPr="00227033">
        <w:rPr>
          <w:sz w:val="24"/>
          <w:lang w:val="pl-PL"/>
        </w:rPr>
        <w:tab/>
      </w:r>
      <w:r w:rsidRPr="00227033">
        <w:rPr>
          <w:sz w:val="24"/>
          <w:lang w:val="pl-PL"/>
        </w:rPr>
        <w:t xml:space="preserve">Dz.U. L 153 z 3.5.2021, s. 48, ELI: </w:t>
      </w:r>
      <w:hyperlink r:id="rId1" w:history="1">
        <w:r w:rsidRPr="00227033">
          <w:rPr>
            <w:rStyle w:val="Hyperlink"/>
            <w:sz w:val="24"/>
            <w:lang w:val="pl-PL"/>
          </w:rPr>
          <w:t>http://data.europa.eu/eli/reg/2021/691/oj</w:t>
        </w:r>
      </w:hyperlink>
      <w:r w:rsidRPr="00227033">
        <w:rPr>
          <w:sz w:val="24"/>
          <w:lang w:val="pl-PL"/>
        </w:rPr>
        <w:t>.</w:t>
      </w:r>
    </w:p>
  </w:footnote>
  <w:footnote w:id="2">
    <w:p w14:paraId="29C50A5F" w14:textId="49A8ED7D" w:rsidR="003B19A2" w:rsidRPr="00227033" w:rsidRDefault="003B19A2" w:rsidP="00227033">
      <w:pPr>
        <w:pStyle w:val="FootnoteText"/>
        <w:ind w:left="567" w:hanging="567"/>
        <w:rPr>
          <w:sz w:val="24"/>
          <w:lang w:val="pl-PL"/>
        </w:rPr>
      </w:pPr>
      <w:r w:rsidRPr="00227033">
        <w:rPr>
          <w:rStyle w:val="FootnoteReference"/>
          <w:sz w:val="24"/>
          <w:lang w:val="pl-PL"/>
        </w:rPr>
        <w:footnoteRef/>
      </w:r>
      <w:r w:rsidR="00227033" w:rsidRPr="00227033">
        <w:rPr>
          <w:sz w:val="24"/>
          <w:lang w:val="pl-PL"/>
        </w:rPr>
        <w:t xml:space="preserve"> </w:t>
      </w:r>
      <w:r w:rsidR="00227033" w:rsidRPr="00227033">
        <w:rPr>
          <w:sz w:val="24"/>
          <w:lang w:val="pl-PL"/>
        </w:rPr>
        <w:tab/>
      </w:r>
      <w:r w:rsidRPr="00227033">
        <w:rPr>
          <w:sz w:val="24"/>
          <w:lang w:val="pl-PL"/>
        </w:rPr>
        <w:t xml:space="preserve">Dz.U. L 433 I z 22.12.2020, s. 11, ELI: </w:t>
      </w:r>
      <w:hyperlink r:id="rId2" w:history="1">
        <w:r w:rsidRPr="00227033">
          <w:rPr>
            <w:rStyle w:val="Hyperlink"/>
            <w:sz w:val="24"/>
            <w:lang w:val="pl-PL"/>
          </w:rPr>
          <w:t>http://data.europa.eu/eli/reg/2020/2093/oj</w:t>
        </w:r>
      </w:hyperlink>
      <w:r w:rsidRPr="00227033">
        <w:rPr>
          <w:sz w:val="24"/>
          <w:lang w:val="pl-PL"/>
        </w:rPr>
        <w:t>.</w:t>
      </w:r>
    </w:p>
  </w:footnote>
  <w:footnote w:id="3">
    <w:p w14:paraId="072B9E21" w14:textId="06C40DDB" w:rsidR="003B19A2" w:rsidRPr="00227033" w:rsidRDefault="003B19A2" w:rsidP="00227033">
      <w:pPr>
        <w:pStyle w:val="FootnoteText"/>
        <w:ind w:left="567" w:hanging="567"/>
        <w:rPr>
          <w:sz w:val="24"/>
          <w:lang w:val="pl-PL"/>
        </w:rPr>
      </w:pPr>
      <w:r w:rsidRPr="00227033">
        <w:rPr>
          <w:rStyle w:val="FootnoteReference"/>
          <w:sz w:val="24"/>
          <w:lang w:val="pl-PL"/>
        </w:rPr>
        <w:footnoteRef/>
      </w:r>
      <w:r w:rsidR="00227033" w:rsidRPr="00227033">
        <w:rPr>
          <w:color w:val="333333"/>
          <w:sz w:val="24"/>
          <w:shd w:val="clear" w:color="auto" w:fill="FFFFFF"/>
          <w:lang w:val="pl-PL"/>
        </w:rPr>
        <w:t xml:space="preserve"> </w:t>
      </w:r>
      <w:r w:rsidR="00227033" w:rsidRPr="00227033">
        <w:rPr>
          <w:color w:val="333333"/>
          <w:sz w:val="24"/>
          <w:shd w:val="clear" w:color="auto" w:fill="FFFFFF"/>
          <w:lang w:val="pl-PL"/>
        </w:rPr>
        <w:tab/>
      </w:r>
      <w:r w:rsidRPr="00227033">
        <w:rPr>
          <w:color w:val="333333"/>
          <w:sz w:val="24"/>
          <w:shd w:val="clear" w:color="auto" w:fill="FFFFFF"/>
          <w:lang w:val="pl-PL"/>
        </w:rPr>
        <w:t xml:space="preserve">Rozporządzenie Rady (UE, </w:t>
      </w:r>
      <w:proofErr w:type="spellStart"/>
      <w:r w:rsidRPr="00227033">
        <w:rPr>
          <w:color w:val="333333"/>
          <w:sz w:val="24"/>
          <w:shd w:val="clear" w:color="auto" w:fill="FFFFFF"/>
          <w:lang w:val="pl-PL"/>
        </w:rPr>
        <w:t>Euratom</w:t>
      </w:r>
      <w:proofErr w:type="spellEnd"/>
      <w:r w:rsidRPr="00227033">
        <w:rPr>
          <w:color w:val="333333"/>
          <w:sz w:val="24"/>
          <w:shd w:val="clear" w:color="auto" w:fill="FFFFFF"/>
          <w:lang w:val="pl-PL"/>
        </w:rPr>
        <w:t xml:space="preserve">) 2024/765 z dnia 29 lutego 2024 r. w sprawie zmiany rozporządzenia (UE, </w:t>
      </w:r>
      <w:proofErr w:type="spellStart"/>
      <w:r w:rsidRPr="00227033">
        <w:rPr>
          <w:color w:val="333333"/>
          <w:sz w:val="24"/>
          <w:shd w:val="clear" w:color="auto" w:fill="FFFFFF"/>
          <w:lang w:val="pl-PL"/>
        </w:rPr>
        <w:t>Euratom</w:t>
      </w:r>
      <w:proofErr w:type="spellEnd"/>
      <w:r w:rsidRPr="00227033">
        <w:rPr>
          <w:color w:val="333333"/>
          <w:sz w:val="24"/>
          <w:shd w:val="clear" w:color="auto" w:fill="FFFFFF"/>
          <w:lang w:val="pl-PL"/>
        </w:rPr>
        <w:t xml:space="preserve">) 2020/2093 określającego wieloletnie ramy finansowe na lata 2021–2027, </w:t>
      </w:r>
      <w:r w:rsidRPr="00227033">
        <w:rPr>
          <w:sz w:val="24"/>
          <w:lang w:val="pl-PL"/>
        </w:rPr>
        <w:t xml:space="preserve">Dz.U. L, 2024/765, 29.2.2024, ELI: </w:t>
      </w:r>
      <w:hyperlink r:id="rId3" w:history="1">
        <w:r w:rsidRPr="00227033">
          <w:rPr>
            <w:rStyle w:val="Hyperlink"/>
            <w:sz w:val="24"/>
            <w:lang w:val="pl-PL"/>
          </w:rPr>
          <w:t>http://data.europa.eu/eli/reg/2024/765/oj</w:t>
        </w:r>
      </w:hyperlink>
      <w:r w:rsidRPr="00227033">
        <w:rPr>
          <w:rStyle w:val="Emphasis"/>
          <w:color w:val="333333"/>
          <w:sz w:val="24"/>
          <w:shd w:val="clear" w:color="auto" w:fill="FFFFFF"/>
          <w:lang w:val="pl-PL"/>
        </w:rPr>
        <w:t>).</w:t>
      </w:r>
    </w:p>
  </w:footnote>
  <w:footnote w:id="4">
    <w:p w14:paraId="2F5E13A2" w14:textId="7BC8BD5A" w:rsidR="003B19A2" w:rsidRPr="00227033" w:rsidRDefault="003B19A2" w:rsidP="00227033">
      <w:pPr>
        <w:pStyle w:val="FootnoteText"/>
        <w:ind w:left="567" w:hanging="567"/>
        <w:rPr>
          <w:sz w:val="24"/>
          <w:lang w:val="pl-PL"/>
        </w:rPr>
      </w:pPr>
      <w:r w:rsidRPr="00227033">
        <w:rPr>
          <w:rStyle w:val="FootnoteReference"/>
          <w:sz w:val="24"/>
          <w:lang w:val="pl-PL"/>
        </w:rPr>
        <w:footnoteRef/>
      </w:r>
      <w:r w:rsidR="00227033" w:rsidRPr="00227033">
        <w:rPr>
          <w:sz w:val="24"/>
          <w:lang w:val="pl-PL"/>
        </w:rPr>
        <w:t xml:space="preserve"> </w:t>
      </w:r>
      <w:r w:rsidR="00227033" w:rsidRPr="00227033">
        <w:rPr>
          <w:sz w:val="24"/>
          <w:lang w:val="pl-PL"/>
        </w:rPr>
        <w:tab/>
      </w:r>
      <w:r w:rsidRPr="00227033">
        <w:rPr>
          <w:sz w:val="24"/>
          <w:lang w:val="pl-PL"/>
        </w:rPr>
        <w:t xml:space="preserve">Dz.U. L 433 I z 22.12.2020, s. 28, ELI: </w:t>
      </w:r>
      <w:hyperlink r:id="rId4" w:history="1">
        <w:r w:rsidRPr="00227033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227033">
        <w:rPr>
          <w:sz w:val="24"/>
          <w:lang w:val="pl-PL"/>
        </w:rPr>
        <w:t>.</w:t>
      </w:r>
    </w:p>
  </w:footnote>
  <w:footnote w:id="5">
    <w:p w14:paraId="4723F7CE" w14:textId="4B166663" w:rsidR="003B19A2" w:rsidRPr="00227033" w:rsidRDefault="003B19A2" w:rsidP="00227033">
      <w:pPr>
        <w:pStyle w:val="FootnoteText"/>
        <w:ind w:left="567" w:hanging="567"/>
        <w:rPr>
          <w:sz w:val="24"/>
          <w:lang w:val="pl-PL"/>
        </w:rPr>
      </w:pPr>
      <w:r w:rsidRPr="00227033">
        <w:rPr>
          <w:rStyle w:val="FootnoteReference"/>
          <w:sz w:val="24"/>
          <w:lang w:val="pl-PL"/>
        </w:rPr>
        <w:footnoteRef/>
      </w:r>
      <w:r w:rsidR="00227033" w:rsidRPr="00227033">
        <w:rPr>
          <w:sz w:val="24"/>
          <w:lang w:val="pl-PL"/>
        </w:rPr>
        <w:t xml:space="preserve"> </w:t>
      </w:r>
      <w:r w:rsidR="00227033" w:rsidRPr="00227033">
        <w:rPr>
          <w:sz w:val="24"/>
          <w:lang w:val="pl-PL"/>
        </w:rPr>
        <w:tab/>
      </w:r>
      <w:r w:rsidRPr="00227033">
        <w:rPr>
          <w:sz w:val="24"/>
          <w:lang w:val="pl-PL"/>
        </w:rPr>
        <w:t>W rozumieniu art. 3 rozporządzenia w sprawie EFG.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93A3A" w14:textId="77777777" w:rsidR="003B19A2" w:rsidRPr="00227033" w:rsidRDefault="003B19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CF052" w14:textId="77777777" w:rsidR="003B19A2" w:rsidRPr="00227033" w:rsidRDefault="003B19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DEB1" w14:textId="77777777" w:rsidR="003B19A2" w:rsidRPr="00227033" w:rsidRDefault="003B19A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9EBD4" w14:textId="77777777" w:rsidR="00064002" w:rsidRPr="0022703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768FF" w14:textId="77777777" w:rsidR="00064002" w:rsidRPr="0022703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7873" w14:textId="77777777" w:rsidR="00064002" w:rsidRPr="002270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3543291">
    <w:abstractNumId w:val="9"/>
  </w:num>
  <w:num w:numId="2" w16cid:durableId="544174123">
    <w:abstractNumId w:val="9"/>
  </w:num>
  <w:num w:numId="3" w16cid:durableId="1238436490">
    <w:abstractNumId w:val="7"/>
  </w:num>
  <w:num w:numId="4" w16cid:durableId="1738279729">
    <w:abstractNumId w:val="7"/>
  </w:num>
  <w:num w:numId="5" w16cid:durableId="438333846">
    <w:abstractNumId w:val="6"/>
  </w:num>
  <w:num w:numId="6" w16cid:durableId="101384854">
    <w:abstractNumId w:val="6"/>
  </w:num>
  <w:num w:numId="7" w16cid:durableId="87040785">
    <w:abstractNumId w:val="5"/>
  </w:num>
  <w:num w:numId="8" w16cid:durableId="120925361">
    <w:abstractNumId w:val="5"/>
  </w:num>
  <w:num w:numId="9" w16cid:durableId="37048782">
    <w:abstractNumId w:val="4"/>
  </w:num>
  <w:num w:numId="10" w16cid:durableId="1614706751">
    <w:abstractNumId w:val="4"/>
  </w:num>
  <w:num w:numId="11" w16cid:durableId="121919826">
    <w:abstractNumId w:val="8"/>
  </w:num>
  <w:num w:numId="12" w16cid:durableId="827356507">
    <w:abstractNumId w:val="8"/>
  </w:num>
  <w:num w:numId="13" w16cid:durableId="1145705266">
    <w:abstractNumId w:val="3"/>
  </w:num>
  <w:num w:numId="14" w16cid:durableId="1569800315">
    <w:abstractNumId w:val="3"/>
  </w:num>
  <w:num w:numId="15" w16cid:durableId="1130854915">
    <w:abstractNumId w:val="2"/>
  </w:num>
  <w:num w:numId="16" w16cid:durableId="589703597">
    <w:abstractNumId w:val="2"/>
  </w:num>
  <w:num w:numId="17" w16cid:durableId="1344550273">
    <w:abstractNumId w:val="1"/>
  </w:num>
  <w:num w:numId="18" w16cid:durableId="1801536188">
    <w:abstractNumId w:val="1"/>
  </w:num>
  <w:num w:numId="19" w16cid:durableId="1696229381">
    <w:abstractNumId w:val="0"/>
  </w:num>
  <w:num w:numId="20" w16cid:durableId="387343401">
    <w:abstractNumId w:val="0"/>
  </w:num>
  <w:num w:numId="21" w16cid:durableId="7298801">
    <w:abstractNumId w:val="9"/>
  </w:num>
  <w:num w:numId="22" w16cid:durableId="821847176">
    <w:abstractNumId w:val="7"/>
  </w:num>
  <w:num w:numId="23" w16cid:durableId="1921674710">
    <w:abstractNumId w:val="6"/>
  </w:num>
  <w:num w:numId="24" w16cid:durableId="174656655">
    <w:abstractNumId w:val="5"/>
  </w:num>
  <w:num w:numId="25" w16cid:durableId="1680812019">
    <w:abstractNumId w:val="4"/>
  </w:num>
  <w:num w:numId="26" w16cid:durableId="1081485969">
    <w:abstractNumId w:val="8"/>
  </w:num>
  <w:num w:numId="27" w16cid:durableId="1560089490">
    <w:abstractNumId w:val="3"/>
  </w:num>
  <w:num w:numId="28" w16cid:durableId="1982880858">
    <w:abstractNumId w:val="2"/>
  </w:num>
  <w:num w:numId="29" w16cid:durableId="1711802863">
    <w:abstractNumId w:val="1"/>
  </w:num>
  <w:num w:numId="30" w16cid:durableId="1855801814">
    <w:abstractNumId w:val="0"/>
  </w:num>
  <w:num w:numId="31" w16cid:durableId="401410446">
    <w:abstractNumId w:val="9"/>
  </w:num>
  <w:num w:numId="32" w16cid:durableId="1146161894">
    <w:abstractNumId w:val="7"/>
  </w:num>
  <w:num w:numId="33" w16cid:durableId="830412946">
    <w:abstractNumId w:val="6"/>
  </w:num>
  <w:num w:numId="34" w16cid:durableId="1818258146">
    <w:abstractNumId w:val="5"/>
  </w:num>
  <w:num w:numId="35" w16cid:durableId="298999399">
    <w:abstractNumId w:val="4"/>
  </w:num>
  <w:num w:numId="36" w16cid:durableId="437872138">
    <w:abstractNumId w:val="8"/>
  </w:num>
  <w:num w:numId="37" w16cid:durableId="1770731905">
    <w:abstractNumId w:val="3"/>
  </w:num>
  <w:num w:numId="38" w16cid:durableId="411123420">
    <w:abstractNumId w:val="2"/>
  </w:num>
  <w:num w:numId="39" w16cid:durableId="753748468">
    <w:abstractNumId w:val="1"/>
  </w:num>
  <w:num w:numId="40" w16cid:durableId="821045818">
    <w:abstractNumId w:val="0"/>
  </w:num>
  <w:num w:numId="41" w16cid:durableId="1111053282">
    <w:abstractNumId w:val="10"/>
  </w:num>
  <w:num w:numId="42" w16cid:durableId="993527895">
    <w:abstractNumId w:val="10"/>
  </w:num>
  <w:num w:numId="43" w16cid:durableId="966735353">
    <w:abstractNumId w:val="10"/>
  </w:num>
  <w:num w:numId="44" w16cid:durableId="17862710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8/2025"/>
    <w:docVar w:name="dvlangue" w:val="PL"/>
    <w:docVar w:name="dvnumam" w:val="0"/>
    <w:docVar w:name="dvpe" w:val="776.828"/>
    <w:docVar w:name="dvrapporteur" w:val="Sprawozdawca: "/>
    <w:docVar w:name="dvtitre" w:val="Rezolucja Parlamentu Europejskiego z dnia  2025 r. w sprawie wniosku dotyczącego decyzji Parlamentu Europejskiego i Rady w sprawie uruchomienia Europejskiego Funduszu Dostosowania do Globalizacji dla Zwalnianych Pracowników w następstwie wniosku złożonego przez Niemcy – EGF/2025/002 DE/Goodyear 2(COM(2025)0302 – C10-0182/2025 – 2025/0245(BUD))"/>
  </w:docVars>
  <w:rsids>
    <w:rsidRoot w:val="0043309A"/>
    <w:rsid w:val="00002272"/>
    <w:rsid w:val="00064002"/>
    <w:rsid w:val="000677B9"/>
    <w:rsid w:val="000831BA"/>
    <w:rsid w:val="000A42CC"/>
    <w:rsid w:val="000D2D4F"/>
    <w:rsid w:val="000E7DD9"/>
    <w:rsid w:val="0010095E"/>
    <w:rsid w:val="00125B37"/>
    <w:rsid w:val="00176081"/>
    <w:rsid w:val="00187494"/>
    <w:rsid w:val="001F32AE"/>
    <w:rsid w:val="00227033"/>
    <w:rsid w:val="002767FF"/>
    <w:rsid w:val="002B18FE"/>
    <w:rsid w:val="002B5493"/>
    <w:rsid w:val="00343214"/>
    <w:rsid w:val="00361C00"/>
    <w:rsid w:val="00395FA1"/>
    <w:rsid w:val="003B19A2"/>
    <w:rsid w:val="003E15D4"/>
    <w:rsid w:val="00411CCE"/>
    <w:rsid w:val="0041666E"/>
    <w:rsid w:val="00421060"/>
    <w:rsid w:val="0043309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34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3ED"/>
    <w:rsid w:val="008C2AC6"/>
    <w:rsid w:val="008F3E0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0D0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A9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854"/>
    <w:rsid w:val="00F5134D"/>
    <w:rsid w:val="00F56D62"/>
    <w:rsid w:val="00F74202"/>
    <w:rsid w:val="00F87713"/>
    <w:rsid w:val="00F923A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7E06F"/>
  <w15:chartTrackingRefBased/>
  <w15:docId w15:val="{AA3ECCB9-7F48-4A8C-A03E-624DB30A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B19A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3B19A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3B19A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B19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19A2"/>
    <w:rPr>
      <w:sz w:val="24"/>
      <w:lang w:val="pl-PL"/>
    </w:rPr>
  </w:style>
  <w:style w:type="paragraph" w:customStyle="1" w:styleId="NormalBold24a">
    <w:name w:val="NormalBold24a"/>
    <w:basedOn w:val="Normal"/>
    <w:rsid w:val="003B19A2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3B19A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B19A2"/>
    <w:pPr>
      <w:spacing w:before="480" w:after="240"/>
    </w:pPr>
  </w:style>
  <w:style w:type="character" w:styleId="Hyperlink">
    <w:name w:val="Hyperlink"/>
    <w:basedOn w:val="DefaultParagraphFont"/>
    <w:uiPriority w:val="99"/>
    <w:rsid w:val="003B19A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3B19A2"/>
    <w:rPr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3B19A2"/>
    <w:rPr>
      <w:i/>
      <w:iCs/>
    </w:rPr>
  </w:style>
  <w:style w:type="paragraph" w:customStyle="1" w:styleId="Institutionquisigne">
    <w:name w:val="Institution qui signe"/>
    <w:basedOn w:val="Normal"/>
    <w:next w:val="Normal"/>
    <w:rsid w:val="003B19A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B19A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B19A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B19A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B19A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B19A2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3B19A2"/>
    <w:rPr>
      <w:rFonts w:ascii="Arial" w:hAnsi="Arial" w:cs="Arial"/>
      <w:b/>
      <w:sz w:val="24"/>
      <w:lang w:val="pl-PL"/>
    </w:rPr>
  </w:style>
  <w:style w:type="paragraph" w:customStyle="1" w:styleId="Personnequisigne">
    <w:name w:val="Personne qui signe"/>
    <w:basedOn w:val="Normal"/>
    <w:next w:val="Institutionquisigne"/>
    <w:rsid w:val="003B19A2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B19A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1573</Words>
  <Characters>10269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2026-01-08T08:17:00Z</dcterms:created>
  <dcterms:modified xsi:type="dcterms:W3CDTF">2026-01-08T08:17:00Z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P10_TA(2025)0219_</vt:lpwstr>
  </property>
  <property fmtid="{D5CDD505-2E9C-101B-9397-08002B2CF9AE}" pid="4" name="&lt;Type&gt;">
    <vt:lpwstr>RR</vt:lpwstr>
  </property>
</Properties>
</file>