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4642" w14:paraId="39B6B899" w14:textId="77777777" w:rsidTr="0010095E">
        <w:trPr>
          <w:trHeight w:hRule="exact" w:val="1418"/>
        </w:trPr>
        <w:tc>
          <w:tcPr>
            <w:tcW w:w="6804" w:type="dxa"/>
            <w:shd w:val="clear" w:color="auto" w:fill="auto"/>
            <w:vAlign w:val="center"/>
          </w:tcPr>
          <w:p w14:paraId="6E9DD496" w14:textId="70569A94" w:rsidR="00751A4A" w:rsidRPr="00D84642" w:rsidRDefault="006A6856" w:rsidP="0010095E">
            <w:pPr>
              <w:pStyle w:val="EPName"/>
            </w:pPr>
            <w:r w:rsidRPr="00D84642">
              <w:t>Evropski parlament</w:t>
            </w:r>
          </w:p>
          <w:p w14:paraId="37F1673E" w14:textId="77777777" w:rsidR="00751A4A" w:rsidRPr="00D84642" w:rsidRDefault="005F1B17" w:rsidP="005F1B17">
            <w:pPr>
              <w:pStyle w:val="EPTerm"/>
              <w:rPr>
                <w:rStyle w:val="HideTWBExt"/>
                <w:noProof w:val="0"/>
                <w:vanish w:val="0"/>
                <w:color w:val="auto"/>
              </w:rPr>
            </w:pPr>
            <w:r w:rsidRPr="00D84642">
              <w:t>2024</w:t>
            </w:r>
            <w:r w:rsidR="00817416" w:rsidRPr="00D84642">
              <w:t>-202</w:t>
            </w:r>
            <w:r w:rsidRPr="00D84642">
              <w:t>9</w:t>
            </w:r>
          </w:p>
        </w:tc>
        <w:tc>
          <w:tcPr>
            <w:tcW w:w="2268" w:type="dxa"/>
            <w:shd w:val="clear" w:color="auto" w:fill="auto"/>
          </w:tcPr>
          <w:p w14:paraId="43128CF7" w14:textId="77777777" w:rsidR="00751A4A" w:rsidRPr="00D84642" w:rsidRDefault="00187494" w:rsidP="0010095E">
            <w:pPr>
              <w:pStyle w:val="EPLogo"/>
            </w:pPr>
            <w:r w:rsidRPr="00D84642">
              <w:rPr>
                <w:noProof/>
                <w:lang w:eastAsia="ja-JP"/>
              </w:rPr>
              <w:drawing>
                <wp:inline distT="0" distB="0" distL="0" distR="0" wp14:anchorId="1EC32D31" wp14:editId="40A97E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D48965" w14:textId="77777777" w:rsidR="00D058B8" w:rsidRPr="00D84642" w:rsidRDefault="00D058B8" w:rsidP="004C5D52">
      <w:pPr>
        <w:pStyle w:val="LineTop"/>
      </w:pPr>
    </w:p>
    <w:p w14:paraId="41A7A9EE" w14:textId="34FFD0D1" w:rsidR="00680577" w:rsidRPr="00D84642" w:rsidRDefault="006A6856" w:rsidP="00680577">
      <w:pPr>
        <w:pStyle w:val="EPBodyTA1"/>
      </w:pPr>
      <w:r w:rsidRPr="00D84642">
        <w:t>SPREJETA BESEDILA</w:t>
      </w:r>
    </w:p>
    <w:p w14:paraId="582ED8D1" w14:textId="77777777" w:rsidR="00D058B8" w:rsidRPr="00D84642" w:rsidRDefault="00D058B8" w:rsidP="00D058B8">
      <w:pPr>
        <w:pStyle w:val="LineBottom"/>
      </w:pPr>
    </w:p>
    <w:p w14:paraId="322FC252" w14:textId="3C183F7E" w:rsidR="006A6856" w:rsidRPr="00D84642" w:rsidRDefault="006A6856" w:rsidP="006A6856">
      <w:pPr>
        <w:pStyle w:val="ATHeading1"/>
      </w:pPr>
      <w:bookmarkStart w:id="0" w:name="TANumber"/>
      <w:r w:rsidRPr="00D84642">
        <w:t>P10_TA(2025)0</w:t>
      </w:r>
      <w:r w:rsidR="00165E1C" w:rsidRPr="00D84642">
        <w:t>219</w:t>
      </w:r>
      <w:bookmarkEnd w:id="0"/>
    </w:p>
    <w:p w14:paraId="33FD7340" w14:textId="77777777" w:rsidR="006A6856" w:rsidRPr="00D84642" w:rsidRDefault="006A6856" w:rsidP="006A6856">
      <w:pPr>
        <w:pStyle w:val="ATHeading2"/>
      </w:pPr>
      <w:bookmarkStart w:id="1" w:name="title"/>
      <w:r w:rsidRPr="00D84642">
        <w:t>Uporaba Evropskega sklada za prilagoditev globalizaciji: vloga EGF/2025/002/DE/Goodyear 2 – Nemčija</w:t>
      </w:r>
      <w:bookmarkEnd w:id="1"/>
    </w:p>
    <w:p w14:paraId="20D032F2" w14:textId="77777777" w:rsidR="006A6856" w:rsidRPr="00D84642" w:rsidRDefault="006A6856" w:rsidP="006A6856">
      <w:pPr>
        <w:rPr>
          <w:i/>
          <w:vanish/>
        </w:rPr>
      </w:pPr>
      <w:r w:rsidRPr="00D84642">
        <w:rPr>
          <w:i/>
        </w:rPr>
        <w:fldChar w:fldCharType="begin"/>
      </w:r>
      <w:r w:rsidRPr="00D84642">
        <w:rPr>
          <w:i/>
        </w:rPr>
        <w:instrText xml:space="preserve"> TC"(</w:instrText>
      </w:r>
      <w:bookmarkStart w:id="2" w:name="DocNumber"/>
      <w:r w:rsidRPr="00D84642">
        <w:rPr>
          <w:i/>
        </w:rPr>
        <w:instrText>A10-0168/2025</w:instrText>
      </w:r>
      <w:bookmarkEnd w:id="2"/>
      <w:r w:rsidRPr="00D84642">
        <w:rPr>
          <w:i/>
        </w:rPr>
        <w:instrText xml:space="preserve"> - Poročevalec: Olivier Chastel)"\l3 \n&gt; \* MERGEFORMAT </w:instrText>
      </w:r>
      <w:r w:rsidRPr="00D84642">
        <w:rPr>
          <w:i/>
        </w:rPr>
        <w:fldChar w:fldCharType="end"/>
      </w:r>
    </w:p>
    <w:p w14:paraId="4E5971FE" w14:textId="77777777" w:rsidR="006A6856" w:rsidRPr="00D84642" w:rsidRDefault="006A6856" w:rsidP="006A6856">
      <w:pPr>
        <w:rPr>
          <w:vanish/>
        </w:rPr>
      </w:pPr>
      <w:bookmarkStart w:id="3" w:name="Commission"/>
      <w:r w:rsidRPr="00D84642">
        <w:rPr>
          <w:vanish/>
        </w:rPr>
        <w:t>Odbor za proračun</w:t>
      </w:r>
      <w:bookmarkEnd w:id="3"/>
    </w:p>
    <w:p w14:paraId="623B3DFF" w14:textId="77777777" w:rsidR="006A6856" w:rsidRPr="00D84642" w:rsidRDefault="006A6856" w:rsidP="006A6856">
      <w:pPr>
        <w:rPr>
          <w:vanish/>
        </w:rPr>
      </w:pPr>
      <w:bookmarkStart w:id="4" w:name="PE"/>
      <w:r w:rsidRPr="00D84642">
        <w:rPr>
          <w:vanish/>
        </w:rPr>
        <w:t>PE776.828</w:t>
      </w:r>
      <w:bookmarkEnd w:id="4"/>
    </w:p>
    <w:p w14:paraId="638BF16B" w14:textId="5304999D" w:rsidR="006A6856" w:rsidRPr="00D84642" w:rsidRDefault="006A6856" w:rsidP="006A6856">
      <w:pPr>
        <w:pStyle w:val="ATHeading3"/>
      </w:pPr>
      <w:bookmarkStart w:id="5" w:name="Sujet"/>
      <w:r w:rsidRPr="00D84642">
        <w:t xml:space="preserve">Resolucija Evropskega parlamenta z dne </w:t>
      </w:r>
      <w:r w:rsidR="00A83437" w:rsidRPr="00D84642">
        <w:t>8</w:t>
      </w:r>
      <w:r w:rsidRPr="00D84642">
        <w:t>. oktobra 2025 o predlogu sklepa Evropskega parlamenta in Sveta o uporabi Evropskega sklada za prilagoditev globalizaciji za presežne delavce na podlagi vloge Nemčije – EGF/2025/002 DE/</w:t>
      </w:r>
      <w:proofErr w:type="spellStart"/>
      <w:r w:rsidRPr="00D84642">
        <w:t>Goodyear</w:t>
      </w:r>
      <w:proofErr w:type="spellEnd"/>
      <w:r w:rsidRPr="00D84642">
        <w:t> 2</w:t>
      </w:r>
      <w:bookmarkEnd w:id="5"/>
      <w:r w:rsidRPr="00D84642">
        <w:t xml:space="preserve"> </w:t>
      </w:r>
      <w:bookmarkStart w:id="6" w:name="References"/>
      <w:r w:rsidRPr="00D84642">
        <w:t>(COM(2025)0302 – C10-0182/2025 – 2025/0245(BUD))</w:t>
      </w:r>
      <w:bookmarkEnd w:id="6"/>
    </w:p>
    <w:p w14:paraId="354B4E05" w14:textId="77777777" w:rsidR="00270B63" w:rsidRPr="00D84642" w:rsidRDefault="00270B63" w:rsidP="00270B63">
      <w:pPr>
        <w:pStyle w:val="EPComma"/>
        <w:rPr>
          <w:i/>
          <w:iCs/>
          <w:noProof/>
        </w:rPr>
      </w:pPr>
      <w:r w:rsidRPr="00D84642">
        <w:rPr>
          <w:i/>
          <w:iCs/>
        </w:rPr>
        <w:t>Evropski parlament,</w:t>
      </w:r>
    </w:p>
    <w:p w14:paraId="24FCEB76" w14:textId="77777777" w:rsidR="00270B63" w:rsidRPr="00D84642" w:rsidRDefault="00270B63" w:rsidP="00270B63">
      <w:pPr>
        <w:pStyle w:val="NormalHanging12a"/>
        <w:rPr>
          <w:noProof/>
        </w:rPr>
      </w:pPr>
      <w:r w:rsidRPr="00D84642">
        <w:t>–</w:t>
      </w:r>
      <w:r w:rsidRPr="00D84642">
        <w:tab/>
        <w:t>ob upoštevanju predloga Komisije Evropskemu parlamentu in Svetu (COM(2025)0302 – C10-0182/2025),</w:t>
      </w:r>
    </w:p>
    <w:p w14:paraId="15E1D8F3" w14:textId="73FF6E44" w:rsidR="00270B63" w:rsidRPr="00D84642" w:rsidRDefault="00270B63" w:rsidP="00270B63">
      <w:pPr>
        <w:pStyle w:val="NormalHanging12a"/>
        <w:rPr>
          <w:noProof/>
        </w:rPr>
      </w:pPr>
      <w:r w:rsidRPr="00D84642">
        <w:t>–</w:t>
      </w:r>
      <w:r w:rsidRPr="00D84642">
        <w:tab/>
        <w:t>ob upoštevanju Uredbe (EU) 2021/691 Evropskega parlamenta in Sveta z dne 28. aprila 2021 o Evropskem skladu za prilagoditev globalizaciji za presežne delavce (ESPG) in razveljavitvi Uredbe (EU) št. 1309/2013</w:t>
      </w:r>
      <w:r w:rsidRPr="00D84642">
        <w:rPr>
          <w:rStyle w:val="FootnoteReference"/>
          <w:noProof/>
        </w:rPr>
        <w:footnoteReference w:id="1"/>
      </w:r>
      <w:r w:rsidRPr="00D84642">
        <w:t xml:space="preserve"> (</w:t>
      </w:r>
      <w:r w:rsidR="002D1B37" w:rsidRPr="00D84642">
        <w:t xml:space="preserve">v nadaljnjem besedilu: </w:t>
      </w:r>
      <w:r w:rsidRPr="00D84642">
        <w:t>uredba o ESPG),</w:t>
      </w:r>
    </w:p>
    <w:p w14:paraId="144C95E8" w14:textId="77777777" w:rsidR="00270B63" w:rsidRPr="00D84642" w:rsidRDefault="00270B63" w:rsidP="00270B63">
      <w:pPr>
        <w:pStyle w:val="NormalHanging12a"/>
        <w:rPr>
          <w:noProof/>
        </w:rPr>
      </w:pPr>
      <w:r w:rsidRPr="00D84642">
        <w:t>–</w:t>
      </w:r>
      <w:r w:rsidRPr="00D84642">
        <w:tab/>
        <w:t>ob upoštevanju Uredbe Sveta (EU, Euratom) 2020/2093 z dne 17. decembra 2020 o določitvi večletnega finančnega okvira za obdobje 2021–2027</w:t>
      </w:r>
      <w:r w:rsidRPr="00D84642">
        <w:rPr>
          <w:rStyle w:val="FootnoteReference"/>
          <w:noProof/>
        </w:rPr>
        <w:footnoteReference w:id="2"/>
      </w:r>
      <w:r w:rsidRPr="00D84642">
        <w:t>, kot je bila spremenjena z Uredbo (EU, Euratom) 2024/765</w:t>
      </w:r>
      <w:r w:rsidRPr="00D84642">
        <w:rPr>
          <w:rStyle w:val="FootnoteReference"/>
          <w:bdr w:val="none" w:sz="0" w:space="0" w:color="auto" w:frame="1"/>
        </w:rPr>
        <w:footnoteReference w:id="3"/>
      </w:r>
      <w:r w:rsidRPr="00D84642">
        <w:t xml:space="preserve"> in zlasti člena 8 Uredbe,</w:t>
      </w:r>
    </w:p>
    <w:p w14:paraId="591F9E86" w14:textId="77777777" w:rsidR="00270B63" w:rsidRPr="00D84642" w:rsidRDefault="00270B63" w:rsidP="00270B63">
      <w:pPr>
        <w:pStyle w:val="NormalHanging12a"/>
        <w:rPr>
          <w:noProof/>
        </w:rPr>
      </w:pPr>
      <w:r w:rsidRPr="00D84642">
        <w:t>–</w:t>
      </w:r>
      <w:r w:rsidRPr="00D84642">
        <w:ta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sidRPr="00D84642">
        <w:rPr>
          <w:rStyle w:val="FootnoteReference"/>
          <w:noProof/>
        </w:rPr>
        <w:footnoteReference w:id="4"/>
      </w:r>
      <w:r w:rsidRPr="00D84642">
        <w:t xml:space="preserve"> in zlasti točke 9,</w:t>
      </w:r>
    </w:p>
    <w:p w14:paraId="2D117231" w14:textId="77777777" w:rsidR="00270B63" w:rsidRPr="00D84642" w:rsidRDefault="00270B63" w:rsidP="00270B63">
      <w:pPr>
        <w:pStyle w:val="NormalHanging12a"/>
        <w:rPr>
          <w:noProof/>
        </w:rPr>
      </w:pPr>
      <w:r w:rsidRPr="00D84642">
        <w:t>–</w:t>
      </w:r>
      <w:r w:rsidRPr="00D84642">
        <w:tab/>
        <w:t>ob upoštevanju pisma Odbora za zaposlovanje in socialne zadeve,</w:t>
      </w:r>
    </w:p>
    <w:p w14:paraId="115690C7" w14:textId="77777777" w:rsidR="00270B63" w:rsidRPr="00D84642" w:rsidRDefault="00270B63" w:rsidP="00270B63">
      <w:pPr>
        <w:pStyle w:val="NormalHanging12a"/>
      </w:pPr>
      <w:r w:rsidRPr="00D84642">
        <w:lastRenderedPageBreak/>
        <w:t>–</w:t>
      </w:r>
      <w:r w:rsidRPr="00D84642">
        <w:tab/>
        <w:t>ob upoštevanju poročila Odbora za proračun (A10</w:t>
      </w:r>
      <w:r w:rsidRPr="00D84642">
        <w:noBreakHyphen/>
        <w:t>0168/2025),</w:t>
      </w:r>
    </w:p>
    <w:p w14:paraId="40FCE701" w14:textId="77777777" w:rsidR="00270B63" w:rsidRPr="00D84642" w:rsidRDefault="00270B63" w:rsidP="00270B63">
      <w:pPr>
        <w:pStyle w:val="NormalHanging12a"/>
        <w:rPr>
          <w:noProof/>
        </w:rPr>
      </w:pPr>
      <w:r w:rsidRPr="00D84642">
        <w:t>A.</w:t>
      </w:r>
      <w:r w:rsidRPr="00D84642">
        <w:tab/>
        <w:t>ker je Unija vzpostavila zakonodajne in proračunske instrumente za dodatno podporo delavcem, ki so jih prizadele posledice velikih strukturnih sprememb v svetovnih trgovinskih tokovih ali svetovna finančna in gospodarska kriza, ter za pomoč pri njihovem ponovnem vključevanju na trg dela; ker se ta pomoč zagotovi prek finančne podpore delavcem in podjetjem, za katera so delali;</w:t>
      </w:r>
    </w:p>
    <w:p w14:paraId="4136DA7E" w14:textId="77777777" w:rsidR="00270B63" w:rsidRPr="00D84642" w:rsidRDefault="00270B63" w:rsidP="00270B63">
      <w:pPr>
        <w:pStyle w:val="NormalHanging12a"/>
      </w:pPr>
      <w:r w:rsidRPr="00D84642">
        <w:t>B.</w:t>
      </w:r>
      <w:r w:rsidRPr="00D84642">
        <w:tab/>
        <w:t>ker je Nemčija vložila vlogo EGF/2025/002 DE/Goodyear 2 za finančni prispevek iz Evropskega sklada za prilagoditev globalizaciji (ESPG) zaradi odpustitve 1171 presežnih delavcev</w:t>
      </w:r>
      <w:r w:rsidRPr="00D84642">
        <w:rPr>
          <w:rStyle w:val="FootnoteReference"/>
        </w:rPr>
        <w:footnoteReference w:id="5"/>
      </w:r>
      <w:r w:rsidRPr="00D84642">
        <w:t xml:space="preserve"> v gospodarskem sektorju, razvrščenem v oddelek 22 NACE po reviziji 2 (Proizvodnja gumenih in plastičnih izdelkov), v regijah Kassel (DE73) in Darmstadt (DE71), pri čemer je bilo 747 delavcev odpuščenih v referenčnem obdobju od 1. septembra 2024 do 1. januarja 2025, 424 pa pred oziroma po tem obdobju;</w:t>
      </w:r>
    </w:p>
    <w:p w14:paraId="7068F866" w14:textId="77777777" w:rsidR="00270B63" w:rsidRPr="00D84642" w:rsidRDefault="00270B63" w:rsidP="00270B63">
      <w:pPr>
        <w:pStyle w:val="NormalHanging12a"/>
      </w:pPr>
      <w:r w:rsidRPr="00D84642">
        <w:t>C.</w:t>
      </w:r>
      <w:r w:rsidRPr="00D84642">
        <w:tab/>
        <w:t>ker je za 424 presežnih delavcev, ki so prenehali delati pred štirimesečnim referenčnim obdobjem ali po njem, mogoče ugotoviti jasno vzročno povezavo z dogodkom, ki je povzročil prenehanje delovne aktivnost presežnih delavcev v referenčnem obdobju, kot zahteva člen 6(2) uredbe o ESPG;</w:t>
      </w:r>
    </w:p>
    <w:p w14:paraId="060E5F17" w14:textId="77777777" w:rsidR="00270B63" w:rsidRPr="00D84642" w:rsidRDefault="00270B63" w:rsidP="00270B63">
      <w:pPr>
        <w:pStyle w:val="NormalHanging12a"/>
      </w:pPr>
      <w:r w:rsidRPr="00D84642">
        <w:t>D.</w:t>
      </w:r>
      <w:r w:rsidRPr="00D84642">
        <w:tab/>
        <w:t>ker vloga temelji na merilu za pomoč iz člena 4(2), točka (a), uredbe o ESPG, ki zahteva, da delo preneha opravljati vsaj 200 presežnih delavcev ali samozaposlenih oseb v štirimesečnem referenčnem obdobju v podjetju v državi članici, vključno s presežnimi delavci pri dobaviteljih ali proizvajalcih v poproizvodni fazi;</w:t>
      </w:r>
    </w:p>
    <w:p w14:paraId="7062968C" w14:textId="3BF2B469" w:rsidR="00270B63" w:rsidRPr="00D84642" w:rsidRDefault="00270B63" w:rsidP="00270B63">
      <w:pPr>
        <w:pStyle w:val="NormalHanging12a"/>
        <w:rPr>
          <w:noProof/>
          <w:color w:val="000000" w:themeColor="text1"/>
        </w:rPr>
      </w:pPr>
      <w:r w:rsidRPr="00D84642">
        <w:t>E.</w:t>
      </w:r>
      <w:r w:rsidRPr="00D84642">
        <w:tab/>
        <w:t>ker sta ruska vojaška agresija proti Ukrajini in rastoča inflacija vplivali na stroške energije, materialov in dela ter povečali pritisk na marže podjetja</w:t>
      </w:r>
      <w:r w:rsidR="00A83437" w:rsidRPr="00D84642">
        <w:t xml:space="preserve"> Goodyear</w:t>
      </w:r>
      <w:r w:rsidRPr="00D84642">
        <w:t>;</w:t>
      </w:r>
    </w:p>
    <w:p w14:paraId="1136649C" w14:textId="77777777" w:rsidR="00270B63" w:rsidRPr="00D84642" w:rsidRDefault="00270B63" w:rsidP="00270B63">
      <w:pPr>
        <w:pStyle w:val="NormalHanging12a"/>
        <w:rPr>
          <w:noProof/>
        </w:rPr>
      </w:pPr>
      <w:r w:rsidRPr="00D84642">
        <w:t>F.</w:t>
      </w:r>
      <w:r w:rsidRPr="00D84642">
        <w:tab/>
        <w:t>ker je podjetje Goodyear Germany GmbH specializirano za proizvodnjo gumenih in plastičnih izdelkov, zlasti pnevmatik; ker je na podjetje močno vplivala vse ostrejša konkurenca nizkocenovnega uvoza iz Azije;</w:t>
      </w:r>
    </w:p>
    <w:p w14:paraId="6EBE6FF0" w14:textId="4EA4BC41" w:rsidR="00270B63" w:rsidRPr="00D84642" w:rsidRDefault="00270B63" w:rsidP="00270B63">
      <w:pPr>
        <w:pStyle w:val="NormalHanging12a"/>
        <w:rPr>
          <w:noProof/>
        </w:rPr>
      </w:pPr>
      <w:r w:rsidRPr="00D84642">
        <w:t>G.</w:t>
      </w:r>
      <w:r w:rsidRPr="00D84642">
        <w:tab/>
        <w:t xml:space="preserve">ker je to druga uporaba sredstev ESPG, za katero so zaprosili nemški organi po prestrukturiranju podjetja Goodyear, saj so bila sredstva ESPG uporabljena leta 2017 po zaprtju </w:t>
      </w:r>
      <w:r w:rsidR="0096616F" w:rsidRPr="00D84642">
        <w:t xml:space="preserve">enega od </w:t>
      </w:r>
      <w:r w:rsidRPr="00D84642">
        <w:t>proizvodn</w:t>
      </w:r>
      <w:r w:rsidR="0096616F" w:rsidRPr="00D84642">
        <w:t>ih</w:t>
      </w:r>
      <w:r w:rsidRPr="00D84642">
        <w:t xml:space="preserve"> obrat</w:t>
      </w:r>
      <w:r w:rsidR="0096616F" w:rsidRPr="00D84642">
        <w:t>ov</w:t>
      </w:r>
      <w:r w:rsidRPr="00D84642">
        <w:t xml:space="preserve"> </w:t>
      </w:r>
      <w:r w:rsidR="0096616F" w:rsidRPr="00D84642">
        <w:t xml:space="preserve">podjetja </w:t>
      </w:r>
      <w:r w:rsidRPr="00D84642">
        <w:t>v Philippsburgu;</w:t>
      </w:r>
    </w:p>
    <w:p w14:paraId="1AD93E07" w14:textId="77777777" w:rsidR="00270B63" w:rsidRPr="00D84642" w:rsidRDefault="00270B63" w:rsidP="00270B63">
      <w:pPr>
        <w:pStyle w:val="NormalHanging12a"/>
        <w:rPr>
          <w:noProof/>
        </w:rPr>
      </w:pPr>
      <w:r w:rsidRPr="00D84642">
        <w:t>H.</w:t>
      </w:r>
      <w:r w:rsidRPr="00D84642">
        <w:rPr>
          <w:color w:val="7030A0"/>
        </w:rPr>
        <w:tab/>
      </w:r>
      <w:r w:rsidRPr="00D84642">
        <w:t>ker je moralo podjetje zaradi hitrega upadanja povpraševanja in rastočih proizvodnih stroškov začeti proces prestrukturiranja, ki je vključeval zaprtje enega in delno zaprtje drugega proizvodnega obrata v Nemčiji leta 2024;</w:t>
      </w:r>
    </w:p>
    <w:p w14:paraId="1B2D657E" w14:textId="77777777" w:rsidR="00270B63" w:rsidRPr="00D84642" w:rsidRDefault="00270B63" w:rsidP="00270B63">
      <w:pPr>
        <w:pStyle w:val="NormalHanging12a"/>
        <w:jc w:val="both"/>
      </w:pPr>
      <w:r w:rsidRPr="00D84642">
        <w:t>I.</w:t>
      </w:r>
      <w:r w:rsidRPr="00D84642">
        <w:tab/>
        <w:t xml:space="preserve">ker nacionalno predhodno financiranje in sofinanciranje ukrepov zagotavljata nemški zvezni proračun in </w:t>
      </w:r>
      <w:r w:rsidRPr="00D84642">
        <w:rPr>
          <w:i/>
          <w:iCs/>
        </w:rPr>
        <w:t>Bundesagentur für Arbeit</w:t>
      </w:r>
      <w:r w:rsidRPr="00D84642">
        <w:t xml:space="preserve"> (javna služba za zaposlovanje);</w:t>
      </w:r>
    </w:p>
    <w:p w14:paraId="379B492C" w14:textId="77777777" w:rsidR="00270B63" w:rsidRPr="00D84642" w:rsidRDefault="00270B63" w:rsidP="00270B63">
      <w:pPr>
        <w:pStyle w:val="NormalHanging12a"/>
        <w:jc w:val="both"/>
      </w:pPr>
      <w:r w:rsidRPr="00D84642">
        <w:t>J.</w:t>
      </w:r>
      <w:r w:rsidRPr="00D84642">
        <w:tab/>
        <w:t>ker so bile upoštevane zahteve zakonodaje Unije in nacionalne zakonodaje o kolektivnem odpuščanju;</w:t>
      </w:r>
    </w:p>
    <w:p w14:paraId="5B52F1E0" w14:textId="77777777" w:rsidR="00270B63" w:rsidRPr="00D84642" w:rsidRDefault="00270B63" w:rsidP="00270B63">
      <w:pPr>
        <w:pStyle w:val="NormalHanging12a"/>
      </w:pPr>
      <w:r w:rsidRPr="00D84642">
        <w:t>K.</w:t>
      </w:r>
      <w:r w:rsidRPr="00D84642">
        <w:tab/>
        <w:t xml:space="preserve">ker bi morali biti finančni prispevki iz ESPG usmerjeni predvsem v aktivne ukrepe politike trga dela in prilagojene storitve, katerih cilj je, da se upravičence hitro in ponovno vključi v dostojno in trajnostno zaposlitev v njihovem prvotnem sektorju dejavnosti ali zunaj njega, hkrati pa pripravi na bolj zeleno in bolj digitalno evropsko </w:t>
      </w:r>
      <w:r w:rsidRPr="00D84642">
        <w:lastRenderedPageBreak/>
        <w:t>gospodarstvo;</w:t>
      </w:r>
    </w:p>
    <w:p w14:paraId="181616DD" w14:textId="77777777" w:rsidR="00270B63" w:rsidRPr="00D84642" w:rsidRDefault="00270B63" w:rsidP="00270B63">
      <w:pPr>
        <w:widowControl/>
        <w:spacing w:after="240"/>
        <w:ind w:left="567" w:hanging="567"/>
        <w:rPr>
          <w:szCs w:val="24"/>
        </w:rPr>
      </w:pPr>
      <w:r w:rsidRPr="00D84642">
        <w:t>L.</w:t>
      </w:r>
      <w:r w:rsidRPr="00D84642">
        <w:rPr>
          <w:color w:val="7030A0"/>
        </w:rPr>
        <w:tab/>
      </w:r>
      <w:r w:rsidRPr="00D84642">
        <w:t xml:space="preserve">ker sredstva ESPG ne smejo presegati najvišjega letnega zneska 30 milijonov EUR (v cenah iz leta 2018), kot je določeno v členu 8 Uredbe Sveta (EU, Euratom) 2020/2093, spremenjene z Uredbo Sveta (EU, Euratom) 2024/765; </w:t>
      </w:r>
    </w:p>
    <w:p w14:paraId="2277D2C3" w14:textId="20D6EE3F" w:rsidR="00270B63" w:rsidRPr="00D84642" w:rsidRDefault="00270B63" w:rsidP="00270B63">
      <w:pPr>
        <w:pStyle w:val="NormalHanging12a"/>
      </w:pPr>
      <w:r w:rsidRPr="00D84642">
        <w:t>1.</w:t>
      </w:r>
      <w:r w:rsidRPr="00D84642">
        <w:tab/>
        <w:t xml:space="preserve">se strinja s Komisijo, da so pogoji iz člena 4(2), točka (a), uredbe o ESPG izpolnjeni in da je Nemčija na podlagi </w:t>
      </w:r>
      <w:r w:rsidR="002D1B37" w:rsidRPr="00D84642">
        <w:t xml:space="preserve">navedene </w:t>
      </w:r>
      <w:r w:rsidRPr="00D84642">
        <w:t>uredbe upravičena do finančnega prispevka v znesku 3 085 166 EUR, kar je 60 % skupnih stroškov v znesku 5 141 944 EUR, od česar stroški prilagojenih storitev znašajo 4 936 274 EUR, stroški priprave, upravljanja, informiranja in oglaševanja ter nadzora in poročanja pa 205 670 EUR;</w:t>
      </w:r>
    </w:p>
    <w:p w14:paraId="69DD3856" w14:textId="77777777" w:rsidR="00270B63" w:rsidRPr="00D84642" w:rsidRDefault="00270B63" w:rsidP="00270B63">
      <w:pPr>
        <w:pStyle w:val="NormalHanging12a"/>
      </w:pPr>
      <w:r w:rsidRPr="00D84642">
        <w:t>2.</w:t>
      </w:r>
      <w:r w:rsidRPr="00D84642">
        <w:tab/>
        <w:t>ugotavlja, da so nemški organi vlogo predložili 10. marca 2025, Komisija pa je na osnovi dodatnih informacij, ki jih je posredovala Nemčija, oceno te vloge dokončala več kot štiri mesece pozneje 29. julija 2025 in jo posredovala Parlamentu 26. avgusta 2025;</w:t>
      </w:r>
    </w:p>
    <w:p w14:paraId="66C72F9B" w14:textId="77777777" w:rsidR="00270B63" w:rsidRPr="00D84642" w:rsidRDefault="00270B63" w:rsidP="00270B63">
      <w:pPr>
        <w:pStyle w:val="NormalHanging12a"/>
      </w:pPr>
      <w:r w:rsidRPr="00D84642">
        <w:t>3.</w:t>
      </w:r>
      <w:r w:rsidRPr="00D84642">
        <w:tab/>
        <w:t>ugotavlja, da se vloga nanaša na 1171 presežnih delavcev, prizadetih zaradi zaprtja proizvodnega obrata v Fuldi in delne zaustavitve proizvodnih obratov v Hanauu; ugotavlja tudi, da bo skupaj 915 presežnih delavcev ciljnih upravičencev in da se pričakuje, da bodo sodelovali v ukrepih;</w:t>
      </w:r>
    </w:p>
    <w:p w14:paraId="027A2A86" w14:textId="77777777" w:rsidR="00270B63" w:rsidRPr="00D84642" w:rsidRDefault="00270B63" w:rsidP="00270B63">
      <w:pPr>
        <w:pStyle w:val="NormalHanging12a"/>
      </w:pPr>
      <w:r w:rsidRPr="00D84642">
        <w:t>4.</w:t>
      </w:r>
      <w:r w:rsidRPr="00D84642">
        <w:tab/>
        <w:t>ugotavlja, da ima večina presežnih delavcev nizko stopnjo izobrazbe (56 % jih ima nižjo sekundarno izobrazbo ali manj) in so stari 54 let ali več (42 %); poudarja, da so zlasti starejši delavci zelo ranljiva skupina, saj se zaradi omejenih možnosti izpopolnjevanja in preusposabljanja soočajo z velikimi ovirami pri ponovni zaposlitvi;</w:t>
      </w:r>
    </w:p>
    <w:p w14:paraId="23BE08A9" w14:textId="707E9830" w:rsidR="00270B63" w:rsidRPr="00D84642" w:rsidRDefault="00270B63" w:rsidP="00270B63">
      <w:pPr>
        <w:pStyle w:val="NormalHanging12a"/>
      </w:pPr>
      <w:r w:rsidRPr="00D84642">
        <w:t>5.</w:t>
      </w:r>
      <w:r w:rsidRPr="00D84642">
        <w:tab/>
        <w:t xml:space="preserve">poudarja, da </w:t>
      </w:r>
      <w:r w:rsidR="002D1B37" w:rsidRPr="00D84642">
        <w:t xml:space="preserve">se </w:t>
      </w:r>
      <w:r w:rsidRPr="00D84642">
        <w:t xml:space="preserve">je zaradi odpuščanj v podjetju Goodyear letna stopnja brezposelnosti v regiji Fulda </w:t>
      </w:r>
      <w:r w:rsidR="002D1B37" w:rsidRPr="00D84642">
        <w:t xml:space="preserve">povečala za več kot </w:t>
      </w:r>
      <w:r w:rsidRPr="00D84642">
        <w:t>10 % ter da so odpuščanja nesorazmerno prizadela moške delavce in posameznike, starejše od 50 let, od katerih imajo številni zastarele kvalifikacije in spretnosti, ki niso usklajene s sedanjimi zahtevami trga dela; poudarja, da je treba ukrepati hitro, da bi preprečili strukturno nazadovanje regije, ter poudarja pomen spodbujanja visokokakovostnih in v prihodnost usmerjenih delovnih mest, da bi zagotovili dolgoročno gospodarsko in socialno odpornost;</w:t>
      </w:r>
    </w:p>
    <w:p w14:paraId="4C5EF4CB" w14:textId="77777777" w:rsidR="00270B63" w:rsidRPr="00D84642" w:rsidRDefault="00270B63" w:rsidP="00270B63">
      <w:pPr>
        <w:pStyle w:val="NormalHanging12a"/>
      </w:pPr>
      <w:r w:rsidRPr="00D84642">
        <w:t>6.</w:t>
      </w:r>
      <w:r w:rsidRPr="00D84642">
        <w:tab/>
        <w:t>opozarja, da prilagojene storitve, ki se bodo nudile delavcem, vključujejo naslednje ukrepe: obsežne ukrepe za izpopolnjevanje ali preusposabljanje, orientacijsko svetovanje in poklicno usmerjanje ter ukrepe za aktivacijo, svetovalna služba in nepovratna sredstva za zagon podjetja, pomoč pri iskanju zaposlitve, spodbude za izpopolnjevanje in spodbude v obliki dodatkov, pomoč za usposabljanje, usposabljanja za pridobitev digitalnih spretnosti; v zvezi s tem poudarja, da je dobro usposobljena delovna sila ključna za evropsko gospodarstvo, ki bo kos izzivom prihodnosti;</w:t>
      </w:r>
    </w:p>
    <w:p w14:paraId="71E1DF78" w14:textId="1F9B6A24" w:rsidR="00270B63" w:rsidRPr="00D84642" w:rsidRDefault="00270B63" w:rsidP="00270B63">
      <w:pPr>
        <w:pStyle w:val="NormalHanging12a"/>
      </w:pPr>
      <w:r w:rsidRPr="00D84642">
        <w:t>7.</w:t>
      </w:r>
      <w:r w:rsidRPr="00D84642">
        <w:tab/>
        <w:t>meni, da imajo Unija in države članice družbeno odgovornost, da delavcem</w:t>
      </w:r>
      <w:r w:rsidR="002D1B37" w:rsidRPr="00D84642">
        <w:t>, ki so bili odpuščeni,</w:t>
      </w:r>
      <w:r w:rsidRPr="00D84642">
        <w:t xml:space="preserve"> zagotovijo potrebne kvalifikacije za evropsko gospodarstvo, ki bo kos izzivom prihodnosti ter bo uresničilo digitalno in zeleno preobrazbo; zato meni, da je treba uporabo sredstev sklada ESPG vključiti v širši politični odziv;</w:t>
      </w:r>
    </w:p>
    <w:p w14:paraId="0146E2A1" w14:textId="77777777" w:rsidR="00270B63" w:rsidRPr="00D84642" w:rsidRDefault="00270B63" w:rsidP="00270B63">
      <w:pPr>
        <w:pStyle w:val="NormalHanging12a"/>
      </w:pPr>
      <w:r w:rsidRPr="00D84642">
        <w:t>8.</w:t>
      </w:r>
      <w:r w:rsidRPr="00D84642">
        <w:tab/>
        <w:t>poziva k temeljiti končni oceni izvedenih ukrepov, ki naj vključuje podatke o številu delavcev, ki so se uspešno ponovno zaposlili, ter o tistih, ki so zaključili ukrepe usposabljanja in izpopolnjevanja;</w:t>
      </w:r>
    </w:p>
    <w:p w14:paraId="1770DA7C" w14:textId="77777777" w:rsidR="00270B63" w:rsidRPr="00D84642" w:rsidRDefault="00270B63" w:rsidP="00270B63">
      <w:pPr>
        <w:pStyle w:val="NormalHanging12a"/>
      </w:pPr>
      <w:r w:rsidRPr="00D84642">
        <w:t>9.</w:t>
      </w:r>
      <w:r w:rsidRPr="00D84642">
        <w:tab/>
        <w:t xml:space="preserve">ugotavlja, da je bilo 20. februarja 2025 med podjetjem Goodyear, zaposlenimi in </w:t>
      </w:r>
      <w:r w:rsidRPr="00D84642">
        <w:lastRenderedPageBreak/>
        <w:t>podjetjem PMB International GmbH, ki je bilo izbrano za upravljanje prehodnega podjetja, sklenjenih skupno 915 tristranskih pogodb, pri čemer je bilo za Fuldo načrtovanih 781 prerazporeditev, za Hanau pa 134; pozdravlja navedbo, da naj bi se te številke povečale, saj bo podpisanih več sporazumov;</w:t>
      </w:r>
    </w:p>
    <w:p w14:paraId="5F7A9007" w14:textId="2843B169" w:rsidR="00270B63" w:rsidRPr="00D84642" w:rsidRDefault="00270B63" w:rsidP="00270B63">
      <w:pPr>
        <w:pStyle w:val="NormalHanging12a"/>
      </w:pPr>
      <w:r w:rsidRPr="00D84642">
        <w:t>10.</w:t>
      </w:r>
      <w:r w:rsidRPr="00D84642">
        <w:tab/>
        <w:t xml:space="preserve">ugotavlja, da je Nemčija prilagojene storitve za ciljne upravičence začela izvajati 1. novembra 2024 in da je torej obdobje upravičenosti do finančnega prispevka iz ESPG začelo teči istega dne in se bo končalo 24 mesecev po začetku veljavnosti </w:t>
      </w:r>
      <w:r w:rsidR="0096616F" w:rsidRPr="00D84642">
        <w:t>, ki je priložen tej resoluciji</w:t>
      </w:r>
      <w:r w:rsidRPr="00D84642">
        <w:t>;</w:t>
      </w:r>
    </w:p>
    <w:p w14:paraId="7BF43EBC" w14:textId="47F9C3D0" w:rsidR="00270B63" w:rsidRPr="00D84642" w:rsidRDefault="00270B63" w:rsidP="00270B63">
      <w:pPr>
        <w:pStyle w:val="NormalHanging12a"/>
        <w:rPr>
          <w:sz w:val="23"/>
          <w:szCs w:val="23"/>
        </w:rPr>
      </w:pPr>
      <w:r w:rsidRPr="00D84642">
        <w:t>11.</w:t>
      </w:r>
      <w:r w:rsidRPr="00D84642">
        <w:tab/>
        <w:t>ugotavlja, da je Nemčija prve upravne odhodke za izvajanje ESPG imela 1. novembra 2024 in da bodo tovrstni odhodki torej upravičeni do finančnega prispevka iz ESPG od tega datuma do izteka 31 mesecev po datumu začetka veljavnosti sklepa</w:t>
      </w:r>
      <w:r w:rsidR="0096616F" w:rsidRPr="00D84642">
        <w:t>, ki je priložen tej resoluciji</w:t>
      </w:r>
      <w:r w:rsidRPr="00D84642">
        <w:t>;</w:t>
      </w:r>
    </w:p>
    <w:p w14:paraId="6417A0E4" w14:textId="77777777" w:rsidR="00270B63" w:rsidRPr="00D84642" w:rsidRDefault="00270B63" w:rsidP="00270B63">
      <w:pPr>
        <w:pStyle w:val="NormalHanging12a"/>
      </w:pPr>
      <w:r w:rsidRPr="00D84642">
        <w:t>12.</w:t>
      </w:r>
      <w:r w:rsidRPr="00D84642">
        <w:tab/>
        <w:t>poudarja, da so nemški organi dali zagotovila, da bosta pri dostopu do predlaganih ukrepov in njihovem izvajanju spoštovani načeli enake obravnave in nediskriminacije ter da bo preprečeno vsakršno dvojno financiranje;</w:t>
      </w:r>
    </w:p>
    <w:p w14:paraId="7984288F" w14:textId="77777777" w:rsidR="00270B63" w:rsidRPr="00D84642" w:rsidRDefault="00270B63" w:rsidP="00270B63">
      <w:pPr>
        <w:pStyle w:val="NormalHanging12a"/>
      </w:pPr>
      <w:r w:rsidRPr="00D84642">
        <w:t>13.</w:t>
      </w:r>
      <w:r w:rsidRPr="00D84642">
        <w:tab/>
        <w:t>opozarja, da nemški organi priznavajo, da financiranje prihaja iz Unije, in zagotavljajo njegovo prepoznavnost ter hkrati poudarjajo dodano vrednost na ravni Unije; poudarja, da bi bilo treba to doseči s ciljno usmerjenimi ukrepi za obveščanje upravičencev, socialnih partnerjev in medijev;</w:t>
      </w:r>
    </w:p>
    <w:p w14:paraId="5E14FF11" w14:textId="77777777" w:rsidR="00270B63" w:rsidRPr="00D84642" w:rsidRDefault="00270B63" w:rsidP="00270B63">
      <w:pPr>
        <w:pStyle w:val="NormalHanging12a"/>
      </w:pPr>
      <w:r w:rsidRPr="00D84642">
        <w:t>14.</w:t>
      </w:r>
      <w:r w:rsidRPr="00D84642">
        <w:tab/>
        <w:t>ponavlja, da pomoč iz ESPG ne sme nadomestiti ukrepov, za katere so odgovorna podjetja na podlagi nacionalnega prava ali kolektivnih pogodb;</w:t>
      </w:r>
    </w:p>
    <w:p w14:paraId="668A1899" w14:textId="77777777" w:rsidR="00270B63" w:rsidRPr="00D84642" w:rsidRDefault="00270B63" w:rsidP="00270B63">
      <w:pPr>
        <w:pStyle w:val="NormalHanging12a"/>
      </w:pPr>
      <w:r w:rsidRPr="00D84642">
        <w:t>15.</w:t>
      </w:r>
      <w:r w:rsidRPr="00D84642">
        <w:tab/>
        <w:t>poudarja, da so nujno potrebna dosledna in usklajena prizadevanja Unije za konkurenčnost, ki jih je treba razviti v tesnem partnerstvu z državami članicami, da bi zaščitili evropsko zaposlitveno bazo v industriji in socialno varnost; poudarja, da lahko samo trdno in odporno evropsko gospodarstvo učinkovito prepreči obsežno odpuščanje, s čimer se v prvi vrsti zmanjša potreba po posredovanju ESPG;</w:t>
      </w:r>
    </w:p>
    <w:p w14:paraId="5ADE9539" w14:textId="77777777" w:rsidR="00270B63" w:rsidRPr="00D84642" w:rsidRDefault="00270B63" w:rsidP="00270B63">
      <w:pPr>
        <w:pStyle w:val="NormalHanging12a"/>
      </w:pPr>
      <w:r w:rsidRPr="00D84642">
        <w:t>16.</w:t>
      </w:r>
      <w:r w:rsidRPr="00D84642">
        <w:tab/>
        <w:t>odobri sklep, priložen tej resoluciji;</w:t>
      </w:r>
    </w:p>
    <w:p w14:paraId="280F9E46" w14:textId="77777777" w:rsidR="00270B63" w:rsidRPr="00D84642" w:rsidRDefault="00270B63" w:rsidP="00270B63">
      <w:pPr>
        <w:pStyle w:val="NormalHanging12a"/>
      </w:pPr>
      <w:r w:rsidRPr="00D84642">
        <w:t>17.</w:t>
      </w:r>
      <w:r w:rsidRPr="00D84642">
        <w:tab/>
        <w:t xml:space="preserve">naroči svoji predsednici, naj podpiše ta sklep skupaj s predsedujočim Svetu ter poskrbi za njegovo objavo v </w:t>
      </w:r>
      <w:r w:rsidRPr="00D84642">
        <w:rPr>
          <w:i/>
        </w:rPr>
        <w:t>Uradnem listu Evropske unije</w:t>
      </w:r>
      <w:r w:rsidRPr="00D84642">
        <w:t>;</w:t>
      </w:r>
    </w:p>
    <w:p w14:paraId="45D543B7" w14:textId="53D9E504" w:rsidR="00270B63" w:rsidRPr="00D84642" w:rsidRDefault="00270B63" w:rsidP="00165E1C">
      <w:pPr>
        <w:widowControl/>
        <w:ind w:left="567" w:hanging="567"/>
        <w:rPr>
          <w:noProof/>
        </w:rPr>
      </w:pPr>
      <w:r w:rsidRPr="00D84642">
        <w:t>18.</w:t>
      </w:r>
      <w:r w:rsidRPr="00D84642">
        <w:tab/>
        <w:t>naroči svoji predsednici, naj resolucijo skupaj s prilogo posreduje Svetu in Komisiji.</w:t>
      </w:r>
    </w:p>
    <w:p w14:paraId="21939A53" w14:textId="77777777" w:rsidR="00270B63" w:rsidRPr="00D84642" w:rsidRDefault="00270B63" w:rsidP="00270B63">
      <w:pPr>
        <w:rPr>
          <w:noProof/>
        </w:rPr>
      </w:pPr>
    </w:p>
    <w:p w14:paraId="369429A3" w14:textId="77777777" w:rsidR="00270B63" w:rsidRPr="00D84642" w:rsidRDefault="00270B63" w:rsidP="00270B63">
      <w:pPr>
        <w:widowControl/>
        <w:rPr>
          <w:rFonts w:ascii="Arial" w:hAnsi="Arial" w:cs="Arial"/>
          <w:b/>
          <w:noProof/>
        </w:rPr>
        <w:sectPr w:rsidR="00270B63" w:rsidRPr="00D84642" w:rsidSect="001C3AE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6C76A268" w14:textId="77777777" w:rsidR="00772036" w:rsidRPr="00772036" w:rsidRDefault="00270B63" w:rsidP="00270B63">
      <w:pPr>
        <w:pStyle w:val="PageHeading"/>
        <w:rPr>
          <w:rFonts w:ascii="Times New Roman" w:hAnsi="Times New Roman" w:cs="Times New Roman"/>
        </w:rPr>
      </w:pPr>
      <w:bookmarkStart w:id="7" w:name="_Toc206749151"/>
      <w:bookmarkStart w:id="8" w:name="_Toc210382939"/>
      <w:r w:rsidRPr="00772036">
        <w:rPr>
          <w:rFonts w:ascii="Times New Roman" w:hAnsi="Times New Roman" w:cs="Times New Roman"/>
        </w:rPr>
        <w:lastRenderedPageBreak/>
        <w:t>PRILOGA</w:t>
      </w:r>
    </w:p>
    <w:p w14:paraId="6D0E10A1" w14:textId="5D6AFCF1" w:rsidR="00270B63" w:rsidRPr="00772036" w:rsidRDefault="00270B63" w:rsidP="00270B63">
      <w:pPr>
        <w:pStyle w:val="PageHeading"/>
        <w:rPr>
          <w:rFonts w:ascii="Times New Roman" w:hAnsi="Times New Roman" w:cs="Times New Roman"/>
          <w:noProof/>
        </w:rPr>
      </w:pPr>
      <w:r w:rsidRPr="00772036">
        <w:rPr>
          <w:rFonts w:ascii="Times New Roman" w:hAnsi="Times New Roman" w:cs="Times New Roman"/>
        </w:rPr>
        <w:t>SKLEP EVROPSKEGA PARLAMENTA IN SVETA</w:t>
      </w:r>
      <w:bookmarkEnd w:id="7"/>
      <w:bookmarkEnd w:id="8"/>
    </w:p>
    <w:p w14:paraId="4FA0D617" w14:textId="5D40F9A8" w:rsidR="00270B63" w:rsidRPr="00772036" w:rsidRDefault="00270B63" w:rsidP="00772036">
      <w:pPr>
        <w:pStyle w:val="NormalBold24a"/>
        <w:spacing w:before="120" w:after="0"/>
        <w:jc w:val="center"/>
      </w:pPr>
      <w:r w:rsidRPr="00772036">
        <w:t xml:space="preserve">o uporabi Evropskega sklada za prilagoditev globalizaciji za presežne delavce na podlagi vloge Nemčije </w:t>
      </w:r>
      <w:r w:rsidR="00772036">
        <w:t xml:space="preserve">– </w:t>
      </w:r>
      <w:r w:rsidRPr="00772036">
        <w:t>EGF/2025/002 DE/</w:t>
      </w:r>
      <w:proofErr w:type="spellStart"/>
      <w:r w:rsidRPr="00772036">
        <w:t>Goodyear</w:t>
      </w:r>
      <w:proofErr w:type="spellEnd"/>
      <w:r w:rsidRPr="00772036">
        <w:t> 2</w:t>
      </w:r>
    </w:p>
    <w:p w14:paraId="673A37EB" w14:textId="30B204BF" w:rsidR="00772036" w:rsidRPr="00325FD9" w:rsidRDefault="00772036" w:rsidP="00772036">
      <w:pPr>
        <w:spacing w:before="360" w:after="120"/>
        <w:rPr>
          <w:i/>
        </w:rPr>
      </w:pPr>
      <w:r w:rsidRPr="00772036">
        <w:rPr>
          <w:i/>
        </w:rPr>
        <w:t>(Besedilo te priloge tukaj ni navedeno, saj je enako končnemu aktu, Sklepu (EU) 2025/</w:t>
      </w:r>
      <w:r>
        <w:rPr>
          <w:i/>
        </w:rPr>
        <w:t>2135</w:t>
      </w:r>
      <w:r w:rsidRPr="00772036">
        <w:rPr>
          <w:i/>
        </w:rPr>
        <w:t>.)</w:t>
      </w:r>
    </w:p>
    <w:sectPr w:rsidR="00772036" w:rsidRPr="00325FD9" w:rsidSect="001C3AE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3B937" w14:textId="77777777" w:rsidR="006A6856" w:rsidRPr="001C3AEB" w:rsidRDefault="006A6856">
      <w:r w:rsidRPr="001C3AEB">
        <w:separator/>
      </w:r>
    </w:p>
  </w:endnote>
  <w:endnote w:type="continuationSeparator" w:id="0">
    <w:p w14:paraId="571BDA69" w14:textId="77777777" w:rsidR="006A6856" w:rsidRPr="001C3AEB" w:rsidRDefault="006A6856">
      <w:r w:rsidRPr="001C3A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19582" w14:textId="77777777" w:rsidR="00270B63" w:rsidRPr="001C3AEB" w:rsidRDefault="00270B63" w:rsidP="00D56225">
    <w:pPr>
      <w:pStyle w:val="EPFooter"/>
    </w:pPr>
    <w:r w:rsidRPr="001C3AEB">
      <w:t>PE</w:t>
    </w:r>
    <w:r w:rsidRPr="001C3AEB">
      <w:rPr>
        <w:rStyle w:val="HideTWBExt"/>
      </w:rPr>
      <w:t>&lt;NoPE&gt;</w:t>
    </w:r>
    <w:r w:rsidRPr="001C3AEB">
      <w:t>776.828</w:t>
    </w:r>
    <w:r w:rsidRPr="001C3AEB">
      <w:rPr>
        <w:rStyle w:val="HideTWBExt"/>
      </w:rPr>
      <w:t>&lt;/NoPE&gt;&lt;Version&gt;</w:t>
    </w:r>
    <w:r w:rsidRPr="001C3AEB">
      <w:t>v02-00</w:t>
    </w:r>
    <w:r w:rsidRPr="001C3AEB">
      <w:rPr>
        <w:rStyle w:val="HideTWBExt"/>
      </w:rPr>
      <w:t>&lt;/Version&gt;</w:t>
    </w:r>
    <w:r w:rsidRPr="001C3AEB">
      <w:tab/>
    </w:r>
    <w:r w:rsidRPr="001C3AEB">
      <w:fldChar w:fldCharType="begin"/>
    </w:r>
    <w:r w:rsidRPr="001C3AEB">
      <w:instrText xml:space="preserve"> PAGE  \* MERGEFORMAT </w:instrText>
    </w:r>
    <w:r w:rsidRPr="001C3AEB">
      <w:fldChar w:fldCharType="separate"/>
    </w:r>
    <w:r w:rsidRPr="001C3AEB">
      <w:rPr>
        <w:noProof/>
      </w:rPr>
      <w:t>18</w:t>
    </w:r>
    <w:r w:rsidRPr="001C3AEB">
      <w:fldChar w:fldCharType="end"/>
    </w:r>
    <w:r w:rsidRPr="001C3AEB">
      <w:t>/</w:t>
    </w:r>
    <w:fldSimple w:instr=" NUMPAGES  \* MERGEFORMAT ">
      <w:r w:rsidRPr="001C3AEB">
        <w:rPr>
          <w:noProof/>
        </w:rPr>
        <w:t>18</w:t>
      </w:r>
    </w:fldSimple>
    <w:r w:rsidRPr="001C3AEB">
      <w:tab/>
    </w:r>
    <w:r w:rsidRPr="001C3AEB">
      <w:rPr>
        <w:rStyle w:val="HideTWBExt"/>
      </w:rPr>
      <w:t>&lt;PathFdR&gt;</w:t>
    </w:r>
    <w:r w:rsidRPr="001C3AEB">
      <w:t>RR\1328613SL.docx</w:t>
    </w:r>
    <w:r w:rsidRPr="001C3AEB">
      <w:rPr>
        <w:rStyle w:val="HideTWBExt"/>
      </w:rPr>
      <w:t>&lt;/PathFdR&gt;</w:t>
    </w:r>
  </w:p>
  <w:p w14:paraId="29D19443" w14:textId="77777777" w:rsidR="00270B63" w:rsidRPr="001C3AEB" w:rsidRDefault="00270B63" w:rsidP="00D56225">
    <w:pPr>
      <w:pStyle w:val="EPFooter2"/>
    </w:pPr>
    <w:r w:rsidRPr="001C3AEB">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4D445" w14:textId="77777777" w:rsidR="00270B63" w:rsidRPr="001C3AEB" w:rsidRDefault="00270B63" w:rsidP="00D56225">
    <w:pPr>
      <w:pStyle w:val="EPFooter"/>
    </w:pPr>
    <w:r w:rsidRPr="001C3AEB">
      <w:rPr>
        <w:rStyle w:val="HideTWBExt"/>
      </w:rPr>
      <w:t>&lt;PathFdR&gt;</w:t>
    </w:r>
    <w:r w:rsidRPr="001C3AEB">
      <w:t>RR\1328613SL.docx</w:t>
    </w:r>
    <w:r w:rsidRPr="001C3AEB">
      <w:rPr>
        <w:rStyle w:val="HideTWBExt"/>
      </w:rPr>
      <w:t>&lt;/PathFdR&gt;</w:t>
    </w:r>
    <w:r w:rsidRPr="001C3AEB">
      <w:tab/>
    </w:r>
    <w:r w:rsidRPr="001C3AEB">
      <w:tab/>
      <w:t>PE</w:t>
    </w:r>
    <w:r w:rsidRPr="001C3AEB">
      <w:rPr>
        <w:rStyle w:val="HideTWBExt"/>
      </w:rPr>
      <w:t>&lt;NoPE&gt;</w:t>
    </w:r>
    <w:r w:rsidRPr="001C3AEB">
      <w:t>776.828</w:t>
    </w:r>
    <w:r w:rsidRPr="001C3AEB">
      <w:rPr>
        <w:rStyle w:val="HideTWBExt"/>
      </w:rPr>
      <w:t>&lt;/NoPE&gt;&lt;Version&gt;</w:t>
    </w:r>
    <w:r w:rsidRPr="001C3AEB">
      <w:t>v02-00</w:t>
    </w:r>
    <w:r w:rsidRPr="001C3AEB">
      <w:rPr>
        <w:rStyle w:val="HideTWBExt"/>
      </w:rPr>
      <w:t>&lt;/Version&gt;</w:t>
    </w:r>
  </w:p>
  <w:p w14:paraId="01B0373B" w14:textId="77777777" w:rsidR="00270B63" w:rsidRPr="001C3AEB" w:rsidRDefault="00270B63" w:rsidP="00D56225">
    <w:pPr>
      <w:pStyle w:val="EPFooter2"/>
    </w:pPr>
    <w:r w:rsidRPr="001C3AEB">
      <w:t>SL</w:t>
    </w:r>
    <w:r w:rsidRPr="001C3AEB">
      <w:tab/>
    </w:r>
    <w:r w:rsidRPr="001C3AEB">
      <w:rPr>
        <w:b w:val="0"/>
        <w:i/>
        <w:color w:val="C0C0C0"/>
        <w:sz w:val="22"/>
      </w:rPr>
      <w:t>Združena v raznolikosti</w:t>
    </w:r>
    <w:r w:rsidRPr="001C3AEB">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831D8" w14:textId="77777777" w:rsidR="00064002" w:rsidRPr="001C3AE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F4C6" w14:textId="77777777" w:rsidR="00064002" w:rsidRPr="001C3AE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DD9AB" w14:textId="77777777" w:rsidR="00064002" w:rsidRPr="001C3A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0E33F" w14:textId="77777777" w:rsidR="006A6856" w:rsidRPr="001C3AEB" w:rsidRDefault="006A6856">
      <w:r w:rsidRPr="001C3AEB">
        <w:separator/>
      </w:r>
    </w:p>
  </w:footnote>
  <w:footnote w:type="continuationSeparator" w:id="0">
    <w:p w14:paraId="7CDF082D" w14:textId="77777777" w:rsidR="006A6856" w:rsidRPr="001C3AEB" w:rsidRDefault="006A6856">
      <w:r w:rsidRPr="001C3AEB">
        <w:continuationSeparator/>
      </w:r>
    </w:p>
  </w:footnote>
  <w:footnote w:id="1">
    <w:p w14:paraId="11AAAE7C" w14:textId="5D0552AC" w:rsidR="00270B63" w:rsidRPr="001C3AEB" w:rsidRDefault="00270B63" w:rsidP="001C3AEB">
      <w:pPr>
        <w:pStyle w:val="FootnoteText"/>
        <w:ind w:left="567" w:hanging="567"/>
        <w:rPr>
          <w:sz w:val="24"/>
          <w:lang w:val="sl-SI"/>
        </w:rPr>
      </w:pPr>
      <w:r w:rsidRPr="001C3AEB">
        <w:rPr>
          <w:rStyle w:val="FootnoteReference"/>
          <w:sz w:val="24"/>
          <w:lang w:val="sl-SI"/>
        </w:rPr>
        <w:footnoteRef/>
      </w:r>
      <w:r w:rsidR="001C3AEB" w:rsidRPr="001C3AEB">
        <w:rPr>
          <w:sz w:val="24"/>
          <w:lang w:val="sl-SI"/>
        </w:rPr>
        <w:t xml:space="preserve"> </w:t>
      </w:r>
      <w:r w:rsidR="001C3AEB" w:rsidRPr="001C3AEB">
        <w:rPr>
          <w:sz w:val="24"/>
          <w:lang w:val="sl-SI"/>
        </w:rPr>
        <w:tab/>
      </w:r>
      <w:r w:rsidRPr="001C3AEB">
        <w:rPr>
          <w:sz w:val="24"/>
          <w:lang w:val="sl-SI"/>
        </w:rPr>
        <w:t xml:space="preserve">UL L 153, 3.5.2021, str. 48, ELI: </w:t>
      </w:r>
      <w:hyperlink r:id="rId1" w:history="1">
        <w:r w:rsidRPr="001C3AEB">
          <w:rPr>
            <w:rStyle w:val="Hyperlink"/>
            <w:sz w:val="24"/>
            <w:lang w:val="sl-SI"/>
          </w:rPr>
          <w:t>http://data.europa.eu/eli/reg/2021/691/oj</w:t>
        </w:r>
      </w:hyperlink>
      <w:r w:rsidRPr="001C3AEB">
        <w:rPr>
          <w:sz w:val="24"/>
          <w:lang w:val="sl-SI"/>
        </w:rPr>
        <w:t>.</w:t>
      </w:r>
    </w:p>
  </w:footnote>
  <w:footnote w:id="2">
    <w:p w14:paraId="5BF495E6" w14:textId="5D756BD3" w:rsidR="00270B63" w:rsidRPr="001C3AEB" w:rsidRDefault="00270B63" w:rsidP="001C3AEB">
      <w:pPr>
        <w:pStyle w:val="FootnoteText"/>
        <w:ind w:left="567" w:hanging="567"/>
        <w:rPr>
          <w:sz w:val="24"/>
          <w:lang w:val="sl-SI"/>
        </w:rPr>
      </w:pPr>
      <w:r w:rsidRPr="001C3AEB">
        <w:rPr>
          <w:rStyle w:val="FootnoteReference"/>
          <w:sz w:val="24"/>
          <w:lang w:val="sl-SI"/>
        </w:rPr>
        <w:footnoteRef/>
      </w:r>
      <w:r w:rsidR="001C3AEB" w:rsidRPr="001C3AEB">
        <w:rPr>
          <w:sz w:val="24"/>
          <w:lang w:val="sl-SI"/>
        </w:rPr>
        <w:t xml:space="preserve"> </w:t>
      </w:r>
      <w:r w:rsidR="001C3AEB" w:rsidRPr="001C3AEB">
        <w:rPr>
          <w:sz w:val="24"/>
          <w:lang w:val="sl-SI"/>
        </w:rPr>
        <w:tab/>
      </w:r>
      <w:r w:rsidRPr="001C3AEB">
        <w:rPr>
          <w:sz w:val="24"/>
          <w:lang w:val="sl-SI"/>
        </w:rPr>
        <w:t>UL L 433 I, 22.12.2020, str. </w:t>
      </w:r>
      <w:r w:rsidRPr="001C3AEB">
        <w:rPr>
          <w:sz w:val="24"/>
          <w:lang w:val="sl-SI"/>
        </w:rPr>
        <w:t xml:space="preserve">11, ELI: </w:t>
      </w:r>
      <w:hyperlink r:id="rId2" w:history="1">
        <w:r w:rsidRPr="001C3AEB">
          <w:rPr>
            <w:rStyle w:val="Hyperlink"/>
            <w:sz w:val="24"/>
            <w:lang w:val="sl-SI"/>
          </w:rPr>
          <w:t>http://data.europa.eu/eli/reg/2020/2093/oj</w:t>
        </w:r>
      </w:hyperlink>
      <w:r w:rsidRPr="001C3AEB">
        <w:rPr>
          <w:sz w:val="24"/>
          <w:lang w:val="sl-SI"/>
        </w:rPr>
        <w:t>.</w:t>
      </w:r>
    </w:p>
  </w:footnote>
  <w:footnote w:id="3">
    <w:p w14:paraId="51278400" w14:textId="7D01CF04" w:rsidR="00270B63" w:rsidRPr="001C3AEB" w:rsidRDefault="00270B63" w:rsidP="001C3AEB">
      <w:pPr>
        <w:pStyle w:val="FootnoteText"/>
        <w:ind w:left="567" w:hanging="567"/>
        <w:rPr>
          <w:sz w:val="24"/>
          <w:lang w:val="sl-SI"/>
        </w:rPr>
      </w:pPr>
      <w:r w:rsidRPr="001C3AEB">
        <w:rPr>
          <w:rStyle w:val="FootnoteReference"/>
          <w:sz w:val="24"/>
          <w:lang w:val="sl-SI"/>
        </w:rPr>
        <w:footnoteRef/>
      </w:r>
      <w:r w:rsidR="001C3AEB" w:rsidRPr="001C3AEB">
        <w:rPr>
          <w:color w:val="333333"/>
          <w:sz w:val="24"/>
          <w:shd w:val="clear" w:color="auto" w:fill="FFFFFF"/>
          <w:lang w:val="sl-SI"/>
        </w:rPr>
        <w:t xml:space="preserve"> </w:t>
      </w:r>
      <w:r w:rsidR="001C3AEB" w:rsidRPr="001C3AEB">
        <w:rPr>
          <w:color w:val="333333"/>
          <w:sz w:val="24"/>
          <w:shd w:val="clear" w:color="auto" w:fill="FFFFFF"/>
          <w:lang w:val="sl-SI"/>
        </w:rPr>
        <w:tab/>
      </w:r>
      <w:r w:rsidRPr="001C3AEB">
        <w:rPr>
          <w:color w:val="333333"/>
          <w:sz w:val="24"/>
          <w:shd w:val="clear" w:color="auto" w:fill="FFFFFF"/>
          <w:lang w:val="sl-SI"/>
        </w:rPr>
        <w:t>Uredba Sveta (EU, Euratom) 2024/765 z dne 29. </w:t>
      </w:r>
      <w:r w:rsidRPr="001C3AEB">
        <w:rPr>
          <w:color w:val="333333"/>
          <w:sz w:val="24"/>
          <w:shd w:val="clear" w:color="auto" w:fill="FFFFFF"/>
          <w:lang w:val="sl-SI"/>
        </w:rPr>
        <w:t>februarja 2024 o spremembi Uredbe (EU, Euratom) 2020/2093 o določitvi večletnega finančnega okvira za obdobje 2021–2027 (</w:t>
      </w:r>
      <w:r w:rsidRPr="001C3AEB">
        <w:rPr>
          <w:sz w:val="24"/>
          <w:lang w:val="sl-SI"/>
        </w:rPr>
        <w:t xml:space="preserve">UL L, 2024/765, 29.2.2024, ELI: </w:t>
      </w:r>
      <w:hyperlink r:id="rId3" w:history="1">
        <w:r w:rsidRPr="001C3AEB">
          <w:rPr>
            <w:rStyle w:val="Hyperlink"/>
            <w:sz w:val="24"/>
            <w:lang w:val="sl-SI"/>
          </w:rPr>
          <w:t>http://data.europa.eu/eli/reg/2024/765/oj</w:t>
        </w:r>
      </w:hyperlink>
      <w:r w:rsidRPr="001C3AEB">
        <w:rPr>
          <w:rStyle w:val="Emphasis"/>
          <w:color w:val="333333"/>
          <w:sz w:val="24"/>
          <w:shd w:val="clear" w:color="auto" w:fill="FFFFFF"/>
          <w:lang w:val="sl-SI"/>
        </w:rPr>
        <w:t>).</w:t>
      </w:r>
    </w:p>
  </w:footnote>
  <w:footnote w:id="4">
    <w:p w14:paraId="73FFDFF8" w14:textId="60646247" w:rsidR="00270B63" w:rsidRPr="001C3AEB" w:rsidRDefault="00270B63" w:rsidP="001C3AEB">
      <w:pPr>
        <w:pStyle w:val="FootnoteText"/>
        <w:ind w:left="567" w:hanging="567"/>
        <w:rPr>
          <w:sz w:val="24"/>
          <w:lang w:val="sl-SI"/>
        </w:rPr>
      </w:pPr>
      <w:r w:rsidRPr="001C3AEB">
        <w:rPr>
          <w:rStyle w:val="FootnoteReference"/>
          <w:sz w:val="24"/>
          <w:lang w:val="sl-SI"/>
        </w:rPr>
        <w:footnoteRef/>
      </w:r>
      <w:r w:rsidR="001C3AEB" w:rsidRPr="001C3AEB">
        <w:rPr>
          <w:sz w:val="24"/>
          <w:lang w:val="sl-SI"/>
        </w:rPr>
        <w:t xml:space="preserve"> </w:t>
      </w:r>
      <w:r w:rsidR="001C3AEB" w:rsidRPr="001C3AEB">
        <w:rPr>
          <w:sz w:val="24"/>
          <w:lang w:val="sl-SI"/>
        </w:rPr>
        <w:tab/>
      </w:r>
      <w:r w:rsidRPr="001C3AEB">
        <w:rPr>
          <w:sz w:val="24"/>
          <w:lang w:val="sl-SI"/>
        </w:rPr>
        <w:t xml:space="preserve">UL L 433 I, 22.12.2020, str. </w:t>
      </w:r>
      <w:r w:rsidRPr="001C3AEB">
        <w:rPr>
          <w:sz w:val="24"/>
          <w:lang w:val="sl-SI"/>
        </w:rPr>
        <w:t xml:space="preserve">28, ELI: </w:t>
      </w:r>
      <w:hyperlink r:id="rId4" w:history="1">
        <w:r w:rsidRPr="001C3AEB">
          <w:rPr>
            <w:rStyle w:val="Hyperlink"/>
            <w:sz w:val="24"/>
            <w:lang w:val="sl-SI"/>
          </w:rPr>
          <w:t>http://data.europa.eu/eli/agree_interinstit/2020/1222/oj</w:t>
        </w:r>
      </w:hyperlink>
      <w:r w:rsidRPr="001C3AEB">
        <w:rPr>
          <w:sz w:val="24"/>
          <w:lang w:val="sl-SI"/>
        </w:rPr>
        <w:t>.</w:t>
      </w:r>
    </w:p>
  </w:footnote>
  <w:footnote w:id="5">
    <w:p w14:paraId="3A40237B" w14:textId="5AB3B903" w:rsidR="00270B63" w:rsidRPr="001C3AEB" w:rsidRDefault="00270B63" w:rsidP="001C3AEB">
      <w:pPr>
        <w:pStyle w:val="FootnoteText"/>
        <w:ind w:left="567" w:hanging="567"/>
        <w:rPr>
          <w:sz w:val="24"/>
          <w:lang w:val="sl-SI"/>
        </w:rPr>
      </w:pPr>
      <w:r w:rsidRPr="001C3AEB">
        <w:rPr>
          <w:rStyle w:val="FootnoteReference"/>
          <w:sz w:val="24"/>
          <w:lang w:val="sl-SI"/>
        </w:rPr>
        <w:footnoteRef/>
      </w:r>
      <w:r w:rsidR="001C3AEB" w:rsidRPr="001C3AEB">
        <w:rPr>
          <w:sz w:val="24"/>
          <w:lang w:val="sl-SI"/>
        </w:rPr>
        <w:t xml:space="preserve"> </w:t>
      </w:r>
      <w:r w:rsidR="001C3AEB" w:rsidRPr="001C3AEB">
        <w:rPr>
          <w:sz w:val="24"/>
          <w:lang w:val="sl-SI"/>
        </w:rPr>
        <w:tab/>
      </w:r>
      <w:r w:rsidRPr="001C3AEB">
        <w:rPr>
          <w:sz w:val="24"/>
          <w:lang w:val="sl-SI"/>
        </w:rPr>
        <w:t>V smislu člena 3 uredbe o ESPG.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9374B" w14:textId="77777777" w:rsidR="00064002" w:rsidRPr="001C3A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1A184" w14:textId="77777777" w:rsidR="00064002" w:rsidRPr="001C3A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DB787" w14:textId="77777777" w:rsidR="00064002" w:rsidRPr="001C3A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6073300">
    <w:abstractNumId w:val="9"/>
  </w:num>
  <w:num w:numId="2" w16cid:durableId="1122116333">
    <w:abstractNumId w:val="9"/>
  </w:num>
  <w:num w:numId="3" w16cid:durableId="1689140587">
    <w:abstractNumId w:val="7"/>
  </w:num>
  <w:num w:numId="4" w16cid:durableId="361366164">
    <w:abstractNumId w:val="7"/>
  </w:num>
  <w:num w:numId="5" w16cid:durableId="1736850537">
    <w:abstractNumId w:val="6"/>
  </w:num>
  <w:num w:numId="6" w16cid:durableId="697973838">
    <w:abstractNumId w:val="6"/>
  </w:num>
  <w:num w:numId="7" w16cid:durableId="543979199">
    <w:abstractNumId w:val="5"/>
  </w:num>
  <w:num w:numId="8" w16cid:durableId="1296175223">
    <w:abstractNumId w:val="5"/>
  </w:num>
  <w:num w:numId="9" w16cid:durableId="1984503322">
    <w:abstractNumId w:val="4"/>
  </w:num>
  <w:num w:numId="10" w16cid:durableId="96604682">
    <w:abstractNumId w:val="4"/>
  </w:num>
  <w:num w:numId="11" w16cid:durableId="2143110667">
    <w:abstractNumId w:val="8"/>
  </w:num>
  <w:num w:numId="12" w16cid:durableId="1764492643">
    <w:abstractNumId w:val="8"/>
  </w:num>
  <w:num w:numId="13" w16cid:durableId="1963221767">
    <w:abstractNumId w:val="3"/>
  </w:num>
  <w:num w:numId="14" w16cid:durableId="156699155">
    <w:abstractNumId w:val="3"/>
  </w:num>
  <w:num w:numId="15" w16cid:durableId="884633543">
    <w:abstractNumId w:val="2"/>
  </w:num>
  <w:num w:numId="16" w16cid:durableId="1143886482">
    <w:abstractNumId w:val="2"/>
  </w:num>
  <w:num w:numId="17" w16cid:durableId="11418280">
    <w:abstractNumId w:val="1"/>
  </w:num>
  <w:num w:numId="18" w16cid:durableId="517549327">
    <w:abstractNumId w:val="1"/>
  </w:num>
  <w:num w:numId="19" w16cid:durableId="568006208">
    <w:abstractNumId w:val="0"/>
  </w:num>
  <w:num w:numId="20" w16cid:durableId="1908539779">
    <w:abstractNumId w:val="0"/>
  </w:num>
  <w:num w:numId="21" w16cid:durableId="56897442">
    <w:abstractNumId w:val="9"/>
  </w:num>
  <w:num w:numId="22" w16cid:durableId="1325426428">
    <w:abstractNumId w:val="7"/>
  </w:num>
  <w:num w:numId="23" w16cid:durableId="1815633365">
    <w:abstractNumId w:val="6"/>
  </w:num>
  <w:num w:numId="24" w16cid:durableId="1649937212">
    <w:abstractNumId w:val="5"/>
  </w:num>
  <w:num w:numId="25" w16cid:durableId="1778451295">
    <w:abstractNumId w:val="4"/>
  </w:num>
  <w:num w:numId="26" w16cid:durableId="1899900374">
    <w:abstractNumId w:val="8"/>
  </w:num>
  <w:num w:numId="27" w16cid:durableId="1031565327">
    <w:abstractNumId w:val="3"/>
  </w:num>
  <w:num w:numId="28" w16cid:durableId="1274676847">
    <w:abstractNumId w:val="2"/>
  </w:num>
  <w:num w:numId="29" w16cid:durableId="632829474">
    <w:abstractNumId w:val="1"/>
  </w:num>
  <w:num w:numId="30" w16cid:durableId="1862933101">
    <w:abstractNumId w:val="0"/>
  </w:num>
  <w:num w:numId="31" w16cid:durableId="240070072">
    <w:abstractNumId w:val="9"/>
  </w:num>
  <w:num w:numId="32" w16cid:durableId="1418093659">
    <w:abstractNumId w:val="7"/>
  </w:num>
  <w:num w:numId="33" w16cid:durableId="1818841730">
    <w:abstractNumId w:val="6"/>
  </w:num>
  <w:num w:numId="34" w16cid:durableId="352919862">
    <w:abstractNumId w:val="5"/>
  </w:num>
  <w:num w:numId="35" w16cid:durableId="745959960">
    <w:abstractNumId w:val="4"/>
  </w:num>
  <w:num w:numId="36" w16cid:durableId="1865363228">
    <w:abstractNumId w:val="8"/>
  </w:num>
  <w:num w:numId="37" w16cid:durableId="936132700">
    <w:abstractNumId w:val="3"/>
  </w:num>
  <w:num w:numId="38" w16cid:durableId="659232996">
    <w:abstractNumId w:val="2"/>
  </w:num>
  <w:num w:numId="39" w16cid:durableId="1843352377">
    <w:abstractNumId w:val="1"/>
  </w:num>
  <w:num w:numId="40" w16cid:durableId="1710371872">
    <w:abstractNumId w:val="0"/>
  </w:num>
  <w:num w:numId="41" w16cid:durableId="2142454288">
    <w:abstractNumId w:val="10"/>
  </w:num>
  <w:num w:numId="42" w16cid:durableId="613369913">
    <w:abstractNumId w:val="10"/>
  </w:num>
  <w:num w:numId="43" w16cid:durableId="1652446471">
    <w:abstractNumId w:val="10"/>
  </w:num>
  <w:num w:numId="44" w16cid:durableId="15534674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SL"/>
    <w:docVar w:name="dvnumam" w:val="0"/>
    <w:docVar w:name="dvpe" w:val="776.828"/>
    <w:docVar w:name="dvrapporteur" w:val="Poročevalec: "/>
    <w:docVar w:name="dvtitre" w:val="Resolucija Evropskega parlamenta z dne xx. oktobra 2025 o predlogu sklepa Evropskega parlamenta in Sveta o uporabi Evropskega sklada za prilagoditev globalizaciji za presežne delavce na podlagi vloge Nemčije – EGF/2025/002 DE/Goodyear 2(COM(2025)0302 – C10-0182/2025 – 2025/0245(BUD))"/>
  </w:docVars>
  <w:rsids>
    <w:rsidRoot w:val="006A6856"/>
    <w:rsid w:val="00002272"/>
    <w:rsid w:val="00064002"/>
    <w:rsid w:val="000677B9"/>
    <w:rsid w:val="000831BA"/>
    <w:rsid w:val="000A42CC"/>
    <w:rsid w:val="000D3156"/>
    <w:rsid w:val="000E7DD9"/>
    <w:rsid w:val="0010095E"/>
    <w:rsid w:val="00125B37"/>
    <w:rsid w:val="00165E1C"/>
    <w:rsid w:val="00187494"/>
    <w:rsid w:val="001C3AEB"/>
    <w:rsid w:val="001F32AE"/>
    <w:rsid w:val="00245160"/>
    <w:rsid w:val="00270B63"/>
    <w:rsid w:val="002767FF"/>
    <w:rsid w:val="002B18FE"/>
    <w:rsid w:val="002B5493"/>
    <w:rsid w:val="002D1B3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6856"/>
    <w:rsid w:val="006F74FA"/>
    <w:rsid w:val="00731ADD"/>
    <w:rsid w:val="00734777"/>
    <w:rsid w:val="00747932"/>
    <w:rsid w:val="00751A4A"/>
    <w:rsid w:val="00756632"/>
    <w:rsid w:val="00762C74"/>
    <w:rsid w:val="0077203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616F"/>
    <w:rsid w:val="00981893"/>
    <w:rsid w:val="00A1687D"/>
    <w:rsid w:val="00A43E52"/>
    <w:rsid w:val="00A4678D"/>
    <w:rsid w:val="00A778C7"/>
    <w:rsid w:val="00A83437"/>
    <w:rsid w:val="00AA48A3"/>
    <w:rsid w:val="00AB441E"/>
    <w:rsid w:val="00AB6293"/>
    <w:rsid w:val="00AE0928"/>
    <w:rsid w:val="00AF3B82"/>
    <w:rsid w:val="00B12E95"/>
    <w:rsid w:val="00B22876"/>
    <w:rsid w:val="00B26104"/>
    <w:rsid w:val="00B40DC0"/>
    <w:rsid w:val="00B558F0"/>
    <w:rsid w:val="00BD48FE"/>
    <w:rsid w:val="00BD7BD8"/>
    <w:rsid w:val="00BE6ADC"/>
    <w:rsid w:val="00BF7793"/>
    <w:rsid w:val="00C05BFE"/>
    <w:rsid w:val="00C23CD4"/>
    <w:rsid w:val="00C61C0C"/>
    <w:rsid w:val="00C941CB"/>
    <w:rsid w:val="00CC2357"/>
    <w:rsid w:val="00CF071A"/>
    <w:rsid w:val="00D058B8"/>
    <w:rsid w:val="00D56C11"/>
    <w:rsid w:val="00D834A0"/>
    <w:rsid w:val="00D84642"/>
    <w:rsid w:val="00D872DF"/>
    <w:rsid w:val="00D91E21"/>
    <w:rsid w:val="00DA13EE"/>
    <w:rsid w:val="00DA7FCD"/>
    <w:rsid w:val="00E365E1"/>
    <w:rsid w:val="00E820A4"/>
    <w:rsid w:val="00EB006A"/>
    <w:rsid w:val="00EB4772"/>
    <w:rsid w:val="00ED169E"/>
    <w:rsid w:val="00ED4235"/>
    <w:rsid w:val="00ED5F3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52365"/>
  <w15:chartTrackingRefBased/>
  <w15:docId w15:val="{24378A9D-83EE-4BED-B728-3FA40B058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70B6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70B63"/>
    <w:pPr>
      <w:keepNext/>
      <w:spacing w:after="480"/>
      <w:jc w:val="center"/>
    </w:pPr>
    <w:rPr>
      <w:rFonts w:ascii="Arial" w:hAnsi="Arial" w:cs="Arial"/>
      <w:b/>
    </w:rPr>
  </w:style>
  <w:style w:type="paragraph" w:customStyle="1" w:styleId="NormalHanging12a">
    <w:name w:val="NormalHanging12a"/>
    <w:basedOn w:val="Normal"/>
    <w:link w:val="NormalHanging12aChar"/>
    <w:rsid w:val="00270B63"/>
    <w:pPr>
      <w:spacing w:after="240"/>
      <w:ind w:left="567" w:hanging="567"/>
    </w:pPr>
  </w:style>
  <w:style w:type="paragraph" w:styleId="Header">
    <w:name w:val="header"/>
    <w:basedOn w:val="Normal"/>
    <w:link w:val="HeaderChar"/>
    <w:rsid w:val="00270B63"/>
    <w:pPr>
      <w:tabs>
        <w:tab w:val="center" w:pos="4513"/>
        <w:tab w:val="right" w:pos="9026"/>
      </w:tabs>
    </w:pPr>
  </w:style>
  <w:style w:type="character" w:customStyle="1" w:styleId="HeaderChar">
    <w:name w:val="Header Char"/>
    <w:basedOn w:val="DefaultParagraphFont"/>
    <w:link w:val="Header"/>
    <w:rsid w:val="00270B63"/>
    <w:rPr>
      <w:sz w:val="24"/>
      <w:lang w:val="sl-SI"/>
    </w:rPr>
  </w:style>
  <w:style w:type="paragraph" w:customStyle="1" w:styleId="NormalBold24a">
    <w:name w:val="NormalBold24a"/>
    <w:basedOn w:val="Normal"/>
    <w:rsid w:val="00270B63"/>
    <w:pPr>
      <w:spacing w:after="480"/>
    </w:pPr>
    <w:rPr>
      <w:b/>
      <w:bCs/>
    </w:rPr>
  </w:style>
  <w:style w:type="paragraph" w:customStyle="1" w:styleId="EPFooter">
    <w:name w:val="EPFooter"/>
    <w:basedOn w:val="Normal"/>
    <w:rsid w:val="00270B63"/>
    <w:pPr>
      <w:tabs>
        <w:tab w:val="center" w:pos="4535"/>
        <w:tab w:val="right" w:pos="9071"/>
      </w:tabs>
      <w:spacing w:before="240" w:after="240"/>
    </w:pPr>
    <w:rPr>
      <w:color w:val="010000"/>
      <w:sz w:val="22"/>
    </w:rPr>
  </w:style>
  <w:style w:type="paragraph" w:customStyle="1" w:styleId="EPComma">
    <w:name w:val="EPComma"/>
    <w:basedOn w:val="Normal"/>
    <w:rsid w:val="00270B63"/>
    <w:pPr>
      <w:spacing w:before="480" w:after="240"/>
    </w:pPr>
  </w:style>
  <w:style w:type="character" w:styleId="Hyperlink">
    <w:name w:val="Hyperlink"/>
    <w:basedOn w:val="DefaultParagraphFont"/>
    <w:rsid w:val="00270B63"/>
    <w:rPr>
      <w:color w:val="0563C1" w:themeColor="hyperlink"/>
      <w:u w:val="single"/>
    </w:rPr>
  </w:style>
  <w:style w:type="character" w:customStyle="1" w:styleId="NormalHanging12aChar">
    <w:name w:val="NormalHanging12a Char"/>
    <w:basedOn w:val="DefaultParagraphFont"/>
    <w:link w:val="NormalHanging12a"/>
    <w:locked/>
    <w:rsid w:val="00270B63"/>
    <w:rPr>
      <w:sz w:val="24"/>
      <w:lang w:val="sl-SI"/>
    </w:rPr>
  </w:style>
  <w:style w:type="character" w:styleId="Emphasis">
    <w:name w:val="Emphasis"/>
    <w:basedOn w:val="DefaultParagraphFont"/>
    <w:uiPriority w:val="20"/>
    <w:qFormat/>
    <w:rsid w:val="00270B63"/>
    <w:rPr>
      <w:i/>
      <w:iCs/>
    </w:rPr>
  </w:style>
  <w:style w:type="paragraph" w:customStyle="1" w:styleId="Institutionquisigne">
    <w:name w:val="Institution qui signe"/>
    <w:basedOn w:val="Normal"/>
    <w:next w:val="Normal"/>
    <w:rsid w:val="00270B6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70B6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70B6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70B6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70B63"/>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270B63"/>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270B63"/>
    <w:rPr>
      <w:rFonts w:ascii="Arial" w:hAnsi="Arial" w:cs="Arial"/>
      <w:b/>
      <w:sz w:val="24"/>
      <w:lang w:val="sl-SI"/>
    </w:rPr>
  </w:style>
  <w:style w:type="paragraph" w:styleId="Footer">
    <w:name w:val="footer"/>
    <w:basedOn w:val="Normal"/>
    <w:link w:val="FooterChar"/>
    <w:rsid w:val="00ED5F32"/>
    <w:pPr>
      <w:tabs>
        <w:tab w:val="center" w:pos="4513"/>
        <w:tab w:val="right" w:pos="9026"/>
      </w:tabs>
    </w:pPr>
  </w:style>
  <w:style w:type="character" w:customStyle="1" w:styleId="FooterChar">
    <w:name w:val="Footer Char"/>
    <w:basedOn w:val="DefaultParagraphFont"/>
    <w:link w:val="Footer"/>
    <w:rsid w:val="00ED5F32"/>
    <w:rPr>
      <w:sz w:val="24"/>
      <w:lang w:val="sl-SI"/>
    </w:rPr>
  </w:style>
  <w:style w:type="paragraph" w:styleId="Revision">
    <w:name w:val="Revision"/>
    <w:hidden/>
    <w:uiPriority w:val="99"/>
    <w:semiHidden/>
    <w:rsid w:val="00A83437"/>
    <w:rPr>
      <w:sz w:val="24"/>
      <w:lang w:val="sl-SI"/>
    </w:rPr>
  </w:style>
  <w:style w:type="character" w:styleId="CommentReference">
    <w:name w:val="annotation reference"/>
    <w:basedOn w:val="DefaultParagraphFont"/>
    <w:rsid w:val="00A83437"/>
    <w:rPr>
      <w:sz w:val="16"/>
      <w:szCs w:val="16"/>
    </w:rPr>
  </w:style>
  <w:style w:type="paragraph" w:styleId="CommentText">
    <w:name w:val="annotation text"/>
    <w:basedOn w:val="Normal"/>
    <w:link w:val="CommentTextChar"/>
    <w:rsid w:val="00A83437"/>
    <w:rPr>
      <w:sz w:val="20"/>
    </w:rPr>
  </w:style>
  <w:style w:type="character" w:customStyle="1" w:styleId="CommentTextChar">
    <w:name w:val="Comment Text Char"/>
    <w:basedOn w:val="DefaultParagraphFont"/>
    <w:link w:val="CommentText"/>
    <w:rsid w:val="00A83437"/>
    <w:rPr>
      <w:lang w:val="sl-SI"/>
    </w:rPr>
  </w:style>
  <w:style w:type="paragraph" w:styleId="CommentSubject">
    <w:name w:val="annotation subject"/>
    <w:basedOn w:val="CommentText"/>
    <w:next w:val="CommentText"/>
    <w:link w:val="CommentSubjectChar"/>
    <w:rsid w:val="00A83437"/>
    <w:rPr>
      <w:b/>
      <w:bCs/>
    </w:rPr>
  </w:style>
  <w:style w:type="character" w:customStyle="1" w:styleId="CommentSubjectChar">
    <w:name w:val="Comment Subject Char"/>
    <w:basedOn w:val="CommentTextChar"/>
    <w:link w:val="CommentSubject"/>
    <w:rsid w:val="00A83437"/>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1486</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2025-12-15T09:23:00Z</dcterms:created>
  <dcterms:modified xsi:type="dcterms:W3CDTF">2025-12-15T09:23:00Z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P10_TA(2025)0219_</vt:lpwstr>
  </property>
  <property fmtid="{D5CDD505-2E9C-101B-9397-08002B2CF9AE}" pid="4" name="&lt;Type&gt;">
    <vt:lpwstr>RR</vt:lpwstr>
  </property>
</Properties>
</file>