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B2C96" w14:paraId="63124E7B" w14:textId="77777777" w:rsidTr="0010095E">
        <w:trPr>
          <w:trHeight w:hRule="exact" w:val="1418"/>
        </w:trPr>
        <w:tc>
          <w:tcPr>
            <w:tcW w:w="6804" w:type="dxa"/>
            <w:shd w:val="clear" w:color="auto" w:fill="auto"/>
            <w:vAlign w:val="center"/>
          </w:tcPr>
          <w:p w14:paraId="787AF015" w14:textId="77777777" w:rsidR="00751A4A" w:rsidRPr="002B2C96" w:rsidRDefault="00AC338B" w:rsidP="0010095E">
            <w:pPr>
              <w:pStyle w:val="EPName"/>
            </w:pPr>
            <w:r w:rsidRPr="002B2C96">
              <w:t>Europaparlamentet</w:t>
            </w:r>
          </w:p>
          <w:p w14:paraId="1F59583B" w14:textId="77777777" w:rsidR="00751A4A" w:rsidRPr="002B2C96" w:rsidRDefault="005F1B17" w:rsidP="005F1B17">
            <w:pPr>
              <w:pStyle w:val="EPTerm"/>
              <w:rPr>
                <w:rStyle w:val="HideTWBExt"/>
                <w:noProof w:val="0"/>
                <w:vanish w:val="0"/>
                <w:color w:val="auto"/>
              </w:rPr>
            </w:pPr>
            <w:r w:rsidRPr="002B2C96">
              <w:t>2024</w:t>
            </w:r>
            <w:r w:rsidR="00817416" w:rsidRPr="002B2C96">
              <w:t>-202</w:t>
            </w:r>
            <w:r w:rsidRPr="002B2C96">
              <w:t>9</w:t>
            </w:r>
          </w:p>
        </w:tc>
        <w:tc>
          <w:tcPr>
            <w:tcW w:w="2268" w:type="dxa"/>
            <w:shd w:val="clear" w:color="auto" w:fill="auto"/>
          </w:tcPr>
          <w:p w14:paraId="419A99FD" w14:textId="77777777" w:rsidR="00751A4A" w:rsidRPr="002B2C96" w:rsidRDefault="00187494" w:rsidP="0010095E">
            <w:pPr>
              <w:pStyle w:val="EPLogo"/>
            </w:pPr>
            <w:r w:rsidRPr="002B2C96">
              <w:rPr>
                <w:noProof/>
                <w:lang w:eastAsia="ja-JP"/>
              </w:rPr>
              <w:drawing>
                <wp:inline distT="0" distB="0" distL="0" distR="0" wp14:anchorId="16F8B05F" wp14:editId="5D92DCE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059C124" w14:textId="77777777" w:rsidR="00D058B8" w:rsidRPr="002B2C96" w:rsidRDefault="00D058B8" w:rsidP="004C5D52">
      <w:pPr>
        <w:pStyle w:val="LineTop"/>
      </w:pPr>
    </w:p>
    <w:p w14:paraId="1E53509B" w14:textId="77777777" w:rsidR="00680577" w:rsidRPr="002B2C96" w:rsidRDefault="00AC338B" w:rsidP="00680577">
      <w:pPr>
        <w:pStyle w:val="EPBodyTA1"/>
      </w:pPr>
      <w:r w:rsidRPr="002B2C96">
        <w:t>ANTAGNA TEXTER</w:t>
      </w:r>
    </w:p>
    <w:p w14:paraId="7D480B91" w14:textId="77777777" w:rsidR="00D058B8" w:rsidRPr="002B2C96" w:rsidRDefault="00D058B8" w:rsidP="00D058B8">
      <w:pPr>
        <w:pStyle w:val="LineBottom"/>
      </w:pPr>
    </w:p>
    <w:p w14:paraId="4FF0C1E5" w14:textId="16617A7A" w:rsidR="00AC338B" w:rsidRPr="002B2C96" w:rsidRDefault="00AC338B" w:rsidP="00AC338B">
      <w:pPr>
        <w:pStyle w:val="ATHeading1"/>
      </w:pPr>
      <w:bookmarkStart w:id="0" w:name="TANumber"/>
      <w:r w:rsidRPr="002B2C96">
        <w:t>P10_TA(2025)0</w:t>
      </w:r>
      <w:bookmarkEnd w:id="0"/>
      <w:r w:rsidR="00757149">
        <w:t>219</w:t>
      </w:r>
    </w:p>
    <w:p w14:paraId="624B50B8" w14:textId="02C85943" w:rsidR="00AC338B" w:rsidRPr="00E31B45" w:rsidRDefault="00AC338B" w:rsidP="00AC338B">
      <w:pPr>
        <w:pStyle w:val="ATHeading2"/>
      </w:pPr>
      <w:bookmarkStart w:id="1" w:name="title"/>
      <w:r w:rsidRPr="002B2C96">
        <w:t>Utnyttjande av Eu</w:t>
      </w:r>
      <w:r w:rsidRPr="00E31B45">
        <w:t>ropeiska fonden för justering för globaliseringseffekter</w:t>
      </w:r>
      <w:r w:rsidR="00D60E58" w:rsidRPr="00E31B45">
        <w:t xml:space="preserve"> för uppsagda arbetstagare efter en</w:t>
      </w:r>
      <w:r w:rsidRPr="00E31B45">
        <w:t xml:space="preserve"> ansökan </w:t>
      </w:r>
      <w:r w:rsidR="00D60E58" w:rsidRPr="00E31B45">
        <w:t xml:space="preserve">från Tyskland – </w:t>
      </w:r>
      <w:r w:rsidRPr="00E31B45">
        <w:t>EGF/2025/002 DE/Goodyear 2</w:t>
      </w:r>
      <w:bookmarkEnd w:id="1"/>
    </w:p>
    <w:p w14:paraId="7E649D93" w14:textId="77777777" w:rsidR="00AC338B" w:rsidRPr="00E31B45" w:rsidRDefault="00AC338B" w:rsidP="00AC338B">
      <w:pPr>
        <w:rPr>
          <w:i/>
          <w:vanish/>
        </w:rPr>
      </w:pPr>
      <w:r w:rsidRPr="00E31B45">
        <w:rPr>
          <w:i/>
        </w:rPr>
        <w:fldChar w:fldCharType="begin"/>
      </w:r>
      <w:r w:rsidRPr="00E31B45">
        <w:rPr>
          <w:i/>
        </w:rPr>
        <w:instrText xml:space="preserve"> TC"(</w:instrText>
      </w:r>
      <w:bookmarkStart w:id="2" w:name="DocNumber"/>
      <w:r w:rsidRPr="00E31B45">
        <w:rPr>
          <w:i/>
        </w:rPr>
        <w:instrText>A10-0168/2025</w:instrText>
      </w:r>
      <w:bookmarkEnd w:id="2"/>
      <w:r w:rsidRPr="00E31B45">
        <w:rPr>
          <w:i/>
        </w:rPr>
        <w:instrText xml:space="preserve"> - Föredragande: Olivier Chastel)"\l3 \n&gt; \* MERGEFORMAT </w:instrText>
      </w:r>
      <w:r w:rsidRPr="00E31B45">
        <w:rPr>
          <w:i/>
        </w:rPr>
        <w:fldChar w:fldCharType="end"/>
      </w:r>
    </w:p>
    <w:p w14:paraId="74FDFE78" w14:textId="77777777" w:rsidR="00AC338B" w:rsidRPr="00E31B45" w:rsidRDefault="00AC338B" w:rsidP="00AC338B">
      <w:pPr>
        <w:rPr>
          <w:vanish/>
        </w:rPr>
      </w:pPr>
      <w:bookmarkStart w:id="3" w:name="Commission"/>
      <w:r w:rsidRPr="00E31B45">
        <w:rPr>
          <w:vanish/>
        </w:rPr>
        <w:t>Budgetutskottet</w:t>
      </w:r>
      <w:bookmarkEnd w:id="3"/>
    </w:p>
    <w:p w14:paraId="4F183B5A" w14:textId="77777777" w:rsidR="00AC338B" w:rsidRPr="00E31B45" w:rsidRDefault="00AC338B" w:rsidP="00AC338B">
      <w:pPr>
        <w:rPr>
          <w:vanish/>
        </w:rPr>
      </w:pPr>
      <w:bookmarkStart w:id="4" w:name="PE"/>
      <w:r w:rsidRPr="00E31B45">
        <w:rPr>
          <w:vanish/>
        </w:rPr>
        <w:t>PE776.828</w:t>
      </w:r>
      <w:bookmarkEnd w:id="4"/>
    </w:p>
    <w:p w14:paraId="6FA9CBFA" w14:textId="035ADB6E" w:rsidR="00AC338B" w:rsidRPr="00E31B45" w:rsidRDefault="00AC338B" w:rsidP="00AC338B">
      <w:pPr>
        <w:pStyle w:val="ATHeading3"/>
      </w:pPr>
      <w:bookmarkStart w:id="5" w:name="Sujet"/>
      <w:r w:rsidRPr="00E31B45">
        <w:t xml:space="preserve">Europaparlamentets resolution av den </w:t>
      </w:r>
      <w:r w:rsidR="005E3179" w:rsidRPr="00E31B45">
        <w:t xml:space="preserve">8 oktober </w:t>
      </w:r>
      <w:r w:rsidRPr="00E31B45">
        <w:t>2025 om förslaget till Europaparlamentets och rådets beslut om utnyttjande av Europeiska fonden för justering för globaliseringseffekter för uppsagda arbetstagare efter en ansökan från Tyskland – EGF/2025/002 DE/Goodyear 2</w:t>
      </w:r>
      <w:bookmarkEnd w:id="5"/>
      <w:r w:rsidRPr="00E31B45">
        <w:t xml:space="preserve"> </w:t>
      </w:r>
      <w:bookmarkStart w:id="6" w:name="References"/>
      <w:r w:rsidRPr="00E31B45">
        <w:t>(COM(2025)0302 – C10-0182/2025 – 2025/0245(BUD))</w:t>
      </w:r>
      <w:bookmarkEnd w:id="6"/>
    </w:p>
    <w:p w14:paraId="6C6523B3" w14:textId="77777777" w:rsidR="00732EC2" w:rsidRPr="00E31B45" w:rsidRDefault="00732EC2" w:rsidP="00732EC2">
      <w:pPr>
        <w:pStyle w:val="EPComma"/>
        <w:rPr>
          <w:noProof/>
          <w:szCs w:val="24"/>
        </w:rPr>
      </w:pPr>
      <w:r w:rsidRPr="00E31B45">
        <w:rPr>
          <w:i/>
          <w:szCs w:val="24"/>
        </w:rPr>
        <w:t>Europaparlamentet utfärdar denna resolution</w:t>
      </w:r>
    </w:p>
    <w:p w14:paraId="7F1781FC" w14:textId="77777777" w:rsidR="00732EC2" w:rsidRPr="00E31B45" w:rsidRDefault="00732EC2" w:rsidP="00732EC2">
      <w:pPr>
        <w:pStyle w:val="NormalHanging12a"/>
        <w:rPr>
          <w:noProof/>
          <w:szCs w:val="24"/>
        </w:rPr>
      </w:pPr>
      <w:r w:rsidRPr="00E31B45">
        <w:rPr>
          <w:szCs w:val="24"/>
        </w:rPr>
        <w:t>–</w:t>
      </w:r>
      <w:r w:rsidRPr="00E31B45">
        <w:rPr>
          <w:szCs w:val="24"/>
        </w:rPr>
        <w:tab/>
        <w:t>med beaktande av kommissionens förslag till Europaparlamentet och rådet (COM(2025)0302 – C10-0182/2025),</w:t>
      </w:r>
    </w:p>
    <w:p w14:paraId="43E2A7CB" w14:textId="77777777" w:rsidR="00732EC2" w:rsidRPr="00E31B45" w:rsidRDefault="00732EC2" w:rsidP="00732EC2">
      <w:pPr>
        <w:pStyle w:val="NormalHanging12a"/>
        <w:rPr>
          <w:noProof/>
          <w:szCs w:val="24"/>
        </w:rPr>
      </w:pPr>
      <w:r w:rsidRPr="00E31B45">
        <w:rPr>
          <w:szCs w:val="24"/>
        </w:rPr>
        <w:t>–</w:t>
      </w:r>
      <w:r w:rsidRPr="00E31B45">
        <w:rPr>
          <w:szCs w:val="24"/>
        </w:rPr>
        <w:tab/>
        <w:t>med beaktande av Europaparlamentets och rådets förordning (EU) 2021/691 av den 28 april 2021 om Europeiska fonden för justering för globaliseringseffekter för uppsagda arbetstagare (EGF) och om upphävande av förordning (EU) nr 1309/2013</w:t>
      </w:r>
      <w:r w:rsidRPr="00E31B45">
        <w:rPr>
          <w:rStyle w:val="FootnoteReference"/>
          <w:noProof/>
          <w:szCs w:val="24"/>
        </w:rPr>
        <w:footnoteReference w:id="1"/>
      </w:r>
      <w:r w:rsidRPr="00E31B45">
        <w:rPr>
          <w:szCs w:val="24"/>
        </w:rPr>
        <w:t xml:space="preserve"> (</w:t>
      </w:r>
      <w:r w:rsidRPr="00E31B45">
        <w:rPr>
          <w:i/>
          <w:iCs/>
          <w:szCs w:val="24"/>
        </w:rPr>
        <w:t>EGF-förordningen</w:t>
      </w:r>
      <w:r w:rsidRPr="00E31B45">
        <w:rPr>
          <w:szCs w:val="24"/>
        </w:rPr>
        <w:t>),</w:t>
      </w:r>
    </w:p>
    <w:p w14:paraId="694BEB57" w14:textId="77777777" w:rsidR="00732EC2" w:rsidRPr="00E31B45" w:rsidRDefault="00732EC2" w:rsidP="00732EC2">
      <w:pPr>
        <w:pStyle w:val="NormalHanging12a"/>
        <w:rPr>
          <w:noProof/>
          <w:szCs w:val="24"/>
        </w:rPr>
      </w:pPr>
      <w:r w:rsidRPr="00E31B45">
        <w:rPr>
          <w:szCs w:val="24"/>
        </w:rPr>
        <w:t>–</w:t>
      </w:r>
      <w:r w:rsidRPr="00E31B45">
        <w:rPr>
          <w:szCs w:val="24"/>
        </w:rPr>
        <w:tab/>
        <w:t>med beaktande av rådets förordning (EU, Euratom) 2020/2093 av den 17 december 2020 om den fleråriga budgetramen för 2021–2027</w:t>
      </w:r>
      <w:r w:rsidRPr="00E31B45">
        <w:rPr>
          <w:rStyle w:val="FootnoteReference"/>
          <w:noProof/>
          <w:szCs w:val="24"/>
        </w:rPr>
        <w:footnoteReference w:id="2"/>
      </w:r>
      <w:r w:rsidRPr="00E31B45">
        <w:rPr>
          <w:szCs w:val="24"/>
        </w:rPr>
        <w:t xml:space="preserve"> ändrad genom förordning (EU, Euratom) 2024/765</w:t>
      </w:r>
      <w:r w:rsidRPr="00E31B45">
        <w:rPr>
          <w:rStyle w:val="FootnoteReference"/>
          <w:szCs w:val="24"/>
          <w:bdr w:val="none" w:sz="0" w:space="0" w:color="auto" w:frame="1"/>
        </w:rPr>
        <w:footnoteReference w:id="3"/>
      </w:r>
      <w:r w:rsidRPr="00E31B45">
        <w:rPr>
          <w:szCs w:val="24"/>
        </w:rPr>
        <w:t>, särskilt artikel 8,</w:t>
      </w:r>
    </w:p>
    <w:p w14:paraId="20904538" w14:textId="77777777" w:rsidR="00732EC2" w:rsidRPr="00E31B45" w:rsidRDefault="00732EC2" w:rsidP="00732EC2">
      <w:pPr>
        <w:pStyle w:val="NormalHanging12a"/>
        <w:rPr>
          <w:noProof/>
          <w:szCs w:val="24"/>
        </w:rPr>
      </w:pPr>
      <w:r w:rsidRPr="00E31B45">
        <w:rPr>
          <w:szCs w:val="24"/>
        </w:rPr>
        <w:t>–</w:t>
      </w:r>
      <w:r w:rsidRPr="00E31B45">
        <w:rPr>
          <w:szCs w:val="24"/>
        </w:rPr>
        <w:tab/>
        <w:t>med beaktande av det interinstitutionella avtalet av den 16 december 2020 mellan Europaparlamentet, Europeiska unionens råd och Europeiska kommissionen om budgetdisciplin, samarbete i budgetfrågor och sund ekonomisk förvaltning samt om nya egna medel, inbegripet en färdplan för införandet av nya egna medel</w:t>
      </w:r>
      <w:r w:rsidRPr="00E31B45">
        <w:rPr>
          <w:rStyle w:val="FootnoteReference"/>
          <w:noProof/>
          <w:szCs w:val="24"/>
        </w:rPr>
        <w:footnoteReference w:id="4"/>
      </w:r>
      <w:r w:rsidRPr="00E31B45">
        <w:rPr>
          <w:szCs w:val="24"/>
        </w:rPr>
        <w:t>, särskilt punkt 9,</w:t>
      </w:r>
    </w:p>
    <w:p w14:paraId="59BC3C4D" w14:textId="77777777" w:rsidR="00732EC2" w:rsidRPr="00E31B45" w:rsidRDefault="00732EC2" w:rsidP="00732EC2">
      <w:pPr>
        <w:pStyle w:val="NormalHanging12a"/>
        <w:rPr>
          <w:noProof/>
          <w:szCs w:val="24"/>
        </w:rPr>
      </w:pPr>
      <w:r w:rsidRPr="00E31B45">
        <w:rPr>
          <w:szCs w:val="24"/>
        </w:rPr>
        <w:lastRenderedPageBreak/>
        <w:t>–</w:t>
      </w:r>
      <w:r w:rsidRPr="00E31B45">
        <w:rPr>
          <w:szCs w:val="24"/>
        </w:rPr>
        <w:tab/>
        <w:t>med beaktande av skrivelsen från utskottet för sysselsättning och sociala frågor,</w:t>
      </w:r>
    </w:p>
    <w:p w14:paraId="25623057" w14:textId="77777777" w:rsidR="00732EC2" w:rsidRPr="00E31B45" w:rsidRDefault="00732EC2" w:rsidP="00732EC2">
      <w:pPr>
        <w:pStyle w:val="NormalHanging12a"/>
        <w:rPr>
          <w:szCs w:val="24"/>
        </w:rPr>
      </w:pPr>
      <w:r w:rsidRPr="00E31B45">
        <w:rPr>
          <w:szCs w:val="24"/>
        </w:rPr>
        <w:t>–</w:t>
      </w:r>
      <w:r w:rsidRPr="00E31B45">
        <w:rPr>
          <w:szCs w:val="24"/>
        </w:rPr>
        <w:tab/>
        <w:t xml:space="preserve">med beaktande av betänkandet från budgetutskottet (A10-0168/2025), och av följande skäl: </w:t>
      </w:r>
    </w:p>
    <w:p w14:paraId="42E52F54" w14:textId="49B5DA09" w:rsidR="00732EC2" w:rsidRPr="00E31B45" w:rsidRDefault="00732EC2" w:rsidP="00732EC2">
      <w:pPr>
        <w:pStyle w:val="NormalHanging12a"/>
        <w:rPr>
          <w:noProof/>
          <w:szCs w:val="24"/>
        </w:rPr>
      </w:pPr>
      <w:r w:rsidRPr="00E31B45">
        <w:rPr>
          <w:szCs w:val="24"/>
        </w:rPr>
        <w:t>A.</w:t>
      </w:r>
      <w:r w:rsidRPr="00E31B45">
        <w:rPr>
          <w:szCs w:val="24"/>
        </w:rPr>
        <w:tab/>
        <w:t xml:space="preserve">Unionen har inrättat lagstiftnings- och budgetinstrument för att kunna ge kompletterande stöd till arbetstagare som drabbas av konsekvenserna av genomgripande strukturförändringar inom världshandeln eller av den globala finansiella och ekonomiska krisen, och för att underlätta deras återinträde på arbetsmarknaden. Detta stöd </w:t>
      </w:r>
      <w:r w:rsidR="00A076BC" w:rsidRPr="00E31B45">
        <w:rPr>
          <w:szCs w:val="24"/>
        </w:rPr>
        <w:t xml:space="preserve">tillhandahålls </w:t>
      </w:r>
      <w:r w:rsidR="00A34313" w:rsidRPr="00E31B45">
        <w:rPr>
          <w:szCs w:val="24"/>
        </w:rPr>
        <w:t>genom</w:t>
      </w:r>
      <w:r w:rsidRPr="00E31B45">
        <w:rPr>
          <w:szCs w:val="24"/>
        </w:rPr>
        <w:t xml:space="preserve"> ekonomiskt stöd till arbetstagare och till de företag som de har arbetat för.</w:t>
      </w:r>
    </w:p>
    <w:p w14:paraId="6D558C6B" w14:textId="607A6ACD" w:rsidR="00732EC2" w:rsidRPr="00E31B45" w:rsidRDefault="00732EC2" w:rsidP="00732EC2">
      <w:pPr>
        <w:pStyle w:val="NormalHanging12a"/>
        <w:rPr>
          <w:szCs w:val="24"/>
        </w:rPr>
      </w:pPr>
      <w:r w:rsidRPr="00E31B45">
        <w:rPr>
          <w:szCs w:val="24"/>
        </w:rPr>
        <w:t>B.</w:t>
      </w:r>
      <w:r w:rsidRPr="00E31B45">
        <w:rPr>
          <w:szCs w:val="24"/>
        </w:rPr>
        <w:tab/>
        <w:t>Tyskland lämnade in ansökan EGF/2025/002 DE/Goodyear 2 om ekonomiskt bidrag från Europeiska fonden för justering för globaliseringseffekter (EGF) till följd av totalt 1 171 uppsägningar</w:t>
      </w:r>
      <w:r w:rsidRPr="00E31B45">
        <w:rPr>
          <w:rStyle w:val="FootnoteReference"/>
          <w:szCs w:val="24"/>
        </w:rPr>
        <w:footnoteReference w:id="5"/>
      </w:r>
      <w:r w:rsidRPr="00E31B45">
        <w:rPr>
          <w:szCs w:val="24"/>
        </w:rPr>
        <w:t xml:space="preserve"> inom den näringsgren som i </w:t>
      </w:r>
      <w:proofErr w:type="spellStart"/>
      <w:r w:rsidRPr="00E31B45">
        <w:rPr>
          <w:szCs w:val="24"/>
        </w:rPr>
        <w:t>Nace</w:t>
      </w:r>
      <w:proofErr w:type="spellEnd"/>
      <w:r w:rsidRPr="00E31B45">
        <w:rPr>
          <w:szCs w:val="24"/>
        </w:rPr>
        <w:t xml:space="preserve"> rev. 2 klassificeras som huvudgrupp 22 (Tillverkning av gummi- och plastvaror) i regionerna Kassel (DE73) och Darmstadt (DE71), med 747 uppsägningar under en referensperiod för ansökan från den 1 september 2024 till den 1 januari 2025, och 424 uppsägningar före eller efter referensperioden. </w:t>
      </w:r>
    </w:p>
    <w:p w14:paraId="05F8DC16" w14:textId="53602B04" w:rsidR="00732EC2" w:rsidRPr="00E31B45" w:rsidRDefault="00732EC2" w:rsidP="00732EC2">
      <w:pPr>
        <w:pStyle w:val="NormalHanging12a"/>
        <w:rPr>
          <w:szCs w:val="24"/>
        </w:rPr>
      </w:pPr>
      <w:r w:rsidRPr="00E31B45">
        <w:rPr>
          <w:szCs w:val="24"/>
        </w:rPr>
        <w:t>C.</w:t>
      </w:r>
      <w:r w:rsidRPr="00E31B45">
        <w:rPr>
          <w:szCs w:val="24"/>
        </w:rPr>
        <w:tab/>
        <w:t xml:space="preserve">Ansökan gäller uppsägningar av 424 arbetstagare vars verksamhet upphörde före eller efter referensperioden på </w:t>
      </w:r>
      <w:r w:rsidR="006856C6" w:rsidRPr="00E31B45">
        <w:rPr>
          <w:szCs w:val="24"/>
        </w:rPr>
        <w:t xml:space="preserve">4 </w:t>
      </w:r>
      <w:r w:rsidRPr="00E31B45">
        <w:rPr>
          <w:szCs w:val="24"/>
        </w:rPr>
        <w:t xml:space="preserve">månader, där ett tydligt orsakssamband kan fastställas med den händelse som ledde till att verksamheten upphörde för de uppsagda arbetstagarna under referensperioden på det sätt som krävs enligt artikel 6.2 i EGF-förordningen. </w:t>
      </w:r>
    </w:p>
    <w:p w14:paraId="371FEB2B" w14:textId="2B5F0B8D" w:rsidR="00732EC2" w:rsidRPr="00E31B45" w:rsidRDefault="00732EC2" w:rsidP="00732EC2">
      <w:pPr>
        <w:pStyle w:val="NormalHanging12a"/>
        <w:rPr>
          <w:szCs w:val="24"/>
        </w:rPr>
      </w:pPr>
      <w:r w:rsidRPr="00E31B45">
        <w:rPr>
          <w:szCs w:val="24"/>
        </w:rPr>
        <w:t>D.</w:t>
      </w:r>
      <w:r w:rsidRPr="00E31B45">
        <w:rPr>
          <w:szCs w:val="24"/>
        </w:rPr>
        <w:tab/>
        <w:t>Ansökan baseras på insatskriteriet i artikel 4.2 a i EGF-förordningen, som föreskriver att verksamheten för minst 200 uppsagda arbetstagare eller egenföretagare ska ha upphört under en referensperiod på fyra månader i ett företag i en medlemsstat, inbegripet arbetstagare som har blivit uppsagda hos underleverantörer eller producenter i efterföljande produktionsled.</w:t>
      </w:r>
    </w:p>
    <w:p w14:paraId="5E8DACC8" w14:textId="6C2F0E99" w:rsidR="00732EC2" w:rsidRPr="00E31B45" w:rsidRDefault="00732EC2" w:rsidP="00732EC2">
      <w:pPr>
        <w:pStyle w:val="NormalHanging12a"/>
        <w:rPr>
          <w:noProof/>
          <w:color w:val="7030A0"/>
          <w:szCs w:val="24"/>
        </w:rPr>
      </w:pPr>
      <w:r w:rsidRPr="00E31B45">
        <w:rPr>
          <w:szCs w:val="24"/>
        </w:rPr>
        <w:t>E.</w:t>
      </w:r>
      <w:r w:rsidRPr="00E31B45">
        <w:rPr>
          <w:szCs w:val="24"/>
        </w:rPr>
        <w:tab/>
        <w:t>Rysslands anfallskrig mot Ukraina och den stigande inflationen har påverkat energi-, material- och arbetskraftskostnaderna och ökat trycket på företaget</w:t>
      </w:r>
      <w:r w:rsidR="006856C6" w:rsidRPr="00E31B45">
        <w:rPr>
          <w:szCs w:val="24"/>
        </w:rPr>
        <w:t xml:space="preserve"> Goodyears</w:t>
      </w:r>
      <w:r w:rsidRPr="00E31B45">
        <w:rPr>
          <w:szCs w:val="24"/>
        </w:rPr>
        <w:t xml:space="preserve"> marginaler. </w:t>
      </w:r>
    </w:p>
    <w:p w14:paraId="7C2A5E87" w14:textId="644FFCE4" w:rsidR="00732EC2" w:rsidRPr="00E31B45" w:rsidRDefault="00732EC2" w:rsidP="00732EC2">
      <w:pPr>
        <w:pStyle w:val="NormalHanging12a"/>
        <w:rPr>
          <w:noProof/>
          <w:szCs w:val="24"/>
        </w:rPr>
      </w:pPr>
      <w:r w:rsidRPr="00E31B45">
        <w:rPr>
          <w:szCs w:val="24"/>
        </w:rPr>
        <w:t>F.</w:t>
      </w:r>
      <w:r w:rsidRPr="00E31B45">
        <w:rPr>
          <w:szCs w:val="24"/>
        </w:rPr>
        <w:tab/>
        <w:t xml:space="preserve">Goodyear </w:t>
      </w:r>
      <w:proofErr w:type="spellStart"/>
      <w:r w:rsidRPr="00E31B45">
        <w:rPr>
          <w:szCs w:val="24"/>
        </w:rPr>
        <w:t>Germany</w:t>
      </w:r>
      <w:proofErr w:type="spellEnd"/>
      <w:r w:rsidRPr="00E31B45">
        <w:rPr>
          <w:szCs w:val="24"/>
        </w:rPr>
        <w:t xml:space="preserve"> GmbH är specialiserat på tillverkning av gummi- och plastprodukter, särskilt däck. Företaget har i hög grad påverkats av ökad konkurrens från lågkostnadsimport med ursprung i Asien. </w:t>
      </w:r>
    </w:p>
    <w:p w14:paraId="00795423" w14:textId="6BA593A9" w:rsidR="00732EC2" w:rsidRPr="00E31B45" w:rsidRDefault="00732EC2" w:rsidP="00732EC2">
      <w:pPr>
        <w:pStyle w:val="NormalHanging12a"/>
        <w:rPr>
          <w:noProof/>
          <w:szCs w:val="24"/>
        </w:rPr>
      </w:pPr>
      <w:r w:rsidRPr="00E31B45">
        <w:rPr>
          <w:szCs w:val="24"/>
        </w:rPr>
        <w:t>G.</w:t>
      </w:r>
      <w:r w:rsidRPr="00E31B45">
        <w:rPr>
          <w:szCs w:val="24"/>
        </w:rPr>
        <w:tab/>
        <w:t xml:space="preserve">Detta är det andra utnyttjandet av EGF som begärts av de tyska myndigheterna efter en omstrukturering av företaget Goodyear eftersom </w:t>
      </w:r>
      <w:r w:rsidR="006C7118" w:rsidRPr="00E31B45">
        <w:rPr>
          <w:szCs w:val="24"/>
        </w:rPr>
        <w:t>EGF</w:t>
      </w:r>
      <w:r w:rsidRPr="00E31B45">
        <w:rPr>
          <w:szCs w:val="24"/>
        </w:rPr>
        <w:t xml:space="preserve"> även utnyttjades efter nedläggningen av </w:t>
      </w:r>
      <w:r w:rsidR="009C7384" w:rsidRPr="00E31B45">
        <w:rPr>
          <w:szCs w:val="24"/>
        </w:rPr>
        <w:t xml:space="preserve">en av </w:t>
      </w:r>
      <w:r w:rsidRPr="00E31B45">
        <w:rPr>
          <w:szCs w:val="24"/>
        </w:rPr>
        <w:t>företagets anläggning</w:t>
      </w:r>
      <w:r w:rsidR="009C7384" w:rsidRPr="00E31B45">
        <w:rPr>
          <w:szCs w:val="24"/>
        </w:rPr>
        <w:t>ar</w:t>
      </w:r>
      <w:r w:rsidRPr="00E31B45">
        <w:rPr>
          <w:szCs w:val="24"/>
        </w:rPr>
        <w:t xml:space="preserve"> i </w:t>
      </w:r>
      <w:proofErr w:type="spellStart"/>
      <w:r w:rsidRPr="00E31B45">
        <w:rPr>
          <w:szCs w:val="24"/>
        </w:rPr>
        <w:t>Philippsburg</w:t>
      </w:r>
      <w:proofErr w:type="spellEnd"/>
      <w:r w:rsidRPr="00E31B45">
        <w:rPr>
          <w:szCs w:val="24"/>
        </w:rPr>
        <w:t xml:space="preserve"> 2017.</w:t>
      </w:r>
    </w:p>
    <w:p w14:paraId="499D7631" w14:textId="77777777" w:rsidR="00732EC2" w:rsidRPr="00E31B45" w:rsidRDefault="00732EC2" w:rsidP="00732EC2">
      <w:pPr>
        <w:pStyle w:val="NormalHanging12a"/>
        <w:rPr>
          <w:noProof/>
          <w:szCs w:val="24"/>
        </w:rPr>
      </w:pPr>
      <w:r w:rsidRPr="00E31B45">
        <w:rPr>
          <w:szCs w:val="24"/>
        </w:rPr>
        <w:t>H.</w:t>
      </w:r>
      <w:r w:rsidRPr="00E31B45">
        <w:rPr>
          <w:szCs w:val="24"/>
        </w:rPr>
        <w:tab/>
        <w:t>Den snabba nedgången i efterfrågan, i kombination med ökade produktionskostnader, tvingade företaget att genomföra en omstruktureringsprocess, vilket innebar att en av dess produktionsanläggningar lades ned och att ett annat företag delvis lades ned i Tyskland 2024.</w:t>
      </w:r>
    </w:p>
    <w:p w14:paraId="38CC0779" w14:textId="77777777" w:rsidR="00732EC2" w:rsidRPr="00E31B45" w:rsidRDefault="00732EC2" w:rsidP="00E31B45">
      <w:pPr>
        <w:pStyle w:val="NormalHanging12a"/>
        <w:rPr>
          <w:szCs w:val="24"/>
        </w:rPr>
      </w:pPr>
      <w:r w:rsidRPr="00E31B45">
        <w:rPr>
          <w:szCs w:val="24"/>
        </w:rPr>
        <w:t>I.</w:t>
      </w:r>
      <w:r w:rsidRPr="00E31B45">
        <w:rPr>
          <w:szCs w:val="24"/>
        </w:rPr>
        <w:tab/>
        <w:t xml:space="preserve">Den tyska federala budgeten och </w:t>
      </w:r>
      <w:proofErr w:type="spellStart"/>
      <w:r w:rsidRPr="00E31B45">
        <w:rPr>
          <w:szCs w:val="24"/>
        </w:rPr>
        <w:t>Bundesagentur</w:t>
      </w:r>
      <w:proofErr w:type="spellEnd"/>
      <w:r w:rsidRPr="00E31B45">
        <w:rPr>
          <w:szCs w:val="24"/>
        </w:rPr>
        <w:t xml:space="preserve"> </w:t>
      </w:r>
      <w:proofErr w:type="spellStart"/>
      <w:r w:rsidRPr="00E31B45">
        <w:rPr>
          <w:szCs w:val="24"/>
        </w:rPr>
        <w:t>für</w:t>
      </w:r>
      <w:proofErr w:type="spellEnd"/>
      <w:r w:rsidRPr="00E31B45">
        <w:rPr>
          <w:szCs w:val="24"/>
        </w:rPr>
        <w:t xml:space="preserve"> Arbeit (den offentliga arbetsförmedlingen) tillhandahåller nationell förfinansiering och samfinansiering av </w:t>
      </w:r>
      <w:r w:rsidRPr="00E31B45">
        <w:rPr>
          <w:szCs w:val="24"/>
        </w:rPr>
        <w:lastRenderedPageBreak/>
        <w:t>åtgärderna.</w:t>
      </w:r>
    </w:p>
    <w:p w14:paraId="064791D0" w14:textId="77777777" w:rsidR="00732EC2" w:rsidRPr="00E31B45" w:rsidRDefault="00732EC2" w:rsidP="00E31B45">
      <w:pPr>
        <w:pStyle w:val="NormalHanging12a"/>
        <w:rPr>
          <w:szCs w:val="24"/>
        </w:rPr>
      </w:pPr>
      <w:r w:rsidRPr="00E31B45">
        <w:rPr>
          <w:szCs w:val="24"/>
        </w:rPr>
        <w:t>J.</w:t>
      </w:r>
      <w:r w:rsidRPr="00E31B45">
        <w:rPr>
          <w:szCs w:val="24"/>
        </w:rPr>
        <w:tab/>
        <w:t>De krav som rör kollektiva uppsägningar i unionens lagstiftning och i den nationella lagstiftningen är uppfyllda.</w:t>
      </w:r>
    </w:p>
    <w:p w14:paraId="02B19EC6" w14:textId="77777777" w:rsidR="00732EC2" w:rsidRPr="00E31B45" w:rsidRDefault="00732EC2" w:rsidP="00732EC2">
      <w:pPr>
        <w:pStyle w:val="NormalHanging12a"/>
        <w:rPr>
          <w:szCs w:val="24"/>
        </w:rPr>
      </w:pPr>
      <w:r w:rsidRPr="00E31B45">
        <w:rPr>
          <w:szCs w:val="24"/>
        </w:rPr>
        <w:t>K.</w:t>
      </w:r>
      <w:r w:rsidRPr="00E31B45">
        <w:rPr>
          <w:szCs w:val="24"/>
        </w:rPr>
        <w:tab/>
        <w:t>Ekonomiskt stöd från EGF bör i första hand inriktas på aktiva arbetsmarknadsåtgärder och individanpassade tjänster som syftar till att snabbt återintegrera stödmottagarna i en anständig och hållbar anställning inom eller utanför deras ursprungliga verksamhetssektor, samtidigt som de förbereder sig för en grönare och mer digital europeisk ekonomi.</w:t>
      </w:r>
    </w:p>
    <w:p w14:paraId="7324CCF8" w14:textId="4A1EBC9F" w:rsidR="00732EC2" w:rsidRPr="00E31B45" w:rsidRDefault="00732EC2" w:rsidP="00732EC2">
      <w:pPr>
        <w:widowControl/>
        <w:spacing w:after="240"/>
        <w:ind w:left="567" w:hanging="567"/>
        <w:rPr>
          <w:szCs w:val="24"/>
        </w:rPr>
      </w:pPr>
      <w:r w:rsidRPr="00E31B45">
        <w:rPr>
          <w:szCs w:val="24"/>
        </w:rPr>
        <w:t>L.</w:t>
      </w:r>
      <w:r w:rsidRPr="00E31B45">
        <w:rPr>
          <w:color w:val="7030A0"/>
          <w:szCs w:val="24"/>
        </w:rPr>
        <w:tab/>
      </w:r>
      <w:r w:rsidRPr="00E31B45">
        <w:rPr>
          <w:szCs w:val="24"/>
        </w:rPr>
        <w:t xml:space="preserve">Enligt artikel 8 i förordning (EU, Euratom) 2020/2093, i dess lydelse enligt rådets förordning (EU, Euratom) 2024/765, får EGF inte överstiga ett årligt maximibelopp på 30 miljoner EUR (i 2018 års priser). </w:t>
      </w:r>
    </w:p>
    <w:p w14:paraId="65D84B64" w14:textId="77777777" w:rsidR="00732EC2" w:rsidRPr="00E31B45" w:rsidRDefault="00732EC2" w:rsidP="00732EC2">
      <w:pPr>
        <w:pStyle w:val="NormalHanging12a"/>
        <w:rPr>
          <w:szCs w:val="24"/>
        </w:rPr>
      </w:pPr>
      <w:r w:rsidRPr="00E31B45">
        <w:rPr>
          <w:szCs w:val="24"/>
        </w:rPr>
        <w:t>1.</w:t>
      </w:r>
      <w:r w:rsidRPr="00E31B45">
        <w:rPr>
          <w:szCs w:val="24"/>
        </w:rPr>
        <w:tab/>
        <w:t>Europaparlamentet delar kommissionens åsikt att villkoren i artikel 4.2 a i EGF-förordningen är uppfyllda och att Tyskland är berättigat till ekonomiskt stöd på 3 085 166 EUR enligt den förordningen, vilket utgör 60 % av de totala kostnaderna på 5 141 944 EUR, bestående av utgifter för individanpassade tjänster på 4 936 274 EUR och utgifter för förberedande åtgärder samt för förvaltning, information och marknadsföring, kontroll och rapportering på 205 670 EUR.</w:t>
      </w:r>
    </w:p>
    <w:p w14:paraId="35D1317E" w14:textId="77777777" w:rsidR="00732EC2" w:rsidRPr="00E31B45" w:rsidRDefault="00732EC2" w:rsidP="00732EC2">
      <w:pPr>
        <w:pStyle w:val="NormalHanging12a"/>
        <w:rPr>
          <w:szCs w:val="24"/>
        </w:rPr>
      </w:pPr>
      <w:r w:rsidRPr="00E31B45">
        <w:rPr>
          <w:szCs w:val="24"/>
        </w:rPr>
        <w:t xml:space="preserve">2. </w:t>
      </w:r>
      <w:r w:rsidRPr="00E31B45">
        <w:rPr>
          <w:szCs w:val="24"/>
        </w:rPr>
        <w:tab/>
        <w:t xml:space="preserve">Europaparlamentet noterar att de tyska myndigheterna lämnade in ansökan den 10 mars 2025 och att kommissionen, utifrån den ytterligare information som Tyskland lämnade, slutförde sin bedömning den 29 juli 2025, mer än fyra månader senare, och underrättade parlamentet den 26 augusti 2025. </w:t>
      </w:r>
    </w:p>
    <w:p w14:paraId="35647369" w14:textId="66EE5F50" w:rsidR="00732EC2" w:rsidRPr="00E31B45" w:rsidRDefault="00732EC2" w:rsidP="00732EC2">
      <w:pPr>
        <w:pStyle w:val="NormalHanging12a"/>
        <w:rPr>
          <w:szCs w:val="24"/>
        </w:rPr>
      </w:pPr>
      <w:r w:rsidRPr="00E31B45">
        <w:rPr>
          <w:szCs w:val="24"/>
        </w:rPr>
        <w:t>3.</w:t>
      </w:r>
      <w:r w:rsidRPr="00E31B45">
        <w:rPr>
          <w:szCs w:val="24"/>
        </w:rPr>
        <w:tab/>
        <w:t xml:space="preserve">Europaparlamentet noterar att ansökan gäller 1 171 uppsagda arbetstagare som drabbats av nedläggningen av produktionsanläggningen i Fulda och </w:t>
      </w:r>
      <w:r w:rsidR="009C7384" w:rsidRPr="00E31B45">
        <w:rPr>
          <w:szCs w:val="24"/>
        </w:rPr>
        <w:t>d</w:t>
      </w:r>
      <w:r w:rsidRPr="00E31B45">
        <w:rPr>
          <w:szCs w:val="24"/>
        </w:rPr>
        <w:t>en partiell</w:t>
      </w:r>
      <w:r w:rsidR="009C7384" w:rsidRPr="00E31B45">
        <w:rPr>
          <w:szCs w:val="24"/>
        </w:rPr>
        <w:t>a</w:t>
      </w:r>
      <w:r w:rsidRPr="00E31B45">
        <w:rPr>
          <w:szCs w:val="24"/>
        </w:rPr>
        <w:t xml:space="preserve"> stängning</w:t>
      </w:r>
      <w:r w:rsidR="009C7384" w:rsidRPr="00E31B45">
        <w:rPr>
          <w:szCs w:val="24"/>
        </w:rPr>
        <w:t>en</w:t>
      </w:r>
      <w:r w:rsidRPr="00E31B45">
        <w:rPr>
          <w:szCs w:val="24"/>
        </w:rPr>
        <w:t xml:space="preserve"> av produktionsanläggningar i </w:t>
      </w:r>
      <w:proofErr w:type="spellStart"/>
      <w:r w:rsidRPr="00E31B45">
        <w:rPr>
          <w:szCs w:val="24"/>
        </w:rPr>
        <w:t>Hanau</w:t>
      </w:r>
      <w:proofErr w:type="spellEnd"/>
      <w:r w:rsidRPr="00E31B45">
        <w:rPr>
          <w:szCs w:val="24"/>
        </w:rPr>
        <w:t>. Parlamentet noterar vidare att totalt 915 uppsagda arbetstagare kommer att vara berörda stödmottagare och förväntas delta i åtgärderna.</w:t>
      </w:r>
    </w:p>
    <w:p w14:paraId="69AC454E" w14:textId="77777777" w:rsidR="00732EC2" w:rsidRPr="00E31B45" w:rsidRDefault="00732EC2" w:rsidP="00732EC2">
      <w:pPr>
        <w:pStyle w:val="NormalHanging12a"/>
        <w:rPr>
          <w:szCs w:val="24"/>
        </w:rPr>
      </w:pPr>
      <w:r w:rsidRPr="00E31B45">
        <w:rPr>
          <w:szCs w:val="24"/>
        </w:rPr>
        <w:t>4.</w:t>
      </w:r>
      <w:r w:rsidRPr="00E31B45">
        <w:rPr>
          <w:szCs w:val="24"/>
        </w:rPr>
        <w:tab/>
        <w:t xml:space="preserve">Europaparlamentet noterar att de flesta uppsagda arbetstagare har låg utbildningsnivå (56 % med grundskoleutbildning eller lägre) och är 54 år eller äldre (42 %). Parlamentet understryker att i synnerhet äldre arbetstagare utgör en mycket sårbar grupp och står inför betydande hinder för återanställning på grund av begränsade möjligheter till kompetenshöjning och omskolning. </w:t>
      </w:r>
    </w:p>
    <w:p w14:paraId="10EBAA17" w14:textId="1836EDEA" w:rsidR="00732EC2" w:rsidRPr="00E31B45" w:rsidRDefault="00732EC2" w:rsidP="00732EC2">
      <w:pPr>
        <w:pStyle w:val="NormalHanging12a"/>
        <w:rPr>
          <w:szCs w:val="24"/>
        </w:rPr>
      </w:pPr>
      <w:r w:rsidRPr="00E31B45">
        <w:rPr>
          <w:szCs w:val="24"/>
        </w:rPr>
        <w:t>5.</w:t>
      </w:r>
      <w:r w:rsidRPr="00E31B45">
        <w:rPr>
          <w:szCs w:val="24"/>
        </w:rPr>
        <w:tab/>
        <w:t xml:space="preserve">Europaparlamentet påpekar att uppsägningarna i Goodyear ökade den årliga arbetslösheten i Fuldaregionen </w:t>
      </w:r>
      <w:r w:rsidR="009C7384" w:rsidRPr="00E31B45">
        <w:rPr>
          <w:szCs w:val="24"/>
        </w:rPr>
        <w:t xml:space="preserve">med </w:t>
      </w:r>
      <w:r w:rsidRPr="00E31B45">
        <w:rPr>
          <w:szCs w:val="24"/>
        </w:rPr>
        <w:t xml:space="preserve">över 10 %, vilket i oproportionerligt hög grad påverkade manliga arbetstagare och personer över 50 år, varav många har föråldrade kvalifikationer och färdigheter som inte är anpassade till de nuvarande kraven på arbetsmarknaden. Parlamentet betonar att det krävs snabba åtgärder för att förhindra strukturell regional nedgång och betonar vikten av att främja högkvalitativa, framtidsinriktade arbetstillfällen för att säkerställa långsiktig ekonomisk och social </w:t>
      </w:r>
      <w:proofErr w:type="spellStart"/>
      <w:r w:rsidRPr="00E31B45">
        <w:rPr>
          <w:szCs w:val="24"/>
        </w:rPr>
        <w:t>resiliens</w:t>
      </w:r>
      <w:proofErr w:type="spellEnd"/>
      <w:r w:rsidRPr="00E31B45">
        <w:rPr>
          <w:szCs w:val="24"/>
        </w:rPr>
        <w:t>.</w:t>
      </w:r>
    </w:p>
    <w:p w14:paraId="3BE8E549" w14:textId="77777777" w:rsidR="00732EC2" w:rsidRPr="00E31B45" w:rsidRDefault="00732EC2" w:rsidP="00732EC2">
      <w:pPr>
        <w:pStyle w:val="NormalHanging12a"/>
        <w:rPr>
          <w:szCs w:val="24"/>
        </w:rPr>
      </w:pPr>
      <w:r w:rsidRPr="00E31B45">
        <w:rPr>
          <w:szCs w:val="24"/>
        </w:rPr>
        <w:t>6.</w:t>
      </w:r>
      <w:r w:rsidRPr="00E31B45">
        <w:rPr>
          <w:szCs w:val="24"/>
        </w:rPr>
        <w:tab/>
        <w:t xml:space="preserve">Europaparlamentet påminner om att de individanpassade tjänster som kommer att erbjudas arbetstagare består av följande åtgärder: omfattande kompetenshöjnings- eller omskolningsåtgärder, vägledning och rådgivning samt yrkesorienterings- och aktiveringsåtgärder, rådgivningstjänster och bidrag till företagsetablering, stöd till arbetssökande, kompetenshöjnings- och tilläggsincitament, utbildningsbidrag, </w:t>
      </w:r>
      <w:r w:rsidRPr="00E31B45">
        <w:rPr>
          <w:szCs w:val="24"/>
        </w:rPr>
        <w:lastRenderedPageBreak/>
        <w:t>utbildning i digitala färdigheter. Parlamentet betonar i detta sammanhang att välutbildad arbetskraft är avgörande för en framtidssäkrad europeisk ekonomi.</w:t>
      </w:r>
    </w:p>
    <w:p w14:paraId="70B0EC72" w14:textId="7842B1D7" w:rsidR="00732EC2" w:rsidRPr="00E31B45" w:rsidRDefault="00732EC2" w:rsidP="00732EC2">
      <w:pPr>
        <w:pStyle w:val="NormalHanging12a"/>
        <w:rPr>
          <w:szCs w:val="24"/>
        </w:rPr>
      </w:pPr>
      <w:r w:rsidRPr="00E31B45">
        <w:rPr>
          <w:szCs w:val="24"/>
        </w:rPr>
        <w:t>7.</w:t>
      </w:r>
      <w:r w:rsidRPr="00E31B45">
        <w:rPr>
          <w:szCs w:val="24"/>
        </w:rPr>
        <w:tab/>
        <w:t>Europaparlamentet anser att det är unionens och medlemsstaternas sociala ansvar att ge de uppsagda arbetstagar</w:t>
      </w:r>
      <w:r w:rsidR="00007B88" w:rsidRPr="00E31B45">
        <w:rPr>
          <w:szCs w:val="24"/>
        </w:rPr>
        <w:t>na</w:t>
      </w:r>
      <w:r w:rsidRPr="00E31B45">
        <w:rPr>
          <w:szCs w:val="24"/>
        </w:rPr>
        <w:t xml:space="preserve"> de kvalifikationer som krävs för en framtidssäkrad europeisk ekonomi som genomför den digitala och gröna omställningen. Parlamentet anser därför att utnyttjandet av EGF måste ingå i en bredare politisk insats.</w:t>
      </w:r>
    </w:p>
    <w:p w14:paraId="4E6BC3D4" w14:textId="77777777" w:rsidR="00732EC2" w:rsidRPr="00E31B45" w:rsidRDefault="00732EC2" w:rsidP="00732EC2">
      <w:pPr>
        <w:pStyle w:val="NormalHanging12a"/>
        <w:rPr>
          <w:szCs w:val="24"/>
        </w:rPr>
      </w:pPr>
      <w:r w:rsidRPr="00E31B45">
        <w:rPr>
          <w:szCs w:val="24"/>
        </w:rPr>
        <w:t>8.</w:t>
      </w:r>
      <w:r w:rsidRPr="00E31B45">
        <w:rPr>
          <w:szCs w:val="24"/>
        </w:rPr>
        <w:tab/>
        <w:t>Europaparlamentet efterlyser noggranna slutliga utvärderingar av de åtgärder som genomförts, med uppgifter om antalet arbetstagare som framgångsrikt återintegrerats i arbetslivet samt de som har slutfört utbildnings- och kompetenshöjningsåtgärder.</w:t>
      </w:r>
    </w:p>
    <w:p w14:paraId="174483F2" w14:textId="77777777" w:rsidR="00732EC2" w:rsidRPr="00E31B45" w:rsidRDefault="00732EC2" w:rsidP="00732EC2">
      <w:pPr>
        <w:pStyle w:val="NormalHanging12a"/>
        <w:widowControl/>
        <w:rPr>
          <w:szCs w:val="24"/>
        </w:rPr>
      </w:pPr>
      <w:r w:rsidRPr="00E31B45">
        <w:rPr>
          <w:szCs w:val="24"/>
        </w:rPr>
        <w:t>9.</w:t>
      </w:r>
      <w:r w:rsidRPr="00E31B45">
        <w:rPr>
          <w:szCs w:val="24"/>
        </w:rPr>
        <w:tab/>
        <w:t xml:space="preserve">Europaparlamentet noterar att den 20 februari 2025 hade totalt 915 trepartsavtal ingåtts mellan Goodyear, de anställda, och PMB International GmbH, den tjänsteleverantör som utsetts att förvalta övergångsföretaget, med 781 planerade poster för Fulda och 134 för </w:t>
      </w:r>
      <w:proofErr w:type="spellStart"/>
      <w:r w:rsidRPr="00E31B45">
        <w:rPr>
          <w:szCs w:val="24"/>
        </w:rPr>
        <w:t>Hanau</w:t>
      </w:r>
      <w:proofErr w:type="spellEnd"/>
      <w:r w:rsidRPr="00E31B45">
        <w:rPr>
          <w:szCs w:val="24"/>
        </w:rPr>
        <w:t>. Parlamentet välkomnar antydan om att dessa siffror förväntas öka i takt med att fler avtal undertecknas.</w:t>
      </w:r>
    </w:p>
    <w:p w14:paraId="3A868BEB" w14:textId="69DFCDDC" w:rsidR="00732EC2" w:rsidRPr="00E31B45" w:rsidRDefault="00732EC2" w:rsidP="00732EC2">
      <w:pPr>
        <w:pStyle w:val="NormalHanging12a"/>
        <w:rPr>
          <w:szCs w:val="24"/>
        </w:rPr>
      </w:pPr>
      <w:r w:rsidRPr="00E31B45">
        <w:rPr>
          <w:szCs w:val="24"/>
        </w:rPr>
        <w:t>10.</w:t>
      </w:r>
      <w:r w:rsidRPr="00E31B45">
        <w:rPr>
          <w:szCs w:val="24"/>
        </w:rPr>
        <w:tab/>
        <w:t>Europarlamentet noterar att Tyskland började tillhandahålla individanpassade tjänster till de berörda stödmottagarna den 1 november 2024 och att perioden för berättigande till ekonomiskt bidrag från EGF därför kommer att löpa från och med det datum</w:t>
      </w:r>
      <w:r w:rsidR="00B71BE3" w:rsidRPr="00E31B45">
        <w:rPr>
          <w:szCs w:val="24"/>
        </w:rPr>
        <w:t>et</w:t>
      </w:r>
      <w:r w:rsidRPr="00E31B45">
        <w:rPr>
          <w:szCs w:val="24"/>
        </w:rPr>
        <w:t xml:space="preserve"> till och med 24 månader efter den dag då </w:t>
      </w:r>
      <w:r w:rsidR="0084111A" w:rsidRPr="00E31B45">
        <w:rPr>
          <w:szCs w:val="24"/>
        </w:rPr>
        <w:t xml:space="preserve">det bifogade beslutet </w:t>
      </w:r>
      <w:r w:rsidRPr="00E31B45">
        <w:rPr>
          <w:szCs w:val="24"/>
        </w:rPr>
        <w:t>träder i kraft.</w:t>
      </w:r>
    </w:p>
    <w:p w14:paraId="56B28844" w14:textId="185B7031" w:rsidR="00732EC2" w:rsidRPr="00E31B45" w:rsidRDefault="00732EC2" w:rsidP="00732EC2">
      <w:pPr>
        <w:pStyle w:val="NormalHanging12a"/>
        <w:rPr>
          <w:szCs w:val="24"/>
        </w:rPr>
      </w:pPr>
      <w:r w:rsidRPr="00E31B45">
        <w:rPr>
          <w:szCs w:val="24"/>
        </w:rPr>
        <w:t>11.</w:t>
      </w:r>
      <w:r w:rsidRPr="00E31B45">
        <w:rPr>
          <w:szCs w:val="24"/>
        </w:rPr>
        <w:tab/>
        <w:t>Europaparlamentet noterar att Tyskland började ådra sig administrativa kostnader för att genomföra EGF den 1 november 2024, och att dessa utgifter därför ska berättiga till ekonomiskt bidrag från EGF från och med det datum</w:t>
      </w:r>
      <w:r w:rsidR="00B71BE3" w:rsidRPr="00E31B45">
        <w:rPr>
          <w:szCs w:val="24"/>
        </w:rPr>
        <w:t>et</w:t>
      </w:r>
      <w:r w:rsidRPr="00E31B45">
        <w:rPr>
          <w:szCs w:val="24"/>
        </w:rPr>
        <w:t xml:space="preserve"> och till och med 31 månader efter den dag då </w:t>
      </w:r>
      <w:r w:rsidR="0084111A" w:rsidRPr="00E31B45">
        <w:rPr>
          <w:szCs w:val="24"/>
        </w:rPr>
        <w:t xml:space="preserve">det bifogade beslutet </w:t>
      </w:r>
      <w:r w:rsidRPr="00E31B45">
        <w:rPr>
          <w:szCs w:val="24"/>
        </w:rPr>
        <w:t>träder i kraft.</w:t>
      </w:r>
    </w:p>
    <w:p w14:paraId="1A228700" w14:textId="77777777" w:rsidR="00732EC2" w:rsidRPr="00E31B45" w:rsidRDefault="00732EC2" w:rsidP="00732EC2">
      <w:pPr>
        <w:pStyle w:val="NormalHanging12a"/>
        <w:rPr>
          <w:szCs w:val="24"/>
        </w:rPr>
      </w:pPr>
      <w:r w:rsidRPr="00E31B45">
        <w:rPr>
          <w:szCs w:val="24"/>
        </w:rPr>
        <w:t>12.</w:t>
      </w:r>
      <w:r w:rsidRPr="00E31B45">
        <w:rPr>
          <w:szCs w:val="24"/>
        </w:rPr>
        <w:tab/>
        <w:t>Europaparlamentet betonar att de tyska myndigheterna har bekräftat att principerna om likabehandling och icke-diskriminering kommer att respekteras när det gäller tillgången till de föreslagna åtgärderna och deras genomförande och att dubbelfinansiering kommer att förhindras.</w:t>
      </w:r>
    </w:p>
    <w:p w14:paraId="39A1CCDD" w14:textId="77777777" w:rsidR="00732EC2" w:rsidRPr="00E31B45" w:rsidRDefault="00732EC2" w:rsidP="00732EC2">
      <w:pPr>
        <w:pStyle w:val="NormalHanging12a"/>
        <w:rPr>
          <w:szCs w:val="24"/>
        </w:rPr>
      </w:pPr>
      <w:r w:rsidRPr="00E31B45">
        <w:rPr>
          <w:szCs w:val="24"/>
        </w:rPr>
        <w:t>13.</w:t>
      </w:r>
      <w:r w:rsidRPr="00E31B45">
        <w:rPr>
          <w:szCs w:val="24"/>
        </w:rPr>
        <w:tab/>
        <w:t>Europaparlamentet påminner om att de tyska myndigheterna erkänner unionsfinansieringens ursprung och säkerställer dess synlighet, samtidigt som de framhåller unionens mervärde. Parlamentet betonar att detta bör uppnås genom riktade informationsåtgärder som riktar sig till stödmottagare, arbetsmarknadens parter och medierna.</w:t>
      </w:r>
    </w:p>
    <w:p w14:paraId="0F3D072A" w14:textId="77777777" w:rsidR="00732EC2" w:rsidRPr="00E31B45" w:rsidRDefault="00732EC2" w:rsidP="00732EC2">
      <w:pPr>
        <w:pStyle w:val="NormalHanging12a"/>
        <w:rPr>
          <w:szCs w:val="24"/>
        </w:rPr>
      </w:pPr>
      <w:r w:rsidRPr="00E31B45">
        <w:rPr>
          <w:szCs w:val="24"/>
        </w:rPr>
        <w:t>14.</w:t>
      </w:r>
      <w:r w:rsidRPr="00E31B45">
        <w:rPr>
          <w:szCs w:val="24"/>
        </w:rPr>
        <w:tab/>
        <w:t>Europaparlamentet upprepar att bidrag från EGF inte får ersätta åtgärder som enligt nationell rätt eller kollektivavtal åligger företagen.</w:t>
      </w:r>
    </w:p>
    <w:p w14:paraId="334897AC" w14:textId="77777777" w:rsidR="00732EC2" w:rsidRPr="00E31B45" w:rsidRDefault="00732EC2" w:rsidP="00732EC2">
      <w:pPr>
        <w:pStyle w:val="NormalHanging12a"/>
        <w:rPr>
          <w:szCs w:val="24"/>
        </w:rPr>
      </w:pPr>
      <w:r w:rsidRPr="00E31B45">
        <w:rPr>
          <w:szCs w:val="24"/>
        </w:rPr>
        <w:t>15.</w:t>
      </w:r>
      <w:r w:rsidRPr="00E31B45">
        <w:rPr>
          <w:szCs w:val="24"/>
        </w:rPr>
        <w:tab/>
        <w:t>Europaparlamentet betonar det akuta behovet av enhetliga och samordnade insatser för unionens konkurrenskraft, som utvecklas i nära partnerskap med medlemsstaterna, för att skydda Europas industriella sysselsättningsbas och sociala trygghet. Parlamentet understryker att endast en robust och motståndskraftig europeisk ekonomi effektivt kan förhindra storskaliga uppsägningar och därmed minska behovet av insatser från fonden.</w:t>
      </w:r>
    </w:p>
    <w:p w14:paraId="02EF6AEB" w14:textId="77777777" w:rsidR="00732EC2" w:rsidRPr="00E31B45" w:rsidRDefault="00732EC2" w:rsidP="00732EC2">
      <w:pPr>
        <w:pStyle w:val="NormalHanging12a"/>
        <w:rPr>
          <w:szCs w:val="24"/>
        </w:rPr>
      </w:pPr>
      <w:r w:rsidRPr="00E31B45">
        <w:rPr>
          <w:szCs w:val="24"/>
        </w:rPr>
        <w:t>16.</w:t>
      </w:r>
      <w:r w:rsidRPr="00E31B45">
        <w:rPr>
          <w:szCs w:val="24"/>
        </w:rPr>
        <w:tab/>
        <w:t>Europaparlamentet godkänner det bifogade beslutet.</w:t>
      </w:r>
    </w:p>
    <w:p w14:paraId="35E56D26" w14:textId="77777777" w:rsidR="00732EC2" w:rsidRPr="00E31B45" w:rsidRDefault="00732EC2" w:rsidP="00732EC2">
      <w:pPr>
        <w:pStyle w:val="NormalHanging12a"/>
        <w:rPr>
          <w:szCs w:val="24"/>
        </w:rPr>
      </w:pPr>
      <w:r w:rsidRPr="00E31B45">
        <w:rPr>
          <w:szCs w:val="24"/>
        </w:rPr>
        <w:t>17.</w:t>
      </w:r>
      <w:r w:rsidRPr="00E31B45">
        <w:rPr>
          <w:szCs w:val="24"/>
        </w:rPr>
        <w:tab/>
        <w:t xml:space="preserve">Europaparlamentet uppdrar åt talmannen att tillsammans med rådets ordförande underteckna beslutet och se till att det offentliggörs i </w:t>
      </w:r>
      <w:r w:rsidRPr="00E31B45">
        <w:rPr>
          <w:i/>
          <w:szCs w:val="24"/>
        </w:rPr>
        <w:t>Europeiska unionens officiella tidning</w:t>
      </w:r>
      <w:r w:rsidRPr="00E31B45">
        <w:rPr>
          <w:szCs w:val="24"/>
        </w:rPr>
        <w:t>.</w:t>
      </w:r>
    </w:p>
    <w:p w14:paraId="3453F6D2" w14:textId="06EBCD0A" w:rsidR="00732EC2" w:rsidRPr="00E31B45" w:rsidRDefault="00732EC2" w:rsidP="00E31B45">
      <w:pPr>
        <w:widowControl/>
        <w:ind w:left="567" w:hanging="567"/>
        <w:rPr>
          <w:noProof/>
          <w:szCs w:val="24"/>
        </w:rPr>
      </w:pPr>
      <w:r w:rsidRPr="00E31B45">
        <w:rPr>
          <w:szCs w:val="24"/>
        </w:rPr>
        <w:lastRenderedPageBreak/>
        <w:t>18.</w:t>
      </w:r>
      <w:r w:rsidRPr="00E31B45">
        <w:rPr>
          <w:szCs w:val="24"/>
        </w:rPr>
        <w:tab/>
        <w:t>Europaparlamentet uppdrar åt talmannen att översända denna resolution med bilaga till rådet och kommissionen.</w:t>
      </w:r>
    </w:p>
    <w:p w14:paraId="14309CF3" w14:textId="77777777" w:rsidR="00732EC2" w:rsidRPr="00E31B45" w:rsidRDefault="00732EC2" w:rsidP="00732EC2">
      <w:pPr>
        <w:widowControl/>
        <w:rPr>
          <w:b/>
          <w:noProof/>
          <w:szCs w:val="24"/>
        </w:rPr>
        <w:sectPr w:rsidR="00732EC2" w:rsidRPr="00E31B45" w:rsidSect="002B2C96">
          <w:footerReference w:type="even" r:id="rId9"/>
          <w:footerReference w:type="first" r:id="rId10"/>
          <w:footnotePr>
            <w:numRestart w:val="eachPage"/>
          </w:footnotePr>
          <w:endnotePr>
            <w:numFmt w:val="decimal"/>
          </w:endnotePr>
          <w:pgSz w:w="11906" w:h="16838"/>
          <w:pgMar w:top="1134" w:right="1418" w:bottom="1418" w:left="1418" w:header="1134" w:footer="567" w:gutter="0"/>
          <w:cols w:space="720"/>
          <w:docGrid w:linePitch="326"/>
        </w:sectPr>
      </w:pPr>
    </w:p>
    <w:p w14:paraId="1B78818E" w14:textId="77777777" w:rsidR="00205589" w:rsidRDefault="00732EC2" w:rsidP="00732EC2">
      <w:pPr>
        <w:pStyle w:val="PageHeading"/>
        <w:rPr>
          <w:rFonts w:ascii="Times New Roman" w:hAnsi="Times New Roman" w:cs="Times New Roman"/>
          <w:szCs w:val="24"/>
        </w:rPr>
      </w:pPr>
      <w:bookmarkStart w:id="7" w:name="_Toc206749151"/>
      <w:bookmarkStart w:id="8" w:name="_Toc210380272"/>
      <w:r w:rsidRPr="00E31B45">
        <w:rPr>
          <w:rFonts w:ascii="Times New Roman" w:hAnsi="Times New Roman" w:cs="Times New Roman"/>
          <w:szCs w:val="24"/>
        </w:rPr>
        <w:lastRenderedPageBreak/>
        <w:t>BILAGA</w:t>
      </w:r>
    </w:p>
    <w:p w14:paraId="2801D4C5" w14:textId="7D6B6116" w:rsidR="00732EC2" w:rsidRPr="00E31B45" w:rsidRDefault="00732EC2" w:rsidP="00732EC2">
      <w:pPr>
        <w:pStyle w:val="PageHeading"/>
        <w:rPr>
          <w:rFonts w:ascii="Times New Roman" w:hAnsi="Times New Roman" w:cs="Times New Roman"/>
          <w:noProof/>
          <w:szCs w:val="24"/>
        </w:rPr>
      </w:pPr>
      <w:r w:rsidRPr="00E31B45">
        <w:rPr>
          <w:rFonts w:ascii="Times New Roman" w:hAnsi="Times New Roman" w:cs="Times New Roman"/>
          <w:szCs w:val="24"/>
        </w:rPr>
        <w:t>EUROPAPARLAMENTETS OCH RÅDETS BESLUT</w:t>
      </w:r>
      <w:bookmarkEnd w:id="7"/>
      <w:bookmarkEnd w:id="8"/>
    </w:p>
    <w:p w14:paraId="694C4FC6" w14:textId="77777777" w:rsidR="00732EC2" w:rsidRPr="00E31B45" w:rsidRDefault="00732EC2" w:rsidP="00732EC2">
      <w:pPr>
        <w:pStyle w:val="NormalBold24a"/>
        <w:spacing w:before="120" w:after="0"/>
        <w:rPr>
          <w:noProof/>
          <w:szCs w:val="24"/>
        </w:rPr>
      </w:pPr>
      <w:r w:rsidRPr="00E31B45">
        <w:rPr>
          <w:szCs w:val="24"/>
        </w:rPr>
        <w:t>om utnyttjande av Europeiska fonden för justering för globaliseringseffekter för uppsagda arbetstagare efter en ansökan från Tyskland – EGF/2025/002 DE/Goodyear 2</w:t>
      </w:r>
    </w:p>
    <w:p w14:paraId="2F9D4056" w14:textId="77777777" w:rsidR="00732EC2" w:rsidRDefault="00732EC2" w:rsidP="00732EC2">
      <w:pPr>
        <w:pStyle w:val="NormalBold24a"/>
        <w:spacing w:before="120" w:after="0"/>
        <w:rPr>
          <w:noProof/>
          <w:szCs w:val="24"/>
        </w:rPr>
      </w:pPr>
    </w:p>
    <w:p w14:paraId="1245EC10" w14:textId="4939DA86" w:rsidR="00205589" w:rsidRPr="00205589" w:rsidRDefault="00205589" w:rsidP="00205589">
      <w:pPr>
        <w:widowControl/>
        <w:jc w:val="both"/>
        <w:rPr>
          <w:rFonts w:eastAsia="Calibri"/>
          <w:i/>
          <w:szCs w:val="24"/>
          <w:lang w:eastAsia="en-US"/>
        </w:rPr>
      </w:pPr>
      <w:r w:rsidRPr="00205589">
        <w:rPr>
          <w:rFonts w:eastAsia="Calibri"/>
          <w:i/>
          <w:szCs w:val="24"/>
          <w:lang w:eastAsia="en-US"/>
        </w:rPr>
        <w:t>(Texten till denna bilaga återges inte här eftersom den motsvaras av den slutliga rättsakten, beslut</w:t>
      </w:r>
      <w:r>
        <w:rPr>
          <w:rFonts w:eastAsia="Calibri"/>
          <w:i/>
          <w:szCs w:val="24"/>
          <w:lang w:eastAsia="en-US"/>
        </w:rPr>
        <w:t xml:space="preserve"> </w:t>
      </w:r>
      <w:r w:rsidRPr="00205589">
        <w:rPr>
          <w:rFonts w:eastAsia="Calibri"/>
          <w:i/>
          <w:szCs w:val="24"/>
          <w:lang w:eastAsia="en-US"/>
        </w:rPr>
        <w:t xml:space="preserve">(EU) </w:t>
      </w:r>
      <w:r>
        <w:rPr>
          <w:rFonts w:eastAsia="Calibri"/>
          <w:i/>
          <w:szCs w:val="24"/>
          <w:lang w:eastAsia="en-US"/>
        </w:rPr>
        <w:t>2025</w:t>
      </w:r>
      <w:r w:rsidRPr="00205589">
        <w:rPr>
          <w:rFonts w:eastAsia="Calibri"/>
          <w:i/>
          <w:szCs w:val="24"/>
          <w:lang w:eastAsia="en-US"/>
        </w:rPr>
        <w:t>/</w:t>
      </w:r>
      <w:r>
        <w:rPr>
          <w:rFonts w:eastAsia="Calibri"/>
          <w:i/>
          <w:szCs w:val="24"/>
          <w:lang w:eastAsia="en-US"/>
        </w:rPr>
        <w:t>2135</w:t>
      </w:r>
      <w:r w:rsidRPr="00205589">
        <w:rPr>
          <w:rFonts w:eastAsia="Calibri"/>
          <w:i/>
          <w:szCs w:val="24"/>
          <w:lang w:eastAsia="en-US"/>
        </w:rPr>
        <w:t>.)</w:t>
      </w:r>
    </w:p>
    <w:p w14:paraId="0BE95A9D" w14:textId="77777777" w:rsidR="00205589" w:rsidRPr="00E31B45" w:rsidRDefault="00205589" w:rsidP="00732EC2">
      <w:pPr>
        <w:pStyle w:val="NormalBold24a"/>
        <w:spacing w:before="120" w:after="0"/>
        <w:rPr>
          <w:noProof/>
          <w:szCs w:val="24"/>
        </w:rPr>
      </w:pPr>
    </w:p>
    <w:sectPr w:rsidR="00205589" w:rsidRPr="00E31B45" w:rsidSect="002B2C96">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46B19E" w14:textId="77777777" w:rsidR="00AC338B" w:rsidRPr="002B2C96" w:rsidRDefault="00AC338B">
      <w:r w:rsidRPr="002B2C96">
        <w:separator/>
      </w:r>
    </w:p>
  </w:endnote>
  <w:endnote w:type="continuationSeparator" w:id="0">
    <w:p w14:paraId="4F7B4CD3" w14:textId="77777777" w:rsidR="00AC338B" w:rsidRPr="002B2C96" w:rsidRDefault="00AC338B">
      <w:r w:rsidRPr="002B2C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2C52E" w14:textId="77777777" w:rsidR="00732EC2" w:rsidRPr="002B2C96" w:rsidRDefault="00732EC2" w:rsidP="00876D6F">
    <w:pPr>
      <w:pStyle w:val="EPFooter"/>
    </w:pPr>
    <w:r w:rsidRPr="002B2C96">
      <w:t>PE</w:t>
    </w:r>
    <w:r w:rsidRPr="002B2C96">
      <w:rPr>
        <w:rStyle w:val="HideTWBExt"/>
      </w:rPr>
      <w:t>&lt;NoPE&gt;</w:t>
    </w:r>
    <w:r w:rsidRPr="002B2C96">
      <w:t>776.828</w:t>
    </w:r>
    <w:r w:rsidRPr="002B2C96">
      <w:rPr>
        <w:rStyle w:val="HideTWBExt"/>
      </w:rPr>
      <w:t>&lt;/NoPE&gt;&lt;Version&gt;</w:t>
    </w:r>
    <w:r w:rsidRPr="002B2C96">
      <w:t>v02-00</w:t>
    </w:r>
    <w:r w:rsidRPr="002B2C96">
      <w:rPr>
        <w:rStyle w:val="HideTWBExt"/>
      </w:rPr>
      <w:t>&lt;/Version&gt;</w:t>
    </w:r>
    <w:r w:rsidRPr="002B2C96">
      <w:tab/>
    </w:r>
    <w:r w:rsidRPr="002B2C96">
      <w:fldChar w:fldCharType="begin"/>
    </w:r>
    <w:r w:rsidRPr="002B2C96">
      <w:instrText xml:space="preserve"> PAGE  \* MERGEFORMAT </w:instrText>
    </w:r>
    <w:r w:rsidRPr="002B2C96">
      <w:fldChar w:fldCharType="separate"/>
    </w:r>
    <w:r w:rsidRPr="002B2C96">
      <w:rPr>
        <w:noProof/>
      </w:rPr>
      <w:t>1</w:t>
    </w:r>
    <w:r w:rsidRPr="002B2C96">
      <w:fldChar w:fldCharType="end"/>
    </w:r>
    <w:r w:rsidRPr="002B2C96">
      <w:t>/</w:t>
    </w:r>
    <w:r w:rsidR="00205589">
      <w:fldChar w:fldCharType="begin"/>
    </w:r>
    <w:r w:rsidR="00205589">
      <w:instrText xml:space="preserve"> NUMPAGES  \* MERGEFORMAT </w:instrText>
    </w:r>
    <w:r w:rsidR="00205589">
      <w:fldChar w:fldCharType="separate"/>
    </w:r>
    <w:r w:rsidRPr="002B2C96">
      <w:rPr>
        <w:noProof/>
      </w:rPr>
      <w:t>2</w:t>
    </w:r>
    <w:r w:rsidR="00205589">
      <w:rPr>
        <w:noProof/>
      </w:rPr>
      <w:fldChar w:fldCharType="end"/>
    </w:r>
    <w:r w:rsidRPr="002B2C96">
      <w:tab/>
    </w:r>
    <w:r w:rsidRPr="002B2C96">
      <w:rPr>
        <w:rStyle w:val="HideTWBExt"/>
      </w:rPr>
      <w:t>&lt;PathFdR&gt;</w:t>
    </w:r>
    <w:r w:rsidRPr="002B2C96">
      <w:t>RR\1328613SV.docx</w:t>
    </w:r>
    <w:r w:rsidRPr="002B2C96">
      <w:rPr>
        <w:rStyle w:val="HideTWBExt"/>
      </w:rPr>
      <w:t>&lt;/PathFdR&gt;</w:t>
    </w:r>
  </w:p>
  <w:p w14:paraId="6F733FF6" w14:textId="77777777" w:rsidR="00732EC2" w:rsidRPr="002B2C96" w:rsidRDefault="00732EC2" w:rsidP="00876D6F">
    <w:pPr>
      <w:pStyle w:val="EPFooter2"/>
    </w:pPr>
    <w:r w:rsidRPr="002B2C96">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09CEE" w14:textId="77777777" w:rsidR="00732EC2" w:rsidRPr="002B2C96" w:rsidRDefault="00732EC2" w:rsidP="00876D6F">
    <w:pPr>
      <w:pStyle w:val="EPFooter"/>
    </w:pPr>
    <w:r w:rsidRPr="002B2C96">
      <w:rPr>
        <w:rStyle w:val="HideTWBExt"/>
      </w:rPr>
      <w:t>&lt;PathFdR&gt;</w:t>
    </w:r>
    <w:r w:rsidRPr="002B2C96">
      <w:t>RR\1328613SV.docx</w:t>
    </w:r>
    <w:r w:rsidRPr="002B2C96">
      <w:rPr>
        <w:rStyle w:val="HideTWBExt"/>
      </w:rPr>
      <w:t>&lt;/PathFdR&gt;</w:t>
    </w:r>
    <w:r w:rsidRPr="002B2C96">
      <w:tab/>
    </w:r>
    <w:r w:rsidRPr="002B2C96">
      <w:tab/>
      <w:t>PE</w:t>
    </w:r>
    <w:r w:rsidRPr="002B2C96">
      <w:rPr>
        <w:rStyle w:val="HideTWBExt"/>
      </w:rPr>
      <w:t>&lt;NoPE&gt;</w:t>
    </w:r>
    <w:r w:rsidRPr="002B2C96">
      <w:t>776.828</w:t>
    </w:r>
    <w:r w:rsidRPr="002B2C96">
      <w:rPr>
        <w:rStyle w:val="HideTWBExt"/>
      </w:rPr>
      <w:t>&lt;/NoPE&gt;&lt;Version&gt;</w:t>
    </w:r>
    <w:r w:rsidRPr="002B2C96">
      <w:t>v02-00</w:t>
    </w:r>
    <w:r w:rsidRPr="002B2C96">
      <w:rPr>
        <w:rStyle w:val="HideTWBExt"/>
      </w:rPr>
      <w:t>&lt;/Version&gt;</w:t>
    </w:r>
  </w:p>
  <w:p w14:paraId="203110FB" w14:textId="77777777" w:rsidR="00732EC2" w:rsidRPr="002B2C96" w:rsidRDefault="00732EC2" w:rsidP="00876D6F">
    <w:pPr>
      <w:pStyle w:val="EPFooter2"/>
    </w:pPr>
    <w:r w:rsidRPr="002B2C96">
      <w:t>SV</w:t>
    </w:r>
    <w:r w:rsidRPr="002B2C96">
      <w:tab/>
    </w:r>
    <w:r w:rsidRPr="002B2C96">
      <w:rPr>
        <w:b w:val="0"/>
        <w:i/>
        <w:color w:val="C0C0C0"/>
        <w:sz w:val="22"/>
      </w:rPr>
      <w:t>Förenade i mångfalden</w:t>
    </w:r>
    <w:r w:rsidRPr="002B2C96">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477AA7" w14:textId="77777777" w:rsidR="00064002" w:rsidRPr="002B2C96"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6B23E8" w14:textId="77777777" w:rsidR="00064002" w:rsidRPr="002B2C96"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03BEB" w14:textId="77777777" w:rsidR="00064002" w:rsidRPr="002B2C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03E01" w14:textId="77777777" w:rsidR="00AC338B" w:rsidRPr="002B2C96" w:rsidRDefault="00AC338B">
      <w:r w:rsidRPr="002B2C96">
        <w:separator/>
      </w:r>
    </w:p>
  </w:footnote>
  <w:footnote w:type="continuationSeparator" w:id="0">
    <w:p w14:paraId="43B9791F" w14:textId="77777777" w:rsidR="00AC338B" w:rsidRPr="002B2C96" w:rsidRDefault="00AC338B">
      <w:r w:rsidRPr="002B2C96">
        <w:continuationSeparator/>
      </w:r>
    </w:p>
  </w:footnote>
  <w:footnote w:id="1">
    <w:p w14:paraId="3AA259CD" w14:textId="34C583A2" w:rsidR="00732EC2" w:rsidRPr="00E31B45" w:rsidRDefault="00732EC2" w:rsidP="002B2C96">
      <w:pPr>
        <w:pStyle w:val="FootnoteText"/>
        <w:ind w:left="567" w:hanging="567"/>
        <w:rPr>
          <w:sz w:val="24"/>
          <w:szCs w:val="24"/>
          <w:lang w:val="fi-FI"/>
        </w:rPr>
      </w:pPr>
      <w:r w:rsidRPr="00E31B45">
        <w:rPr>
          <w:rStyle w:val="FootnoteReference"/>
          <w:sz w:val="24"/>
          <w:szCs w:val="24"/>
          <w:lang w:val="sv-SE"/>
        </w:rPr>
        <w:footnoteRef/>
      </w:r>
      <w:r w:rsidR="002B2C96" w:rsidRPr="00E31B45">
        <w:rPr>
          <w:sz w:val="24"/>
          <w:szCs w:val="24"/>
          <w:lang w:val="fi-FI"/>
        </w:rPr>
        <w:t xml:space="preserve"> </w:t>
      </w:r>
      <w:r w:rsidR="002B2C96" w:rsidRPr="00E31B45">
        <w:rPr>
          <w:sz w:val="24"/>
          <w:szCs w:val="24"/>
          <w:lang w:val="fi-FI"/>
        </w:rPr>
        <w:tab/>
      </w:r>
      <w:r w:rsidRPr="00E31B45">
        <w:rPr>
          <w:sz w:val="24"/>
          <w:szCs w:val="24"/>
          <w:lang w:val="fi-FI"/>
        </w:rPr>
        <w:t xml:space="preserve">EUT L 153, 3.5.2021, s. 48, ELI: </w:t>
      </w:r>
      <w:hyperlink r:id="rId1" w:history="1">
        <w:r w:rsidRPr="00E31B45">
          <w:rPr>
            <w:rStyle w:val="Hyperlink"/>
            <w:sz w:val="24"/>
            <w:szCs w:val="24"/>
            <w:lang w:val="fi-FI"/>
          </w:rPr>
          <w:t>http://data.europa.eu/eli/reg/2021/691/oj</w:t>
        </w:r>
      </w:hyperlink>
      <w:r w:rsidRPr="00E31B45">
        <w:rPr>
          <w:sz w:val="24"/>
          <w:szCs w:val="24"/>
          <w:lang w:val="fi-FI"/>
        </w:rPr>
        <w:t>.</w:t>
      </w:r>
    </w:p>
  </w:footnote>
  <w:footnote w:id="2">
    <w:p w14:paraId="015BD27C" w14:textId="19ADD2A6" w:rsidR="00732EC2" w:rsidRPr="00E31B45" w:rsidRDefault="00732EC2" w:rsidP="002B2C96">
      <w:pPr>
        <w:pStyle w:val="FootnoteText"/>
        <w:ind w:left="567" w:hanging="567"/>
        <w:rPr>
          <w:sz w:val="24"/>
          <w:szCs w:val="24"/>
          <w:lang w:val="fi-FI"/>
        </w:rPr>
      </w:pPr>
      <w:r w:rsidRPr="00E31B45">
        <w:rPr>
          <w:rStyle w:val="FootnoteReference"/>
          <w:sz w:val="24"/>
          <w:szCs w:val="24"/>
          <w:lang w:val="sv-SE"/>
        </w:rPr>
        <w:footnoteRef/>
      </w:r>
      <w:r w:rsidR="002B2C96" w:rsidRPr="00E31B45">
        <w:rPr>
          <w:sz w:val="24"/>
          <w:szCs w:val="24"/>
          <w:lang w:val="fi-FI"/>
        </w:rPr>
        <w:t xml:space="preserve"> </w:t>
      </w:r>
      <w:r w:rsidR="002B2C96" w:rsidRPr="00E31B45">
        <w:rPr>
          <w:sz w:val="24"/>
          <w:szCs w:val="24"/>
          <w:lang w:val="fi-FI"/>
        </w:rPr>
        <w:tab/>
      </w:r>
      <w:r w:rsidRPr="00E31B45">
        <w:rPr>
          <w:sz w:val="24"/>
          <w:szCs w:val="24"/>
          <w:lang w:val="fi-FI"/>
        </w:rPr>
        <w:t>EUT L 433</w:t>
      </w:r>
      <w:r w:rsidR="005E3179" w:rsidRPr="00E31B45">
        <w:rPr>
          <w:sz w:val="24"/>
          <w:szCs w:val="24"/>
          <w:lang w:val="fi-FI"/>
        </w:rPr>
        <w:t xml:space="preserve"> I</w:t>
      </w:r>
      <w:r w:rsidRPr="00E31B45">
        <w:rPr>
          <w:sz w:val="24"/>
          <w:szCs w:val="24"/>
          <w:lang w:val="fi-FI"/>
        </w:rPr>
        <w:t xml:space="preserve">, 22.12.2020, s. 11, ELI: </w:t>
      </w:r>
      <w:hyperlink r:id="rId2" w:history="1">
        <w:r w:rsidRPr="00E31B45">
          <w:rPr>
            <w:rStyle w:val="Hyperlink"/>
            <w:sz w:val="24"/>
            <w:szCs w:val="24"/>
            <w:lang w:val="fi-FI"/>
          </w:rPr>
          <w:t>http://data.europa.eu/eli/reg/2020/2093/oj</w:t>
        </w:r>
      </w:hyperlink>
      <w:r w:rsidRPr="00E31B45">
        <w:rPr>
          <w:sz w:val="24"/>
          <w:szCs w:val="24"/>
          <w:lang w:val="fi-FI"/>
        </w:rPr>
        <w:t>.</w:t>
      </w:r>
    </w:p>
  </w:footnote>
  <w:footnote w:id="3">
    <w:p w14:paraId="3AA69DB0" w14:textId="58FB9FAE" w:rsidR="00732EC2" w:rsidRPr="00E31B45" w:rsidRDefault="00732EC2" w:rsidP="002B2C96">
      <w:pPr>
        <w:pStyle w:val="FootnoteText"/>
        <w:ind w:left="567" w:hanging="567"/>
        <w:rPr>
          <w:sz w:val="24"/>
          <w:szCs w:val="24"/>
          <w:lang w:val="sv-SE"/>
        </w:rPr>
      </w:pPr>
      <w:r w:rsidRPr="00E31B45">
        <w:rPr>
          <w:rStyle w:val="FootnoteReference"/>
          <w:sz w:val="24"/>
          <w:szCs w:val="24"/>
          <w:lang w:val="sv-SE"/>
        </w:rPr>
        <w:footnoteRef/>
      </w:r>
      <w:r w:rsidR="002B2C96" w:rsidRPr="00E31B45">
        <w:rPr>
          <w:color w:val="333333"/>
          <w:sz w:val="24"/>
          <w:szCs w:val="24"/>
          <w:shd w:val="clear" w:color="auto" w:fill="FFFFFF"/>
          <w:lang w:val="sv-SE"/>
        </w:rPr>
        <w:t xml:space="preserve"> </w:t>
      </w:r>
      <w:r w:rsidR="002B2C96" w:rsidRPr="00E31B45">
        <w:rPr>
          <w:color w:val="333333"/>
          <w:sz w:val="24"/>
          <w:szCs w:val="24"/>
          <w:shd w:val="clear" w:color="auto" w:fill="FFFFFF"/>
          <w:lang w:val="sv-SE"/>
        </w:rPr>
        <w:tab/>
      </w:r>
      <w:r w:rsidRPr="00E31B45">
        <w:rPr>
          <w:color w:val="333333"/>
          <w:sz w:val="24"/>
          <w:szCs w:val="24"/>
          <w:shd w:val="clear" w:color="auto" w:fill="FFFFFF"/>
          <w:lang w:val="sv-SE"/>
        </w:rPr>
        <w:t>Rådets förordning (EU, Euratom) 2024/765 av den 29 februari 2024 om ändring av förordning (EU, Euratom) 2020/2093 om den fleråriga budgetramen 2021–2027 (</w:t>
      </w:r>
      <w:r w:rsidRPr="00E31B45">
        <w:rPr>
          <w:sz w:val="24"/>
          <w:szCs w:val="24"/>
          <w:lang w:val="sv-SE"/>
        </w:rPr>
        <w:t xml:space="preserve">EUT L, 2024/765, 29.2.2024, ELI: </w:t>
      </w:r>
      <w:hyperlink r:id="rId3" w:history="1">
        <w:r w:rsidRPr="00E31B45">
          <w:rPr>
            <w:rStyle w:val="Hyperlink"/>
            <w:sz w:val="24"/>
            <w:szCs w:val="24"/>
            <w:lang w:val="sv-SE"/>
          </w:rPr>
          <w:t>http://data.europa.eu/eli/reg/2024/765/oj</w:t>
        </w:r>
      </w:hyperlink>
      <w:r w:rsidRPr="00205589">
        <w:rPr>
          <w:rStyle w:val="Emphasis"/>
          <w:i w:val="0"/>
          <w:iCs w:val="0"/>
          <w:color w:val="333333"/>
          <w:sz w:val="24"/>
          <w:szCs w:val="24"/>
          <w:shd w:val="clear" w:color="auto" w:fill="FFFFFF"/>
          <w:lang w:val="sv-SE"/>
        </w:rPr>
        <w:t>)</w:t>
      </w:r>
      <w:r w:rsidRPr="00E31B45">
        <w:rPr>
          <w:rStyle w:val="Emphasis"/>
          <w:color w:val="333333"/>
          <w:sz w:val="24"/>
          <w:szCs w:val="24"/>
          <w:shd w:val="clear" w:color="auto" w:fill="FFFFFF"/>
          <w:lang w:val="sv-SE"/>
        </w:rPr>
        <w:t>.</w:t>
      </w:r>
    </w:p>
  </w:footnote>
  <w:footnote w:id="4">
    <w:p w14:paraId="24FC3D16" w14:textId="0148606D" w:rsidR="00732EC2" w:rsidRPr="00E31B45" w:rsidRDefault="00732EC2" w:rsidP="002B2C96">
      <w:pPr>
        <w:pStyle w:val="FootnoteText"/>
        <w:ind w:left="567" w:hanging="567"/>
        <w:rPr>
          <w:sz w:val="24"/>
          <w:szCs w:val="24"/>
          <w:lang w:val="fi-FI"/>
        </w:rPr>
      </w:pPr>
      <w:r w:rsidRPr="00E31B45">
        <w:rPr>
          <w:rStyle w:val="FootnoteReference"/>
          <w:sz w:val="24"/>
          <w:szCs w:val="24"/>
          <w:lang w:val="sv-SE"/>
        </w:rPr>
        <w:footnoteRef/>
      </w:r>
      <w:r w:rsidR="002B2C96" w:rsidRPr="00E31B45">
        <w:rPr>
          <w:sz w:val="24"/>
          <w:szCs w:val="24"/>
          <w:lang w:val="fi-FI"/>
        </w:rPr>
        <w:t xml:space="preserve"> </w:t>
      </w:r>
      <w:r w:rsidR="002B2C96" w:rsidRPr="00E31B45">
        <w:rPr>
          <w:sz w:val="24"/>
          <w:szCs w:val="24"/>
          <w:lang w:val="fi-FI"/>
        </w:rPr>
        <w:tab/>
      </w:r>
      <w:r w:rsidRPr="00E31B45">
        <w:rPr>
          <w:sz w:val="24"/>
          <w:szCs w:val="24"/>
          <w:lang w:val="fi-FI"/>
        </w:rPr>
        <w:t xml:space="preserve">EUT L 433 I, 22.12.2020, s. 28, ELI: </w:t>
      </w:r>
      <w:hyperlink r:id="rId4" w:history="1">
        <w:r w:rsidRPr="00E31B45">
          <w:rPr>
            <w:rStyle w:val="Hyperlink"/>
            <w:sz w:val="24"/>
            <w:szCs w:val="24"/>
            <w:lang w:val="fi-FI"/>
          </w:rPr>
          <w:t>http://data.europa.eu/eli/agree_interinstit/2020 /1222/</w:t>
        </w:r>
        <w:proofErr w:type="spellStart"/>
        <w:r w:rsidRPr="00E31B45">
          <w:rPr>
            <w:rStyle w:val="Hyperlink"/>
            <w:sz w:val="24"/>
            <w:szCs w:val="24"/>
            <w:lang w:val="fi-FI"/>
          </w:rPr>
          <w:t>oj</w:t>
        </w:r>
        <w:proofErr w:type="spellEnd"/>
        <w:r w:rsidRPr="00E31B45">
          <w:rPr>
            <w:rStyle w:val="Hyperlink"/>
            <w:sz w:val="24"/>
            <w:szCs w:val="24"/>
            <w:lang w:val="fi-FI"/>
          </w:rPr>
          <w:t>.</w:t>
        </w:r>
      </w:hyperlink>
    </w:p>
  </w:footnote>
  <w:footnote w:id="5">
    <w:p w14:paraId="7BC03341" w14:textId="5485B0FF" w:rsidR="00732EC2" w:rsidRPr="00E31B45" w:rsidRDefault="00732EC2" w:rsidP="002B2C96">
      <w:pPr>
        <w:pStyle w:val="FootnoteText"/>
        <w:ind w:left="567" w:hanging="567"/>
        <w:rPr>
          <w:sz w:val="24"/>
          <w:szCs w:val="24"/>
          <w:lang w:val="sv-SE"/>
        </w:rPr>
      </w:pPr>
      <w:r w:rsidRPr="00E31B45">
        <w:rPr>
          <w:rStyle w:val="FootnoteReference"/>
          <w:sz w:val="24"/>
          <w:szCs w:val="24"/>
          <w:lang w:val="sv-SE"/>
        </w:rPr>
        <w:footnoteRef/>
      </w:r>
      <w:r w:rsidR="002B2C96" w:rsidRPr="00E31B45">
        <w:rPr>
          <w:sz w:val="24"/>
          <w:szCs w:val="24"/>
          <w:lang w:val="sv-SE"/>
        </w:rPr>
        <w:t xml:space="preserve"> </w:t>
      </w:r>
      <w:r w:rsidR="002B2C96" w:rsidRPr="00E31B45">
        <w:rPr>
          <w:sz w:val="24"/>
          <w:szCs w:val="24"/>
          <w:lang w:val="sv-SE"/>
        </w:rPr>
        <w:tab/>
      </w:r>
      <w:r w:rsidRPr="00E31B45">
        <w:rPr>
          <w:sz w:val="24"/>
          <w:szCs w:val="24"/>
          <w:lang w:val="sv-SE"/>
        </w:rPr>
        <w:t>I den mening som avses i artikel 3 i EGF-förordningen.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7D0F5B" w14:textId="77777777" w:rsidR="00064002" w:rsidRPr="002B2C96"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E30EB" w14:textId="77777777" w:rsidR="00064002" w:rsidRPr="002B2C96"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29C194" w14:textId="77777777" w:rsidR="00064002" w:rsidRPr="002B2C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17649050">
    <w:abstractNumId w:val="9"/>
  </w:num>
  <w:num w:numId="2" w16cid:durableId="675109277">
    <w:abstractNumId w:val="9"/>
  </w:num>
  <w:num w:numId="3" w16cid:durableId="864440526">
    <w:abstractNumId w:val="7"/>
  </w:num>
  <w:num w:numId="4" w16cid:durableId="990984094">
    <w:abstractNumId w:val="7"/>
  </w:num>
  <w:num w:numId="5" w16cid:durableId="1652297161">
    <w:abstractNumId w:val="6"/>
  </w:num>
  <w:num w:numId="6" w16cid:durableId="256788449">
    <w:abstractNumId w:val="6"/>
  </w:num>
  <w:num w:numId="7" w16cid:durableId="339888957">
    <w:abstractNumId w:val="5"/>
  </w:num>
  <w:num w:numId="8" w16cid:durableId="1199465546">
    <w:abstractNumId w:val="5"/>
  </w:num>
  <w:num w:numId="9" w16cid:durableId="261033598">
    <w:abstractNumId w:val="4"/>
  </w:num>
  <w:num w:numId="10" w16cid:durableId="532353201">
    <w:abstractNumId w:val="4"/>
  </w:num>
  <w:num w:numId="11" w16cid:durableId="1629781951">
    <w:abstractNumId w:val="8"/>
  </w:num>
  <w:num w:numId="12" w16cid:durableId="1010985993">
    <w:abstractNumId w:val="8"/>
  </w:num>
  <w:num w:numId="13" w16cid:durableId="730930754">
    <w:abstractNumId w:val="3"/>
  </w:num>
  <w:num w:numId="14" w16cid:durableId="149712054">
    <w:abstractNumId w:val="3"/>
  </w:num>
  <w:num w:numId="15" w16cid:durableId="650715177">
    <w:abstractNumId w:val="2"/>
  </w:num>
  <w:num w:numId="16" w16cid:durableId="250822759">
    <w:abstractNumId w:val="2"/>
  </w:num>
  <w:num w:numId="17" w16cid:durableId="1737896596">
    <w:abstractNumId w:val="1"/>
  </w:num>
  <w:num w:numId="18" w16cid:durableId="966273507">
    <w:abstractNumId w:val="1"/>
  </w:num>
  <w:num w:numId="19" w16cid:durableId="200557613">
    <w:abstractNumId w:val="0"/>
  </w:num>
  <w:num w:numId="20" w16cid:durableId="1670018312">
    <w:abstractNumId w:val="0"/>
  </w:num>
  <w:num w:numId="21" w16cid:durableId="609514766">
    <w:abstractNumId w:val="9"/>
  </w:num>
  <w:num w:numId="22" w16cid:durableId="816343098">
    <w:abstractNumId w:val="7"/>
  </w:num>
  <w:num w:numId="23" w16cid:durableId="349336909">
    <w:abstractNumId w:val="6"/>
  </w:num>
  <w:num w:numId="24" w16cid:durableId="930620197">
    <w:abstractNumId w:val="5"/>
  </w:num>
  <w:num w:numId="25" w16cid:durableId="1860969598">
    <w:abstractNumId w:val="4"/>
  </w:num>
  <w:num w:numId="26" w16cid:durableId="886181127">
    <w:abstractNumId w:val="8"/>
  </w:num>
  <w:num w:numId="27" w16cid:durableId="638152643">
    <w:abstractNumId w:val="3"/>
  </w:num>
  <w:num w:numId="28" w16cid:durableId="375205336">
    <w:abstractNumId w:val="2"/>
  </w:num>
  <w:num w:numId="29" w16cid:durableId="268054107">
    <w:abstractNumId w:val="1"/>
  </w:num>
  <w:num w:numId="30" w16cid:durableId="762338125">
    <w:abstractNumId w:val="0"/>
  </w:num>
  <w:num w:numId="31" w16cid:durableId="1717075397">
    <w:abstractNumId w:val="9"/>
  </w:num>
  <w:num w:numId="32" w16cid:durableId="713234239">
    <w:abstractNumId w:val="7"/>
  </w:num>
  <w:num w:numId="33" w16cid:durableId="1249464572">
    <w:abstractNumId w:val="6"/>
  </w:num>
  <w:num w:numId="34" w16cid:durableId="590434165">
    <w:abstractNumId w:val="5"/>
  </w:num>
  <w:num w:numId="35" w16cid:durableId="1770007195">
    <w:abstractNumId w:val="4"/>
  </w:num>
  <w:num w:numId="36" w16cid:durableId="373501343">
    <w:abstractNumId w:val="8"/>
  </w:num>
  <w:num w:numId="37" w16cid:durableId="1901670860">
    <w:abstractNumId w:val="3"/>
  </w:num>
  <w:num w:numId="38" w16cid:durableId="1568228618">
    <w:abstractNumId w:val="2"/>
  </w:num>
  <w:num w:numId="39" w16cid:durableId="849685407">
    <w:abstractNumId w:val="1"/>
  </w:num>
  <w:num w:numId="40" w16cid:durableId="1085608087">
    <w:abstractNumId w:val="0"/>
  </w:num>
  <w:num w:numId="41" w16cid:durableId="369455166">
    <w:abstractNumId w:val="10"/>
  </w:num>
  <w:num w:numId="42" w16cid:durableId="1729919456">
    <w:abstractNumId w:val="10"/>
  </w:num>
  <w:num w:numId="43" w16cid:durableId="6835984">
    <w:abstractNumId w:val="10"/>
  </w:num>
  <w:num w:numId="44" w16cid:durableId="18931507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8/2025"/>
    <w:docVar w:name="dvlangue" w:val="SV"/>
    <w:docVar w:name="dvnumam" w:val="0"/>
    <w:docVar w:name="dvpe" w:val="776.828"/>
    <w:docVar w:name="dvrapporteur" w:val="Föredragande: "/>
    <w:docVar w:name="dvtitre" w:val="Europaparlamentets resolution av den xx xx 2025 om förslaget till Europaparlamentets och rådets beslut om utnyttjande av Europeiska fonden för justering för globaliseringseffekter för uppsagda arbetstagare efter en ansökan från Tyskland – EGF/2025/002 DE/Goodyear 2(COM(2025)0302 – C10-0182/2025 – 2025/0245(BUD))"/>
  </w:docVars>
  <w:rsids>
    <w:rsidRoot w:val="00AC338B"/>
    <w:rsid w:val="00002272"/>
    <w:rsid w:val="00007B88"/>
    <w:rsid w:val="00013180"/>
    <w:rsid w:val="00064002"/>
    <w:rsid w:val="000677B9"/>
    <w:rsid w:val="000831BA"/>
    <w:rsid w:val="000A42CC"/>
    <w:rsid w:val="000A56DF"/>
    <w:rsid w:val="000E7DD9"/>
    <w:rsid w:val="0010095E"/>
    <w:rsid w:val="00125B37"/>
    <w:rsid w:val="00136500"/>
    <w:rsid w:val="00187494"/>
    <w:rsid w:val="001F32AE"/>
    <w:rsid w:val="00205589"/>
    <w:rsid w:val="00212981"/>
    <w:rsid w:val="002767FF"/>
    <w:rsid w:val="002B18FE"/>
    <w:rsid w:val="002B2C96"/>
    <w:rsid w:val="002B5493"/>
    <w:rsid w:val="00305E59"/>
    <w:rsid w:val="00343214"/>
    <w:rsid w:val="00361C00"/>
    <w:rsid w:val="00392286"/>
    <w:rsid w:val="00395FA1"/>
    <w:rsid w:val="003A293A"/>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3179"/>
    <w:rsid w:val="005F1B17"/>
    <w:rsid w:val="006037C0"/>
    <w:rsid w:val="006631B6"/>
    <w:rsid w:val="00680577"/>
    <w:rsid w:val="006856C6"/>
    <w:rsid w:val="006C7118"/>
    <w:rsid w:val="006F74FA"/>
    <w:rsid w:val="00731ADD"/>
    <w:rsid w:val="00732EC2"/>
    <w:rsid w:val="00734777"/>
    <w:rsid w:val="00747932"/>
    <w:rsid w:val="00751A4A"/>
    <w:rsid w:val="00756632"/>
    <w:rsid w:val="00757149"/>
    <w:rsid w:val="00762C74"/>
    <w:rsid w:val="00786EC0"/>
    <w:rsid w:val="007D1690"/>
    <w:rsid w:val="007E22AD"/>
    <w:rsid w:val="00817416"/>
    <w:rsid w:val="0084111A"/>
    <w:rsid w:val="00842779"/>
    <w:rsid w:val="00865F67"/>
    <w:rsid w:val="00881A7B"/>
    <w:rsid w:val="008840E5"/>
    <w:rsid w:val="00887B3E"/>
    <w:rsid w:val="008C2AC6"/>
    <w:rsid w:val="00930C23"/>
    <w:rsid w:val="0093193B"/>
    <w:rsid w:val="009509D8"/>
    <w:rsid w:val="00950B64"/>
    <w:rsid w:val="00981893"/>
    <w:rsid w:val="009C7384"/>
    <w:rsid w:val="00A076BC"/>
    <w:rsid w:val="00A1687D"/>
    <w:rsid w:val="00A34313"/>
    <w:rsid w:val="00A43E52"/>
    <w:rsid w:val="00A4678D"/>
    <w:rsid w:val="00A778C7"/>
    <w:rsid w:val="00AB441E"/>
    <w:rsid w:val="00AB6293"/>
    <w:rsid w:val="00AC338B"/>
    <w:rsid w:val="00AE0928"/>
    <w:rsid w:val="00AF3B82"/>
    <w:rsid w:val="00B12E95"/>
    <w:rsid w:val="00B22876"/>
    <w:rsid w:val="00B558F0"/>
    <w:rsid w:val="00B71BE3"/>
    <w:rsid w:val="00BD48FE"/>
    <w:rsid w:val="00BD5EA1"/>
    <w:rsid w:val="00BD7BD8"/>
    <w:rsid w:val="00BE6ADC"/>
    <w:rsid w:val="00BF2332"/>
    <w:rsid w:val="00C05BFE"/>
    <w:rsid w:val="00C23CD4"/>
    <w:rsid w:val="00C47874"/>
    <w:rsid w:val="00C61C0C"/>
    <w:rsid w:val="00C941CB"/>
    <w:rsid w:val="00CC2357"/>
    <w:rsid w:val="00CF071A"/>
    <w:rsid w:val="00D058B8"/>
    <w:rsid w:val="00D10D05"/>
    <w:rsid w:val="00D1658D"/>
    <w:rsid w:val="00D56C11"/>
    <w:rsid w:val="00D60E58"/>
    <w:rsid w:val="00D834A0"/>
    <w:rsid w:val="00D872DF"/>
    <w:rsid w:val="00D91E21"/>
    <w:rsid w:val="00DA3A34"/>
    <w:rsid w:val="00DA7FCD"/>
    <w:rsid w:val="00E31B45"/>
    <w:rsid w:val="00E365E1"/>
    <w:rsid w:val="00E445D7"/>
    <w:rsid w:val="00E820A4"/>
    <w:rsid w:val="00EB006A"/>
    <w:rsid w:val="00EB4772"/>
    <w:rsid w:val="00ED169E"/>
    <w:rsid w:val="00ED4235"/>
    <w:rsid w:val="00F04346"/>
    <w:rsid w:val="00F075DC"/>
    <w:rsid w:val="00F12D99"/>
    <w:rsid w:val="00F149E9"/>
    <w:rsid w:val="00F5134D"/>
    <w:rsid w:val="00F74202"/>
    <w:rsid w:val="00F87713"/>
    <w:rsid w:val="00FB4360"/>
    <w:rsid w:val="00FB5616"/>
    <w:rsid w:val="00FC5238"/>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6D6A2C"/>
  <w15:chartTrackingRefBased/>
  <w15:docId w15:val="{42067B27-EBF4-4593-BCC4-8AB5B2EFB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732EC2"/>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732EC2"/>
    <w:pPr>
      <w:keepNext/>
      <w:spacing w:after="480"/>
      <w:jc w:val="center"/>
    </w:pPr>
    <w:rPr>
      <w:rFonts w:ascii="Arial" w:hAnsi="Arial" w:cs="Arial"/>
      <w:b/>
    </w:rPr>
  </w:style>
  <w:style w:type="paragraph" w:customStyle="1" w:styleId="NormalHanging12a">
    <w:name w:val="NormalHanging12a"/>
    <w:basedOn w:val="Normal"/>
    <w:link w:val="NormalHanging12aChar"/>
    <w:rsid w:val="00732EC2"/>
    <w:pPr>
      <w:spacing w:after="240"/>
      <w:ind w:left="567" w:hanging="567"/>
    </w:pPr>
  </w:style>
  <w:style w:type="paragraph" w:styleId="Header">
    <w:name w:val="header"/>
    <w:basedOn w:val="Normal"/>
    <w:link w:val="HeaderChar"/>
    <w:rsid w:val="00732EC2"/>
    <w:pPr>
      <w:tabs>
        <w:tab w:val="center" w:pos="4513"/>
        <w:tab w:val="right" w:pos="9026"/>
      </w:tabs>
    </w:pPr>
  </w:style>
  <w:style w:type="character" w:customStyle="1" w:styleId="HeaderChar">
    <w:name w:val="Header Char"/>
    <w:basedOn w:val="DefaultParagraphFont"/>
    <w:link w:val="Header"/>
    <w:rsid w:val="00732EC2"/>
    <w:rPr>
      <w:sz w:val="24"/>
      <w:lang w:val="sv-SE"/>
    </w:rPr>
  </w:style>
  <w:style w:type="paragraph" w:customStyle="1" w:styleId="NormalBold24a">
    <w:name w:val="NormalBold24a"/>
    <w:basedOn w:val="Normal"/>
    <w:rsid w:val="00732EC2"/>
    <w:pPr>
      <w:spacing w:after="480"/>
    </w:pPr>
    <w:rPr>
      <w:b/>
      <w:bCs/>
    </w:rPr>
  </w:style>
  <w:style w:type="paragraph" w:customStyle="1" w:styleId="EPFooter">
    <w:name w:val="EPFooter"/>
    <w:basedOn w:val="Normal"/>
    <w:rsid w:val="00732EC2"/>
    <w:pPr>
      <w:tabs>
        <w:tab w:val="center" w:pos="4535"/>
        <w:tab w:val="right" w:pos="9071"/>
      </w:tabs>
      <w:spacing w:before="240" w:after="240"/>
    </w:pPr>
    <w:rPr>
      <w:color w:val="010000"/>
      <w:sz w:val="22"/>
    </w:rPr>
  </w:style>
  <w:style w:type="paragraph" w:customStyle="1" w:styleId="EPComma">
    <w:name w:val="EPComma"/>
    <w:basedOn w:val="Normal"/>
    <w:rsid w:val="00732EC2"/>
    <w:pPr>
      <w:spacing w:before="480" w:after="240"/>
    </w:pPr>
  </w:style>
  <w:style w:type="character" w:styleId="Hyperlink">
    <w:name w:val="Hyperlink"/>
    <w:basedOn w:val="DefaultParagraphFont"/>
    <w:rsid w:val="00732EC2"/>
    <w:rPr>
      <w:color w:val="0563C1" w:themeColor="hyperlink"/>
      <w:u w:val="single"/>
    </w:rPr>
  </w:style>
  <w:style w:type="character" w:customStyle="1" w:styleId="NormalHanging12aChar">
    <w:name w:val="NormalHanging12a Char"/>
    <w:basedOn w:val="DefaultParagraphFont"/>
    <w:link w:val="NormalHanging12a"/>
    <w:locked/>
    <w:rsid w:val="00732EC2"/>
    <w:rPr>
      <w:sz w:val="24"/>
      <w:lang w:val="sv-SE"/>
    </w:rPr>
  </w:style>
  <w:style w:type="character" w:styleId="Emphasis">
    <w:name w:val="Emphasis"/>
    <w:basedOn w:val="DefaultParagraphFont"/>
    <w:uiPriority w:val="20"/>
    <w:qFormat/>
    <w:rsid w:val="00732EC2"/>
    <w:rPr>
      <w:i/>
      <w:iCs/>
    </w:rPr>
  </w:style>
  <w:style w:type="paragraph" w:customStyle="1" w:styleId="Institutionquisigne">
    <w:name w:val="Institution qui signe"/>
    <w:basedOn w:val="Normal"/>
    <w:next w:val="Normal"/>
    <w:rsid w:val="00732EC2"/>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732EC2"/>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732EC2"/>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732EC2"/>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732EC2"/>
    <w:pPr>
      <w:keepNext/>
      <w:widowControl/>
      <w:spacing w:before="600" w:after="120"/>
      <w:jc w:val="both"/>
    </w:pPr>
    <w:rPr>
      <w:rFonts w:eastAsiaTheme="minorHAnsi"/>
      <w:szCs w:val="22"/>
      <w:lang w:eastAsia="en-US"/>
    </w:rPr>
  </w:style>
  <w:style w:type="paragraph" w:customStyle="1" w:styleId="ManualConsidrant">
    <w:name w:val="Manual Considérant"/>
    <w:basedOn w:val="Normal"/>
    <w:rsid w:val="00732EC2"/>
    <w:pPr>
      <w:widowControl/>
      <w:spacing w:before="120" w:after="120"/>
      <w:ind w:left="709" w:hanging="709"/>
      <w:jc w:val="both"/>
    </w:pPr>
    <w:rPr>
      <w:rFonts w:eastAsiaTheme="minorEastAsia"/>
      <w:szCs w:val="22"/>
      <w:lang w:eastAsia="en-US"/>
    </w:rPr>
  </w:style>
  <w:style w:type="paragraph" w:customStyle="1" w:styleId="Personnequisigne">
    <w:name w:val="Personne qui signe"/>
    <w:basedOn w:val="Normal"/>
    <w:next w:val="Institutionquisigne"/>
    <w:rsid w:val="00732EC2"/>
    <w:pPr>
      <w:widowControl/>
      <w:tabs>
        <w:tab w:val="left" w:pos="5669"/>
      </w:tabs>
      <w:spacing w:line="360" w:lineRule="auto"/>
    </w:pPr>
    <w:rPr>
      <w:rFonts w:eastAsiaTheme="minorHAnsi"/>
      <w:i/>
      <w:szCs w:val="22"/>
      <w:lang w:eastAsia="sv-SE" w:bidi="sv-SE"/>
    </w:rPr>
  </w:style>
  <w:style w:type="character" w:customStyle="1" w:styleId="PageHeadingChar">
    <w:name w:val="PageHeading Char"/>
    <w:basedOn w:val="DefaultParagraphFont"/>
    <w:link w:val="PageHeading"/>
    <w:rsid w:val="00732EC2"/>
    <w:rPr>
      <w:rFonts w:ascii="Arial" w:hAnsi="Arial" w:cs="Arial"/>
      <w:b/>
      <w:sz w:val="24"/>
      <w:lang w:val="sv-SE"/>
    </w:rPr>
  </w:style>
  <w:style w:type="paragraph" w:styleId="Revision">
    <w:name w:val="Revision"/>
    <w:hidden/>
    <w:uiPriority w:val="99"/>
    <w:semiHidden/>
    <w:rsid w:val="005E3179"/>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65/oj"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21/691/oj" TargetMode="External"/><Relationship Id="rId4" Type="http://schemas.openxmlformats.org/officeDocument/2006/relationships/hyperlink" Target="http://data.europa.eu/eli/agree_interinstit/20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1489</Words>
  <Characters>9760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HODNE Catherine</cp:lastModifiedBy>
  <cp:revision>2</cp:revision>
  <cp:lastPrinted>2004-11-19T15:42:00Z</cp:lastPrinted>
  <dcterms:created xsi:type="dcterms:W3CDTF">2025-12-16T13:49:00Z</dcterms:created>
  <dcterms:modified xsi:type="dcterms:W3CDTF">2025-12-16T13:49:00Z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P10_TA(2025)0219_</vt:lpwstr>
  </property>
  <property fmtid="{D5CDD505-2E9C-101B-9397-08002B2CF9AE}" pid="4" name="&lt;Type&gt;">
    <vt:lpwstr>RR</vt:lpwstr>
  </property>
</Properties>
</file>