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2557E" w14:paraId="7D63A56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FF7236" w14:textId="77777777" w:rsidR="00751A4A" w:rsidRPr="00D2557E" w:rsidRDefault="003E256C" w:rsidP="0010095E">
            <w:pPr>
              <w:pStyle w:val="EPName"/>
            </w:pPr>
            <w:r w:rsidRPr="00D2557E">
              <w:t>Evropský parlament</w:t>
            </w:r>
          </w:p>
          <w:p w14:paraId="66CD65F2" w14:textId="77777777" w:rsidR="00751A4A" w:rsidRPr="00D2557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2557E">
              <w:t>2024</w:t>
            </w:r>
            <w:r w:rsidR="00817416" w:rsidRPr="00D2557E">
              <w:t>-202</w:t>
            </w:r>
            <w:r w:rsidRPr="00D2557E">
              <w:t>9</w:t>
            </w:r>
          </w:p>
        </w:tc>
        <w:tc>
          <w:tcPr>
            <w:tcW w:w="2268" w:type="dxa"/>
            <w:shd w:val="clear" w:color="auto" w:fill="auto"/>
          </w:tcPr>
          <w:p w14:paraId="70CCD711" w14:textId="77777777" w:rsidR="00751A4A" w:rsidRPr="00D2557E" w:rsidRDefault="00187494" w:rsidP="0010095E">
            <w:pPr>
              <w:pStyle w:val="EPLogo"/>
            </w:pPr>
            <w:r w:rsidRPr="00D2557E">
              <w:rPr>
                <w:noProof/>
                <w:lang w:eastAsia="ja-JP"/>
              </w:rPr>
              <w:drawing>
                <wp:inline distT="0" distB="0" distL="0" distR="0" wp14:anchorId="38965146" wp14:editId="79B8AB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CE4958" w14:textId="77777777" w:rsidR="00D058B8" w:rsidRPr="00D2557E" w:rsidRDefault="00D058B8" w:rsidP="004C5D52">
      <w:pPr>
        <w:pStyle w:val="LineTop"/>
      </w:pPr>
    </w:p>
    <w:p w14:paraId="6EE0B3D2" w14:textId="77777777" w:rsidR="00680577" w:rsidRPr="00D2557E" w:rsidRDefault="003E256C" w:rsidP="00680577">
      <w:pPr>
        <w:pStyle w:val="EPBodyTA1"/>
      </w:pPr>
      <w:r w:rsidRPr="00D2557E">
        <w:t>PŘIJATÉ TEXTY</w:t>
      </w:r>
    </w:p>
    <w:p w14:paraId="3D5F6D0F" w14:textId="77777777" w:rsidR="00D058B8" w:rsidRPr="00D2557E" w:rsidRDefault="00D058B8" w:rsidP="00D058B8">
      <w:pPr>
        <w:pStyle w:val="LineBottom"/>
      </w:pPr>
    </w:p>
    <w:p w14:paraId="10E7B656" w14:textId="26A3BCD3" w:rsidR="003E256C" w:rsidRPr="00D2557E" w:rsidRDefault="003E256C" w:rsidP="003E256C">
      <w:pPr>
        <w:pStyle w:val="ATHeading1"/>
      </w:pPr>
      <w:bookmarkStart w:id="0" w:name="TANumber"/>
      <w:r w:rsidRPr="00D2557E">
        <w:t>P10_</w:t>
      </w:r>
      <w:proofErr w:type="gramStart"/>
      <w:r w:rsidRPr="00D2557E">
        <w:t>TA(</w:t>
      </w:r>
      <w:proofErr w:type="gramEnd"/>
      <w:r w:rsidRPr="00D2557E">
        <w:t>2025)0</w:t>
      </w:r>
      <w:r w:rsidR="00A97FE0">
        <w:t>220</w:t>
      </w:r>
      <w:bookmarkEnd w:id="0"/>
    </w:p>
    <w:p w14:paraId="244ACB93" w14:textId="529C86B4" w:rsidR="003E256C" w:rsidRPr="00D2557E" w:rsidRDefault="003E256C" w:rsidP="003E256C">
      <w:pPr>
        <w:pStyle w:val="ATHeading2"/>
      </w:pPr>
      <w:bookmarkStart w:id="1" w:name="title"/>
      <w:bookmarkStart w:id="2" w:name="_Hlk210823543"/>
      <w:r w:rsidRPr="00D2557E">
        <w:t>Uvolnění prostředků z Evropského fondu pro přizpůsobení se globalizaci</w:t>
      </w:r>
      <w:r w:rsidR="00E61F80">
        <w:t xml:space="preserve"> na pomoc propuštěným pracovníkům na základě</w:t>
      </w:r>
      <w:r w:rsidRPr="00D2557E">
        <w:t xml:space="preserve"> žádost</w:t>
      </w:r>
      <w:r w:rsidR="00E61F80">
        <w:t>i</w:t>
      </w:r>
      <w:r w:rsidRPr="00D2557E">
        <w:t xml:space="preserve"> </w:t>
      </w:r>
      <w:proofErr w:type="gramStart"/>
      <w:r w:rsidR="00E61F80">
        <w:t xml:space="preserve">Belgie - </w:t>
      </w:r>
      <w:r w:rsidRPr="00D2557E">
        <w:t>EGF</w:t>
      </w:r>
      <w:proofErr w:type="gramEnd"/>
      <w:r w:rsidRPr="00D2557E">
        <w:t>/2025/001 BE/</w:t>
      </w:r>
      <w:proofErr w:type="spellStart"/>
      <w:r w:rsidRPr="00D2557E">
        <w:t>BelGaN</w:t>
      </w:r>
      <w:proofErr w:type="spellEnd"/>
      <w:r w:rsidRPr="00D2557E">
        <w:t xml:space="preserve"> </w:t>
      </w:r>
      <w:bookmarkEnd w:id="1"/>
    </w:p>
    <w:bookmarkEnd w:id="2"/>
    <w:p w14:paraId="64708112" w14:textId="77777777" w:rsidR="003E256C" w:rsidRPr="00D2557E" w:rsidRDefault="003E256C" w:rsidP="003E256C">
      <w:pPr>
        <w:rPr>
          <w:i/>
          <w:vanish/>
        </w:rPr>
      </w:pPr>
      <w:r w:rsidRPr="00D2557E">
        <w:rPr>
          <w:i/>
        </w:rPr>
        <w:fldChar w:fldCharType="begin"/>
      </w:r>
      <w:r w:rsidRPr="00D2557E">
        <w:rPr>
          <w:i/>
        </w:rPr>
        <w:instrText xml:space="preserve"> TC"(</w:instrText>
      </w:r>
      <w:bookmarkStart w:id="3" w:name="DocNumber"/>
      <w:r w:rsidRPr="00D2557E">
        <w:rPr>
          <w:i/>
        </w:rPr>
        <w:instrText>A10-0163/2025</w:instrText>
      </w:r>
      <w:bookmarkEnd w:id="3"/>
      <w:r w:rsidRPr="00D2557E">
        <w:rPr>
          <w:i/>
        </w:rPr>
        <w:instrText xml:space="preserve"> - Zpravodaj: Bogdan Rzońca)"\l3 \n&gt; \* MERGEFORMAT </w:instrText>
      </w:r>
      <w:r w:rsidRPr="00D2557E">
        <w:rPr>
          <w:i/>
        </w:rPr>
        <w:fldChar w:fldCharType="end"/>
      </w:r>
    </w:p>
    <w:p w14:paraId="4B1471FF" w14:textId="77777777" w:rsidR="003E256C" w:rsidRPr="00D2557E" w:rsidRDefault="003E256C" w:rsidP="003E256C">
      <w:pPr>
        <w:rPr>
          <w:vanish/>
        </w:rPr>
      </w:pPr>
      <w:bookmarkStart w:id="4" w:name="Commission"/>
      <w:r w:rsidRPr="00D2557E">
        <w:rPr>
          <w:vanish/>
        </w:rPr>
        <w:t>Rozpočtový výbor</w:t>
      </w:r>
      <w:bookmarkEnd w:id="4"/>
    </w:p>
    <w:p w14:paraId="6A661109" w14:textId="77777777" w:rsidR="003E256C" w:rsidRPr="00D2557E" w:rsidRDefault="003E256C" w:rsidP="003E256C">
      <w:pPr>
        <w:rPr>
          <w:vanish/>
        </w:rPr>
      </w:pPr>
      <w:bookmarkStart w:id="5" w:name="PE"/>
      <w:r w:rsidRPr="00D2557E">
        <w:rPr>
          <w:vanish/>
        </w:rPr>
        <w:t>PE776.825</w:t>
      </w:r>
      <w:bookmarkEnd w:id="5"/>
    </w:p>
    <w:p w14:paraId="68A87875" w14:textId="2323B29F" w:rsidR="003E256C" w:rsidRDefault="003E256C" w:rsidP="003E256C">
      <w:pPr>
        <w:pStyle w:val="ATHeading3"/>
      </w:pPr>
      <w:bookmarkStart w:id="6" w:name="Sujet"/>
      <w:r w:rsidRPr="00D2557E">
        <w:t>Usnesení Evropského parlamentu ze dne</w:t>
      </w:r>
      <w:r w:rsidR="00701907">
        <w:t xml:space="preserve"> </w:t>
      </w:r>
      <w:r w:rsidR="00DE3FCE">
        <w:t>8</w:t>
      </w:r>
      <w:r w:rsidR="00701907">
        <w:t>. října</w:t>
      </w:r>
      <w:r w:rsidRPr="00D2557E">
        <w:t xml:space="preserve"> 2025 o návrhu rozhodnutí Evropského parlamentu a Rady o uvolnění prostředků z Evropského fondu pro přizpůsobení se globalizaci na pomoc propuštěným pracovníkům na základě žádosti Belgie – EGF/2025/001 BE/</w:t>
      </w:r>
      <w:proofErr w:type="spellStart"/>
      <w:r w:rsidRPr="00D2557E">
        <w:t>BelGaN</w:t>
      </w:r>
      <w:bookmarkEnd w:id="6"/>
      <w:proofErr w:type="spellEnd"/>
      <w:r w:rsidRPr="00D2557E">
        <w:t xml:space="preserve"> </w:t>
      </w:r>
      <w:bookmarkStart w:id="7" w:name="References"/>
      <w:r w:rsidRPr="00D2557E">
        <w:t>(</w:t>
      </w:r>
      <w:proofErr w:type="gramStart"/>
      <w:r w:rsidRPr="00D2557E">
        <w:t>COM(</w:t>
      </w:r>
      <w:proofErr w:type="gramEnd"/>
      <w:r w:rsidRPr="00D2557E">
        <w:t>2025)0157 – C10-0188/2025 – 2025/0198(BUD))</w:t>
      </w:r>
      <w:bookmarkEnd w:id="7"/>
    </w:p>
    <w:p w14:paraId="2C640566" w14:textId="77777777" w:rsidR="00714CF4" w:rsidRPr="00D2557E" w:rsidRDefault="00714CF4" w:rsidP="00714CF4">
      <w:pPr>
        <w:pStyle w:val="EPComma"/>
        <w:rPr>
          <w:noProof/>
        </w:rPr>
      </w:pPr>
      <w:r w:rsidRPr="00D2557E">
        <w:rPr>
          <w:i/>
        </w:rPr>
        <w:t>Evropský parlament</w:t>
      </w:r>
      <w:r w:rsidRPr="00D2557E">
        <w:t>,</w:t>
      </w:r>
    </w:p>
    <w:p w14:paraId="142FD2C7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–</w:t>
      </w:r>
      <w:r w:rsidRPr="00D2557E">
        <w:tab/>
        <w:t>s ohledem na návrh Komise předložený Evropskému parlamentu a Radě (</w:t>
      </w:r>
      <w:proofErr w:type="gramStart"/>
      <w:r w:rsidRPr="00D2557E">
        <w:t>COM(</w:t>
      </w:r>
      <w:proofErr w:type="gramEnd"/>
      <w:r w:rsidRPr="00D2557E">
        <w:t>2025)0157 – C10</w:t>
      </w:r>
      <w:r w:rsidRPr="00D2557E">
        <w:noBreakHyphen/>
        <w:t>0188/2025),</w:t>
      </w:r>
    </w:p>
    <w:p w14:paraId="09B5E307" w14:textId="2C309914" w:rsidR="00714CF4" w:rsidRPr="00D2557E" w:rsidRDefault="00714CF4" w:rsidP="00714CF4">
      <w:pPr>
        <w:pStyle w:val="NormalHanging12a"/>
        <w:rPr>
          <w:noProof/>
        </w:rPr>
      </w:pPr>
      <w:r w:rsidRPr="00D2557E">
        <w:t>–</w:t>
      </w:r>
      <w:r w:rsidRPr="00D2557E">
        <w:tab/>
        <w:t>s ohledem na nařízení Evropského parlamentu a Rady (EU) 2021/691 ze dne 28. dubna 2021 o Evropském fondu pro přizpůsobení se globalizaci na pomoc propuštěným pracovníkům (EFG) a o zrušení nařízení (E</w:t>
      </w:r>
      <w:r w:rsidR="000C0275">
        <w:t>U</w:t>
      </w:r>
      <w:r w:rsidRPr="00D2557E">
        <w:t>) č. 1309/2013</w:t>
      </w:r>
      <w:r w:rsidRPr="00D2557E">
        <w:rPr>
          <w:rStyle w:val="FootnoteReference"/>
        </w:rPr>
        <w:footnoteReference w:id="1"/>
      </w:r>
      <w:r w:rsidR="00E61F80">
        <w:t xml:space="preserve"> (dále jen „nařízení o EFG“)</w:t>
      </w:r>
      <w:r w:rsidRPr="00D2557E">
        <w:t>,</w:t>
      </w:r>
    </w:p>
    <w:p w14:paraId="21D34901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–</w:t>
      </w:r>
      <w:r w:rsidRPr="00D2557E">
        <w:tab/>
        <w:t>s ohledem na nařízení Rady (EU, Euratom) 2020/2093 ze dne 17. prosince 2020, kterým se stanoví víceletý finanční rámec na období 2021–2027</w:t>
      </w:r>
      <w:r w:rsidRPr="00D2557E">
        <w:rPr>
          <w:rStyle w:val="FootnoteReference"/>
          <w:noProof/>
        </w:rPr>
        <w:footnoteReference w:id="2"/>
      </w:r>
      <w:r w:rsidRPr="00D2557E">
        <w:t xml:space="preserve"> ve znění nařízení (EU, Euratom) 2024/765</w:t>
      </w:r>
      <w:r w:rsidRPr="00D2557E">
        <w:rPr>
          <w:rStyle w:val="FootnoteReference"/>
          <w:noProof/>
        </w:rPr>
        <w:footnoteReference w:id="3"/>
      </w:r>
      <w:r w:rsidRPr="00D2557E">
        <w:t>, a zejména na článek 8 tohoto nařízení,</w:t>
      </w:r>
    </w:p>
    <w:p w14:paraId="41A46D73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–</w:t>
      </w:r>
      <w:r w:rsidRPr="00D2557E">
        <w:tab/>
        <w:t>s ohledem na interinstitucionální dohodu ze dne 16. prosince 2020 mezi Evropským parlamentem, Radou Evropské unie a Evropskou komisí o rozpočtové kázni, spolupráci v rozpočtových záležitostech a řádném finančním řízení, jakož i o nových vlastních zdrojích, včetně plánu zavádění nových vlastních zdrojů</w:t>
      </w:r>
      <w:r w:rsidRPr="00D2557E">
        <w:rPr>
          <w:rStyle w:val="FootnoteReference"/>
          <w:noProof/>
        </w:rPr>
        <w:footnoteReference w:id="4"/>
      </w:r>
      <w:r w:rsidRPr="00D2557E">
        <w:t>, a zejména na článek 12 této dohody,</w:t>
      </w:r>
    </w:p>
    <w:p w14:paraId="5C07B68F" w14:textId="77777777" w:rsidR="00714CF4" w:rsidRPr="00D2557E" w:rsidRDefault="00714CF4" w:rsidP="00714CF4">
      <w:pPr>
        <w:pStyle w:val="NormalHanging12a"/>
      </w:pPr>
      <w:r w:rsidRPr="00D2557E">
        <w:t>–</w:t>
      </w:r>
      <w:r w:rsidRPr="00D2557E">
        <w:tab/>
        <w:t>s ohledem na stanovisko Výboru pro zaměstnanost a sociální věci,</w:t>
      </w:r>
    </w:p>
    <w:p w14:paraId="2EF3675D" w14:textId="77777777" w:rsidR="00714CF4" w:rsidRPr="00D2557E" w:rsidRDefault="00714CF4" w:rsidP="00714CF4">
      <w:pPr>
        <w:pStyle w:val="NormalHanging12a"/>
      </w:pPr>
      <w:r w:rsidRPr="00D2557E">
        <w:lastRenderedPageBreak/>
        <w:t>–</w:t>
      </w:r>
      <w:r w:rsidRPr="00D2557E">
        <w:tab/>
        <w:t>s ohledem na zprávu Rozpočtového výboru (A10</w:t>
      </w:r>
      <w:r w:rsidRPr="00D2557E">
        <w:noBreakHyphen/>
        <w:t>0163/2025),</w:t>
      </w:r>
    </w:p>
    <w:p w14:paraId="4AD12557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A.</w:t>
      </w:r>
      <w:r w:rsidRPr="00D2557E">
        <w:tab/>
        <w:t>vzhledem k tomu, že Unie vytvořila legislativní a rozpočtové nástroje, aby mohla poskytovat dodatečnou podporu pracovníkům, kteří jsou postiženi důsledky významných změn ve struktuře světového obchodu nebo důsledky celosvětové finanční a hospodářské krize, a pomáhat jim při opětovném začlenění na trh práce; vzhledem k tomu, že tato pomoc je poskytována v podobě finanční podpory pracovníkům a podnikům, pro které pracovali;</w:t>
      </w:r>
    </w:p>
    <w:p w14:paraId="54924A2E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 xml:space="preserve">B. </w:t>
      </w:r>
      <w:r w:rsidRPr="00D2557E">
        <w:tab/>
        <w:t>vzhledem k tomu, že Belgie předložila žádost EGF/2025/001 BE/</w:t>
      </w:r>
      <w:proofErr w:type="spellStart"/>
      <w:r w:rsidRPr="00D2557E">
        <w:t>BelGaN</w:t>
      </w:r>
      <w:proofErr w:type="spellEnd"/>
      <w:r w:rsidRPr="00D2557E">
        <w:t xml:space="preserve"> o finanční příspěvek z Evropského fondu pro přizpůsobení se globalizaci (EFG) v souvislosti s propuštěním 417 pracovníků v hospodářském odvětví, které je v rámci klasifikace NACE Revize 2 řazeno do oddílu 26 (Výroba počítačových, elektronických a optických výrobků), v provincii Východní Flandry (BE23) v rámci čtyřměsíčního referenčního období pro podání žádosti, které trvalo od 31. července 2024 do 30. listopadu 2024; </w:t>
      </w:r>
    </w:p>
    <w:p w14:paraId="0B349CCF" w14:textId="2433D475" w:rsidR="00714CF4" w:rsidRPr="00D2557E" w:rsidRDefault="00714CF4" w:rsidP="00714CF4">
      <w:pPr>
        <w:pStyle w:val="NormalHanging12a"/>
        <w:rPr>
          <w:noProof/>
        </w:rPr>
      </w:pPr>
      <w:r w:rsidRPr="00D2557E">
        <w:t xml:space="preserve">C. </w:t>
      </w:r>
      <w:r w:rsidRPr="00D2557E">
        <w:tab/>
        <w:t xml:space="preserve">vzhledem k tomu, že žádost je založena na kritériích pro pomoc stanovených v čl. 4 odst. 2 písm. a) nařízení o EFG, podle kterých se má ve členském státě jednat o takové ukončení činnosti, které se týká nejméně 200 propuštěných pracovníků nebo osob samostatně výdělečně činných během referenčního období v délce </w:t>
      </w:r>
      <w:r w:rsidR="00E61F80">
        <w:t>čtyř</w:t>
      </w:r>
      <w:r w:rsidR="0051673E" w:rsidRPr="00D2557E">
        <w:t xml:space="preserve"> </w:t>
      </w:r>
      <w:r w:rsidRPr="00D2557E">
        <w:t>měsíců v jednom podniku v členském státě, včetně případů, kdy se toto ukončení činnosti týká jeho dodavatelů nebo výrobců, kteří jsou jeho odběrateli;</w:t>
      </w:r>
    </w:p>
    <w:p w14:paraId="7C70595C" w14:textId="736A52C9" w:rsidR="00714CF4" w:rsidRPr="00D2557E" w:rsidRDefault="00714CF4" w:rsidP="00714CF4">
      <w:pPr>
        <w:pStyle w:val="NormalHanging12a"/>
        <w:rPr>
          <w:noProof/>
        </w:rPr>
      </w:pPr>
      <w:bookmarkStart w:id="8" w:name="_Hlk207698597"/>
      <w:r w:rsidRPr="00D2557E">
        <w:t xml:space="preserve">D. </w:t>
      </w:r>
      <w:r w:rsidRPr="00D2557E">
        <w:tab/>
        <w:t xml:space="preserve">vzhledem k tomu, že ruská útočná válka proti Ukrajině a rostoucí inflace měly dopad na náklady na energii, materiály a pracovní sílu a zvýšily tlak na marži </w:t>
      </w:r>
      <w:r w:rsidR="0051673E">
        <w:t xml:space="preserve">společnosti </w:t>
      </w:r>
      <w:proofErr w:type="spellStart"/>
      <w:r w:rsidR="0051673E" w:rsidRPr="0051673E">
        <w:t>BelGaN</w:t>
      </w:r>
      <w:proofErr w:type="spellEnd"/>
      <w:r w:rsidRPr="00D2557E">
        <w:t xml:space="preserve">; </w:t>
      </w:r>
      <w:bookmarkEnd w:id="8"/>
    </w:p>
    <w:p w14:paraId="7D21060B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 xml:space="preserve">E. </w:t>
      </w:r>
      <w:r w:rsidRPr="00D2557E">
        <w:tab/>
        <w:t xml:space="preserve">vzhledem k tomu, že společnost </w:t>
      </w:r>
      <w:proofErr w:type="spellStart"/>
      <w:r w:rsidRPr="00D2557E">
        <w:t>BelGaN</w:t>
      </w:r>
      <w:proofErr w:type="spellEnd"/>
      <w:r w:rsidRPr="00D2557E">
        <w:t xml:space="preserve"> se specializovala na výrobu polovodičů pro automobilový průmysl; vzhledem k tomu, že evropský automobilový a dodavatelský průmysl čelí nebývalému tlaku v důsledku vnějších i vnitřních problémů, jako je narušení hospodářské soutěže a vysoké náklady na energii;</w:t>
      </w:r>
    </w:p>
    <w:p w14:paraId="76F1DC4A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F.</w:t>
      </w:r>
      <w:r w:rsidRPr="00D2557E">
        <w:tab/>
        <w:t xml:space="preserve">vzhledem k tomu, že společnost zaznamenala významný pokles ziskovosti kvůli omezením peněžních toků v důsledku přechodu od křemíkových čipů na technologii založenou na nitridu </w:t>
      </w:r>
      <w:proofErr w:type="spellStart"/>
      <w:r w:rsidRPr="00D2557E">
        <w:t>gallitém</w:t>
      </w:r>
      <w:proofErr w:type="spellEnd"/>
      <w:r w:rsidRPr="00D2557E">
        <w:t xml:space="preserve"> (</w:t>
      </w:r>
      <w:proofErr w:type="spellStart"/>
      <w:r w:rsidRPr="00D2557E">
        <w:t>GaN</w:t>
      </w:r>
      <w:proofErr w:type="spellEnd"/>
      <w:r w:rsidRPr="00D2557E">
        <w:t xml:space="preserve">), kterému během přechodného období bránily vysoké výrobní náklady a nedostatečné investice; </w:t>
      </w:r>
    </w:p>
    <w:p w14:paraId="379CEC4F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G.</w:t>
      </w:r>
      <w:r w:rsidRPr="00D2557E">
        <w:tab/>
        <w:t xml:space="preserve">vzhledem k tomu, že společnost </w:t>
      </w:r>
      <w:proofErr w:type="spellStart"/>
      <w:r w:rsidRPr="00D2557E">
        <w:t>BelGaN</w:t>
      </w:r>
      <w:proofErr w:type="spellEnd"/>
      <w:r w:rsidRPr="00D2557E">
        <w:t xml:space="preserve"> podala dne 30. července 2024 návrh na vyhlášení úpadku;</w:t>
      </w:r>
    </w:p>
    <w:p w14:paraId="1A225C0F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H.</w:t>
      </w:r>
      <w:r w:rsidRPr="00D2557E">
        <w:tab/>
        <w:t>vzhledem k tomu, že Vlámský úřad práce a odborné přípravy (VDAB</w:t>
      </w:r>
      <w:r w:rsidRPr="00D2557E">
        <w:rPr>
          <w:rStyle w:val="FootnoteReference"/>
          <w:noProof/>
        </w:rPr>
        <w:footnoteReference w:id="5"/>
      </w:r>
      <w:r w:rsidRPr="00D2557E">
        <w:t>) zajišťuje vnitrostátní předběžné financování a spolufinancování opatření;</w:t>
      </w:r>
    </w:p>
    <w:p w14:paraId="33325842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I.</w:t>
      </w:r>
      <w:r w:rsidRPr="00D2557E">
        <w:tab/>
        <w:t>vzhledem k tomu, že podnik v souladu s belgickými právními předpisy dodržoval povinný postup informování zástupců zaměstnanců a konzultací s nimi; vzhledem k tomu, že požadavek na zřízení oddělení zaměstnanosti, jehož účelem je pracovníkům propuštěným v souvislosti s hromadným propouštěním poskytovat služby související s přeřazením do jiného zaměstnání (</w:t>
      </w:r>
      <w:proofErr w:type="spellStart"/>
      <w:r w:rsidRPr="00D2557E">
        <w:t>outplacement</w:t>
      </w:r>
      <w:proofErr w:type="spellEnd"/>
      <w:r w:rsidRPr="00D2557E">
        <w:t xml:space="preserve">), se v případě úpadku neuplatňuje a tyto služby tak poskytl úřad VDAB. </w:t>
      </w:r>
    </w:p>
    <w:p w14:paraId="2D70A748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lastRenderedPageBreak/>
        <w:t>J.</w:t>
      </w:r>
      <w:r w:rsidRPr="00D2557E">
        <w:tab/>
        <w:t>vzhledem k tomu, že finanční příspěvky z EFG by měly primárně směřovat na aktivní opatření politiky trhu práce a individualizované služby, jejichž cílem je rychle začlenit příjemce pomoci do důstojného a udržitelného zaměstnání v původním nebo jiném odvětví činnosti a zároveň je připravit na ekologičtější a více digitalizované evropské hospodářství;</w:t>
      </w:r>
    </w:p>
    <w:p w14:paraId="55CE3DB0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K.</w:t>
      </w:r>
      <w:r w:rsidRPr="00D2557E">
        <w:tab/>
        <w:t xml:space="preserve">vzhledem k tomu, že EFG </w:t>
      </w:r>
      <w:proofErr w:type="gramStart"/>
      <w:r w:rsidRPr="00D2557E">
        <w:t>nepřekročí</w:t>
      </w:r>
      <w:proofErr w:type="gramEnd"/>
      <w:r w:rsidRPr="00D2557E">
        <w:t xml:space="preserve"> maximální roční částku 30 milionů EUR (v cenách roku 2018), jak je stanoveno v článku 8 nařízení Rady (EU, Euratom) 2020/2093 ve znění nařízení (EU, Euratom) 2024/765;</w:t>
      </w:r>
    </w:p>
    <w:p w14:paraId="64215C2E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1.</w:t>
      </w:r>
      <w:r w:rsidRPr="00D2557E">
        <w:tab/>
        <w:t>souhlasí s Komisí, že podmínky stanovené v čl. 4 odst. 2 písm. a) nařízení o EFG byly splněny, a Belgie má proto podle uvedeného nařízení nárok na finanční příspěvek ve výši 931 690 EUR, což představuje 85 % celkových nákladů, které činí 1 096 107 EUR a zahrnují výdaje na individualizované služby ve výši 1 052 607 EUR a výdaje na přípravné, řídící, informační a propagační, kontrolní a vykazovací činnosti ve výši 43 500 EUR;</w:t>
      </w:r>
    </w:p>
    <w:p w14:paraId="6EDA4958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 xml:space="preserve">2. </w:t>
      </w:r>
      <w:r w:rsidRPr="00D2557E">
        <w:tab/>
        <w:t>konstatuje, že belgické orgány podaly žádost dne 21. února 2025 a že poté, co Belgie poskytla další informace, dokončila Komise dne 7. července 2025 své posouzení, tedy téměř o pět měsíců později, a dne 26. srpna 2025 o tom informovala Parlament; zdůrazňuje, že je důležité zkrátit dobu mezi podáním žádosti o pomoc z EFG a rozhodnutím o financování; zdůrazňuje, že je třeba zjednodušit a urychlit vnitřní postupy, aniž by byla narušena institucionální rovnováha, zejména práva Evropského parlamentu jako rozpočtového orgánu;</w:t>
      </w:r>
    </w:p>
    <w:p w14:paraId="473C9FBE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3.</w:t>
      </w:r>
      <w:r w:rsidRPr="00D2557E">
        <w:tab/>
        <w:t xml:space="preserve">bere na vědomí, že žádost se týká 417 cílových příjemců, kteří byli propuštěni ze společnosti </w:t>
      </w:r>
      <w:proofErr w:type="spellStart"/>
      <w:r w:rsidRPr="00D2557E">
        <w:t>BelGaN</w:t>
      </w:r>
      <w:proofErr w:type="spellEnd"/>
      <w:r w:rsidRPr="00D2557E">
        <w:t>;</w:t>
      </w:r>
    </w:p>
    <w:p w14:paraId="7BC90FB7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4.</w:t>
      </w:r>
      <w:r w:rsidRPr="00D2557E">
        <w:tab/>
        <w:t xml:space="preserve">poukazuje na to, že propouštění ve společnosti </w:t>
      </w:r>
      <w:proofErr w:type="spellStart"/>
      <w:r w:rsidRPr="00D2557E">
        <w:t>BelGaN</w:t>
      </w:r>
      <w:proofErr w:type="spellEnd"/>
      <w:r w:rsidRPr="00D2557E">
        <w:t xml:space="preserve"> zvýšilo roční míru nezaměstnanosti na + 9 % v oblasti </w:t>
      </w:r>
      <w:proofErr w:type="spellStart"/>
      <w:r w:rsidRPr="00D2557E">
        <w:t>Oudenaarde</w:t>
      </w:r>
      <w:proofErr w:type="spellEnd"/>
      <w:r w:rsidRPr="00D2557E">
        <w:t>, zejména mezi nezaměstnanými pracovníky s vysokou a střední kvalifikací; konstatuje, že se počet volných pracovních míst v této oblasti zároveň snížil o 22 % v důsledku značného nárůstu počtu podniků, které v posledních třech letech vyhlásily úpadek;</w:t>
      </w:r>
    </w:p>
    <w:p w14:paraId="6B6CDB8F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5.</w:t>
      </w:r>
      <w:r w:rsidRPr="00D2557E">
        <w:tab/>
        <w:t>připomíná, že pracovníkům mají být poskytnuty tyto individualizované služby: informační schůzky, přeřazení do jiného zaměstnání (</w:t>
      </w:r>
      <w:proofErr w:type="spellStart"/>
      <w:r w:rsidRPr="00D2557E">
        <w:t>outplacement</w:t>
      </w:r>
      <w:proofErr w:type="spellEnd"/>
      <w:r w:rsidRPr="00D2557E">
        <w:t>), odborná příprava a rekvalifikace, odborná příprava na pracovišti, veletrh pracovních míst, pomoc při hledání zaměstnání, zprostředkování pracovních míst a slaďování poptávky a nabídky s cílem umožnit pracovníkům co nejrychlejší opětovný vstup na trh práce, vybavit je vysoce kvalitními dovednostmi a odbornou přípravou, které jsou relevantní pro budoucí zaměstnavatele v tomto odvětví, a zároveň podpořit jejich schopnost rozvíjet podnikatelské iniciativy a nové projekty; v této souvislosti zdůrazňuje, že dobře vyškolená pracovní síla je klíčem k evropskému hospodářství, které obstojí i v budoucnu;</w:t>
      </w:r>
    </w:p>
    <w:p w14:paraId="4A2FF55C" w14:textId="77777777" w:rsidR="00714CF4" w:rsidRPr="00D2557E" w:rsidRDefault="00714CF4" w:rsidP="00714CF4">
      <w:pPr>
        <w:pStyle w:val="NormalHanging12a"/>
        <w:rPr>
          <w:bCs/>
          <w:iCs/>
          <w:noProof/>
        </w:rPr>
      </w:pPr>
      <w:r w:rsidRPr="00D2557E">
        <w:t>6.</w:t>
      </w:r>
      <w:r w:rsidRPr="00D2557E">
        <w:tab/>
        <w:t>vyzývá ke komplexnímu závěrečnému hodnocení prováděných opatření, včetně údajů o počtu pracovníků, kteří byli úspěšně znovu začleněni do zaměstnání, a zpětné vazby od příjemců, pokud jde o kvalitu a relevanci poskytované podpory;</w:t>
      </w:r>
    </w:p>
    <w:p w14:paraId="2CE4A05E" w14:textId="57B822B0" w:rsidR="00714CF4" w:rsidRPr="00D2557E" w:rsidRDefault="00714CF4" w:rsidP="00714CF4">
      <w:pPr>
        <w:pStyle w:val="NormalHanging12a"/>
        <w:rPr>
          <w:noProof/>
        </w:rPr>
      </w:pPr>
      <w:r w:rsidRPr="00D2557E">
        <w:t>7.</w:t>
      </w:r>
      <w:r w:rsidRPr="00D2557E">
        <w:tab/>
        <w:t xml:space="preserve">konstatuje, že Belgie začala poskytovat individualizované služby cílovým příjemcům dne 8. srpna 2024, a že období způsobilosti pro finanční příspěvek z EFG tudíž trvá </w:t>
      </w:r>
      <w:r w:rsidRPr="00D2557E">
        <w:lastRenderedPageBreak/>
        <w:t xml:space="preserve">od tohoto data po 24 měsíců ode dne vstupu rozhodnutí </w:t>
      </w:r>
      <w:r w:rsidR="00DE3FCE" w:rsidRPr="00DE3FCE">
        <w:t xml:space="preserve">připojeného k tomuto usnesení </w:t>
      </w:r>
      <w:r w:rsidRPr="00D2557E">
        <w:t>v platnost;</w:t>
      </w:r>
    </w:p>
    <w:p w14:paraId="59E8F6BC" w14:textId="4E17A23D" w:rsidR="00714CF4" w:rsidRPr="00D2557E" w:rsidRDefault="00714CF4" w:rsidP="00714CF4">
      <w:pPr>
        <w:pStyle w:val="NormalHanging12a"/>
        <w:rPr>
          <w:noProof/>
        </w:rPr>
      </w:pPr>
      <w:r w:rsidRPr="00D2557E">
        <w:t>8.</w:t>
      </w:r>
      <w:r w:rsidRPr="00D2557E">
        <w:tab/>
        <w:t xml:space="preserve">konstatuje, že Belgii začaly vznikat administrativní výdaje spojené s prováděním EFG dne 31. července 2024, a že tyto výdaje jsou proto způsobilé pro finanční příspěvek z EFG od tohoto data po 31 měsíců ode dne vstupu rozhodnutí </w:t>
      </w:r>
      <w:r w:rsidR="00DE3FCE" w:rsidRPr="00DE3FCE">
        <w:t xml:space="preserve">připojeného k tomuto usnesení </w:t>
      </w:r>
      <w:r w:rsidRPr="00D2557E">
        <w:t>v platnost;</w:t>
      </w:r>
    </w:p>
    <w:p w14:paraId="594E7A2A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9.</w:t>
      </w:r>
      <w:r w:rsidRPr="00D2557E">
        <w:tab/>
        <w:t>zdůrazňuje, že belgické orgány potvrdily, že při přístupu k navrhovaným opatřením a jejich provádění budou dodržovány zásady rovného zacházení a nediskriminace a že se zamezí jakémukoli dvojímu financování;</w:t>
      </w:r>
    </w:p>
    <w:p w14:paraId="32B17E5E" w14:textId="77777777" w:rsidR="00714CF4" w:rsidRPr="00D2557E" w:rsidRDefault="00714CF4" w:rsidP="00714CF4">
      <w:pPr>
        <w:pStyle w:val="NormalHanging12a"/>
        <w:rPr>
          <w:bCs/>
          <w:iCs/>
          <w:noProof/>
        </w:rPr>
      </w:pPr>
      <w:r w:rsidRPr="00D2557E">
        <w:t>10.</w:t>
      </w:r>
      <w:r w:rsidRPr="00D2557E">
        <w:tab/>
        <w:t>zdůrazňuje, že je třeba zajistit, aby financování Unie bylo jednoznačně uznáno a bylo viditelné, a zdůraznila se tak jeho přidaná hodnota; vyzývá k důsledné a dobře cílené komunikaci s příjemci, regionálními a místními orgány, sociálními partnery, sdělovacími prostředky a širší veřejností;</w:t>
      </w:r>
    </w:p>
    <w:p w14:paraId="5E499F35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11.</w:t>
      </w:r>
      <w:r w:rsidRPr="00D2557E">
        <w:tab/>
        <w:t>opakuje, že pomoc z fondu EFG nesmí nahrazovat opatření, za něž na základě vnitrostátních právních předpisů nebo kolektivních smluv odpovídají podniky;</w:t>
      </w:r>
    </w:p>
    <w:p w14:paraId="496DA3E6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12.</w:t>
      </w:r>
      <w:r w:rsidRPr="00D2557E">
        <w:tab/>
        <w:t>schvaluje rozhodnutí uvedené v příloze k tomuto usnesení;</w:t>
      </w:r>
    </w:p>
    <w:p w14:paraId="0E357AC3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13.</w:t>
      </w:r>
      <w:r w:rsidRPr="00D2557E">
        <w:tab/>
        <w:t>pověřuje svou předsedkyni, aby podepsala toto rozhodnutí společně s předsedou Rady a aby zajistila jeho zveřejnění v </w:t>
      </w:r>
      <w:r w:rsidRPr="00B655FF">
        <w:rPr>
          <w:i/>
          <w:iCs/>
        </w:rPr>
        <w:t>Úředním věstníku Evropské unie</w:t>
      </w:r>
      <w:r w:rsidRPr="00D2557E">
        <w:t>;</w:t>
      </w:r>
    </w:p>
    <w:p w14:paraId="34B333E7" w14:textId="77777777" w:rsidR="00714CF4" w:rsidRPr="00D2557E" w:rsidRDefault="00714CF4" w:rsidP="00714CF4">
      <w:pPr>
        <w:pStyle w:val="NormalHanging12a"/>
        <w:rPr>
          <w:noProof/>
        </w:rPr>
      </w:pPr>
      <w:r w:rsidRPr="00D2557E">
        <w:t>14.</w:t>
      </w:r>
      <w:r w:rsidRPr="00D2557E">
        <w:tab/>
        <w:t>pověřuje svou předsedkyni, aby předala toto usnesení včetně přílohy Radě a Komisi.</w:t>
      </w:r>
    </w:p>
    <w:p w14:paraId="59DAED13" w14:textId="77777777" w:rsidR="00714CF4" w:rsidRPr="00D2557E" w:rsidRDefault="00714CF4" w:rsidP="00714CF4">
      <w:pPr>
        <w:rPr>
          <w:noProof/>
        </w:rPr>
      </w:pPr>
    </w:p>
    <w:p w14:paraId="3EC5C8AB" w14:textId="77777777" w:rsidR="00714CF4" w:rsidRPr="00D2557E" w:rsidRDefault="00714CF4" w:rsidP="00714CF4">
      <w:pPr>
        <w:widowControl/>
        <w:rPr>
          <w:rFonts w:ascii="Arial" w:hAnsi="Arial" w:cs="Arial"/>
          <w:b/>
        </w:rPr>
      </w:pPr>
      <w:r w:rsidRPr="00D2557E">
        <w:br w:type="page"/>
      </w:r>
    </w:p>
    <w:p w14:paraId="5D977426" w14:textId="77777777" w:rsidR="00427C24" w:rsidRPr="00427C24" w:rsidRDefault="00714CF4" w:rsidP="00714CF4">
      <w:pPr>
        <w:pStyle w:val="PageHeading"/>
        <w:rPr>
          <w:rFonts w:ascii="Times New Roman" w:hAnsi="Times New Roman" w:cs="Times New Roman"/>
        </w:rPr>
      </w:pPr>
      <w:bookmarkStart w:id="9" w:name="_Toc210383396"/>
      <w:r w:rsidRPr="00427C24">
        <w:rPr>
          <w:rFonts w:ascii="Times New Roman" w:hAnsi="Times New Roman" w:cs="Times New Roman"/>
        </w:rPr>
        <w:lastRenderedPageBreak/>
        <w:t>PŘÍLOHA</w:t>
      </w:r>
    </w:p>
    <w:p w14:paraId="44B02EFF" w14:textId="2E390C3E" w:rsidR="00714CF4" w:rsidRPr="00427C24" w:rsidRDefault="00714CF4" w:rsidP="00714CF4">
      <w:pPr>
        <w:pStyle w:val="PageHeading"/>
        <w:rPr>
          <w:rFonts w:ascii="Times New Roman" w:hAnsi="Times New Roman" w:cs="Times New Roman"/>
          <w:noProof/>
        </w:rPr>
      </w:pPr>
      <w:r w:rsidRPr="00427C24">
        <w:rPr>
          <w:rFonts w:ascii="Times New Roman" w:hAnsi="Times New Roman" w:cs="Times New Roman"/>
        </w:rPr>
        <w:t>ROZHODNUTÍ EVROPSKÉHO PARLAMENTU A RADY</w:t>
      </w:r>
      <w:bookmarkEnd w:id="9"/>
    </w:p>
    <w:p w14:paraId="3607D58A" w14:textId="77777777" w:rsidR="00714CF4" w:rsidRDefault="00714CF4" w:rsidP="00714CF4">
      <w:pPr>
        <w:pStyle w:val="NormalBold24a"/>
      </w:pPr>
      <w:r w:rsidRPr="00D2557E">
        <w:t>o uvolnění prostředků z Evropského fondu pro přizpůsobení se globalizaci na pomoc propuštěným pracovníkům na základě žádosti Belgie – EGF/2025/001 BE/</w:t>
      </w:r>
      <w:proofErr w:type="spellStart"/>
      <w:r w:rsidRPr="00D2557E">
        <w:t>BelGaN</w:t>
      </w:r>
      <w:proofErr w:type="spellEnd"/>
      <w:r w:rsidRPr="00D2557E">
        <w:t>)</w:t>
      </w:r>
    </w:p>
    <w:p w14:paraId="1CE32A9E" w14:textId="4318D970" w:rsidR="00427C24" w:rsidRPr="00427C24" w:rsidRDefault="00427C24" w:rsidP="00427C24">
      <w:pPr>
        <w:rPr>
          <w:i/>
          <w:lang w:eastAsia="de-DE"/>
        </w:rPr>
      </w:pPr>
      <w:r w:rsidRPr="00A6138D">
        <w:rPr>
          <w:i/>
          <w:lang w:eastAsia="de-DE"/>
        </w:rPr>
        <w:t xml:space="preserve">(Znění této přílohy se zde neuvádí, jelikož odpovídá znění konečného aktu, rozhodnutí </w:t>
      </w:r>
      <w:r>
        <w:rPr>
          <w:i/>
          <w:lang w:eastAsia="de-DE"/>
        </w:rPr>
        <w:t>(EU) 202</w:t>
      </w:r>
      <w:r>
        <w:rPr>
          <w:i/>
          <w:lang w:eastAsia="de-DE"/>
        </w:rPr>
        <w:t>5</w:t>
      </w:r>
      <w:r>
        <w:rPr>
          <w:i/>
          <w:lang w:eastAsia="de-DE"/>
        </w:rPr>
        <w:t>/</w:t>
      </w:r>
      <w:r>
        <w:rPr>
          <w:i/>
          <w:lang w:eastAsia="de-DE"/>
        </w:rPr>
        <w:t>2133</w:t>
      </w:r>
      <w:r w:rsidRPr="00A6138D">
        <w:rPr>
          <w:i/>
          <w:lang w:eastAsia="de-DE"/>
        </w:rPr>
        <w:t>.)</w:t>
      </w:r>
    </w:p>
    <w:sectPr w:rsidR="00427C24" w:rsidRPr="00427C24" w:rsidSect="00D255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F264E" w14:textId="77777777" w:rsidR="003E256C" w:rsidRPr="00D2557E" w:rsidRDefault="003E256C">
      <w:r w:rsidRPr="00D2557E">
        <w:separator/>
      </w:r>
    </w:p>
  </w:endnote>
  <w:endnote w:type="continuationSeparator" w:id="0">
    <w:p w14:paraId="609FAA1A" w14:textId="77777777" w:rsidR="003E256C" w:rsidRPr="00D2557E" w:rsidRDefault="003E256C">
      <w:r w:rsidRPr="00D255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666C0" w14:textId="77777777" w:rsidR="00064002" w:rsidRPr="00D2557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7CD05" w14:textId="77777777" w:rsidR="00064002" w:rsidRPr="00D2557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0B0CF" w14:textId="77777777" w:rsidR="00064002" w:rsidRPr="00D2557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732F8" w14:textId="77777777" w:rsidR="003E256C" w:rsidRPr="00D2557E" w:rsidRDefault="003E256C">
      <w:r w:rsidRPr="00D2557E">
        <w:separator/>
      </w:r>
    </w:p>
  </w:footnote>
  <w:footnote w:type="continuationSeparator" w:id="0">
    <w:p w14:paraId="2ECF3492" w14:textId="77777777" w:rsidR="003E256C" w:rsidRPr="00D2557E" w:rsidRDefault="003E256C">
      <w:r w:rsidRPr="00D2557E">
        <w:continuationSeparator/>
      </w:r>
    </w:p>
  </w:footnote>
  <w:footnote w:id="1">
    <w:p w14:paraId="4936AA9F" w14:textId="7DE73A97" w:rsidR="00714CF4" w:rsidRPr="00D2557E" w:rsidRDefault="00714CF4" w:rsidP="00D2557E">
      <w:pPr>
        <w:pStyle w:val="FootnoteText"/>
        <w:ind w:left="567" w:hanging="567"/>
        <w:rPr>
          <w:sz w:val="24"/>
          <w:lang w:val="cs-CZ"/>
        </w:rPr>
      </w:pPr>
      <w:r w:rsidRPr="00D2557E">
        <w:rPr>
          <w:rStyle w:val="FootnoteReference"/>
          <w:sz w:val="24"/>
          <w:lang w:val="cs-CZ"/>
        </w:rPr>
        <w:footnoteRef/>
      </w:r>
      <w:r w:rsidR="00D2557E" w:rsidRPr="00D2557E">
        <w:rPr>
          <w:sz w:val="24"/>
          <w:lang w:val="cs-CZ"/>
        </w:rPr>
        <w:t xml:space="preserve"> </w:t>
      </w:r>
      <w:r w:rsidR="00D2557E" w:rsidRPr="00D2557E">
        <w:rPr>
          <w:sz w:val="24"/>
          <w:lang w:val="cs-CZ"/>
        </w:rPr>
        <w:tab/>
      </w:r>
      <w:proofErr w:type="spellStart"/>
      <w:r w:rsidRPr="00D2557E">
        <w:rPr>
          <w:sz w:val="24"/>
          <w:lang w:val="cs-CZ"/>
        </w:rPr>
        <w:t>Úř</w:t>
      </w:r>
      <w:proofErr w:type="spellEnd"/>
      <w:r w:rsidRPr="00D2557E">
        <w:rPr>
          <w:sz w:val="24"/>
          <w:lang w:val="cs-CZ"/>
        </w:rPr>
        <w:t xml:space="preserve">. </w:t>
      </w:r>
      <w:proofErr w:type="spellStart"/>
      <w:r w:rsidRPr="00D2557E">
        <w:rPr>
          <w:sz w:val="24"/>
          <w:lang w:val="cs-CZ"/>
        </w:rPr>
        <w:t>věst</w:t>
      </w:r>
      <w:proofErr w:type="spellEnd"/>
      <w:r w:rsidRPr="00D2557E">
        <w:rPr>
          <w:sz w:val="24"/>
          <w:lang w:val="cs-CZ"/>
        </w:rPr>
        <w:t xml:space="preserve">. L 153, 3.5.2021, s. 48, ELI: </w:t>
      </w:r>
      <w:hyperlink r:id="rId1" w:history="1">
        <w:r w:rsidRPr="00D2557E">
          <w:rPr>
            <w:rStyle w:val="Hyperlink"/>
            <w:sz w:val="24"/>
            <w:lang w:val="cs-CZ"/>
          </w:rPr>
          <w:t>http://data.europa.eu/eli/reg/2021/691/oj</w:t>
        </w:r>
      </w:hyperlink>
      <w:r w:rsidRPr="00D2557E">
        <w:rPr>
          <w:sz w:val="24"/>
          <w:lang w:val="cs-CZ"/>
        </w:rPr>
        <w:t>.</w:t>
      </w:r>
    </w:p>
  </w:footnote>
  <w:footnote w:id="2">
    <w:p w14:paraId="513C6256" w14:textId="154B2EF6" w:rsidR="00714CF4" w:rsidRPr="00D2557E" w:rsidRDefault="00714CF4" w:rsidP="00D2557E">
      <w:pPr>
        <w:pStyle w:val="FootnoteText"/>
        <w:ind w:left="567" w:hanging="567"/>
        <w:rPr>
          <w:sz w:val="24"/>
          <w:lang w:val="cs-CZ"/>
        </w:rPr>
      </w:pPr>
      <w:r w:rsidRPr="00D2557E">
        <w:rPr>
          <w:rStyle w:val="FootnoteReference"/>
          <w:sz w:val="24"/>
          <w:lang w:val="cs-CZ"/>
        </w:rPr>
        <w:footnoteRef/>
      </w:r>
      <w:r w:rsidR="00D2557E" w:rsidRPr="00D2557E">
        <w:rPr>
          <w:sz w:val="24"/>
          <w:lang w:val="cs-CZ"/>
        </w:rPr>
        <w:t xml:space="preserve"> </w:t>
      </w:r>
      <w:r w:rsidR="00D2557E" w:rsidRPr="00D2557E">
        <w:rPr>
          <w:sz w:val="24"/>
          <w:lang w:val="cs-CZ"/>
        </w:rPr>
        <w:tab/>
      </w:r>
      <w:proofErr w:type="spellStart"/>
      <w:r w:rsidRPr="00D2557E">
        <w:rPr>
          <w:sz w:val="24"/>
          <w:lang w:val="cs-CZ"/>
        </w:rPr>
        <w:t>Úř</w:t>
      </w:r>
      <w:proofErr w:type="spellEnd"/>
      <w:r w:rsidRPr="00D2557E">
        <w:rPr>
          <w:sz w:val="24"/>
          <w:lang w:val="cs-CZ"/>
        </w:rPr>
        <w:t xml:space="preserve">. </w:t>
      </w:r>
      <w:proofErr w:type="spellStart"/>
      <w:r w:rsidRPr="00D2557E">
        <w:rPr>
          <w:sz w:val="24"/>
          <w:lang w:val="cs-CZ"/>
        </w:rPr>
        <w:t>věst</w:t>
      </w:r>
      <w:proofErr w:type="spellEnd"/>
      <w:r w:rsidRPr="00D2557E">
        <w:rPr>
          <w:sz w:val="24"/>
          <w:lang w:val="cs-CZ"/>
        </w:rPr>
        <w:t xml:space="preserve">. L 433 I, 22.12.2020, s. 11, ELI: </w:t>
      </w:r>
      <w:hyperlink r:id="rId2" w:history="1">
        <w:r w:rsidRPr="00D2557E">
          <w:rPr>
            <w:rStyle w:val="Hyperlink"/>
            <w:sz w:val="24"/>
            <w:lang w:val="cs-CZ"/>
          </w:rPr>
          <w:t>http://data.europa.eu/eli/reg/2020/2093/oj</w:t>
        </w:r>
      </w:hyperlink>
      <w:r w:rsidRPr="00D2557E">
        <w:rPr>
          <w:sz w:val="24"/>
          <w:lang w:val="cs-CZ"/>
        </w:rPr>
        <w:t>.</w:t>
      </w:r>
    </w:p>
  </w:footnote>
  <w:footnote w:id="3">
    <w:p w14:paraId="14956F83" w14:textId="6079E524" w:rsidR="00714CF4" w:rsidRPr="00D2557E" w:rsidRDefault="00714CF4" w:rsidP="00D2557E">
      <w:pPr>
        <w:pStyle w:val="FootnoteText"/>
        <w:ind w:left="567" w:hanging="567"/>
        <w:rPr>
          <w:sz w:val="24"/>
          <w:lang w:val="cs-CZ"/>
        </w:rPr>
      </w:pPr>
      <w:r w:rsidRPr="00D2557E">
        <w:rPr>
          <w:rStyle w:val="FootnoteReference"/>
          <w:sz w:val="24"/>
          <w:lang w:val="cs-CZ"/>
        </w:rPr>
        <w:footnoteRef/>
      </w:r>
      <w:r w:rsidR="00D2557E" w:rsidRPr="00D2557E">
        <w:rPr>
          <w:sz w:val="24"/>
          <w:lang w:val="cs-CZ"/>
        </w:rPr>
        <w:t xml:space="preserve"> </w:t>
      </w:r>
      <w:r w:rsidR="00D2557E" w:rsidRPr="00D2557E">
        <w:rPr>
          <w:sz w:val="24"/>
          <w:lang w:val="cs-CZ"/>
        </w:rPr>
        <w:tab/>
      </w:r>
      <w:r w:rsidRPr="00D2557E">
        <w:rPr>
          <w:sz w:val="24"/>
          <w:lang w:val="cs-CZ"/>
        </w:rPr>
        <w:t>Nařízení Rady (EU, Euratom) 2024/765 ze dne 29. února 2024, kterým se mění nařízení (EU, Euratom) 2020/2093, kterým se stanoví víceletý finanční rámec na období 2021–2027 (</w:t>
      </w:r>
      <w:proofErr w:type="spellStart"/>
      <w:r w:rsidRPr="00D2557E">
        <w:rPr>
          <w:sz w:val="24"/>
          <w:lang w:val="cs-CZ"/>
        </w:rPr>
        <w:t>Úř</w:t>
      </w:r>
      <w:proofErr w:type="spellEnd"/>
      <w:r w:rsidRPr="00D2557E">
        <w:rPr>
          <w:sz w:val="24"/>
          <w:lang w:val="cs-CZ"/>
        </w:rPr>
        <w:t xml:space="preserve">. </w:t>
      </w:r>
      <w:proofErr w:type="spellStart"/>
      <w:r w:rsidRPr="00D2557E">
        <w:rPr>
          <w:sz w:val="24"/>
          <w:lang w:val="cs-CZ"/>
        </w:rPr>
        <w:t>věst</w:t>
      </w:r>
      <w:proofErr w:type="spellEnd"/>
      <w:r w:rsidRPr="00D2557E">
        <w:rPr>
          <w:sz w:val="24"/>
          <w:lang w:val="cs-CZ"/>
        </w:rPr>
        <w:t xml:space="preserve">. L, 2024/765, 29.2.2024, ELI: </w:t>
      </w:r>
      <w:hyperlink r:id="rId3" w:history="1">
        <w:r w:rsidRPr="00701907">
          <w:rPr>
            <w:rStyle w:val="Hyperlink"/>
            <w:sz w:val="24"/>
            <w:lang w:val="cs-CZ"/>
          </w:rPr>
          <w:t>http://data.europa.eu/eli/reg/2024/765/oj</w:t>
        </w:r>
      </w:hyperlink>
      <w:r w:rsidRPr="00D2557E">
        <w:rPr>
          <w:sz w:val="24"/>
          <w:lang w:val="cs-CZ"/>
        </w:rPr>
        <w:t>).</w:t>
      </w:r>
    </w:p>
  </w:footnote>
  <w:footnote w:id="4">
    <w:p w14:paraId="43E3A824" w14:textId="0134B55E" w:rsidR="00714CF4" w:rsidRPr="00D2557E" w:rsidRDefault="00714CF4" w:rsidP="00D2557E">
      <w:pPr>
        <w:pStyle w:val="FootnoteText"/>
        <w:ind w:left="567" w:hanging="567"/>
        <w:rPr>
          <w:sz w:val="24"/>
          <w:lang w:val="cs-CZ"/>
        </w:rPr>
      </w:pPr>
      <w:r w:rsidRPr="00D2557E">
        <w:rPr>
          <w:rStyle w:val="FootnoteReference"/>
          <w:sz w:val="24"/>
          <w:lang w:val="cs-CZ"/>
        </w:rPr>
        <w:footnoteRef/>
      </w:r>
      <w:r w:rsidR="00D2557E" w:rsidRPr="00D2557E">
        <w:rPr>
          <w:sz w:val="24"/>
          <w:lang w:val="cs-CZ"/>
        </w:rPr>
        <w:t xml:space="preserve"> </w:t>
      </w:r>
      <w:r w:rsidR="00D2557E" w:rsidRPr="00D2557E">
        <w:rPr>
          <w:sz w:val="24"/>
          <w:lang w:val="cs-CZ"/>
        </w:rPr>
        <w:tab/>
      </w:r>
      <w:proofErr w:type="spellStart"/>
      <w:r w:rsidRPr="00D2557E">
        <w:rPr>
          <w:sz w:val="24"/>
          <w:lang w:val="cs-CZ"/>
        </w:rPr>
        <w:t>Úř</w:t>
      </w:r>
      <w:proofErr w:type="spellEnd"/>
      <w:r w:rsidRPr="00D2557E">
        <w:rPr>
          <w:sz w:val="24"/>
          <w:lang w:val="cs-CZ"/>
        </w:rPr>
        <w:t xml:space="preserve">. </w:t>
      </w:r>
      <w:proofErr w:type="spellStart"/>
      <w:r w:rsidRPr="00D2557E">
        <w:rPr>
          <w:sz w:val="24"/>
          <w:lang w:val="cs-CZ"/>
        </w:rPr>
        <w:t>věst</w:t>
      </w:r>
      <w:proofErr w:type="spellEnd"/>
      <w:r w:rsidRPr="00D2557E">
        <w:rPr>
          <w:sz w:val="24"/>
          <w:lang w:val="cs-CZ"/>
        </w:rPr>
        <w:t>. L 433</w:t>
      </w:r>
      <w:r w:rsidR="000C0275">
        <w:rPr>
          <w:sz w:val="24"/>
          <w:lang w:val="cs-CZ"/>
        </w:rPr>
        <w:t xml:space="preserve"> I</w:t>
      </w:r>
      <w:r w:rsidRPr="00D2557E">
        <w:rPr>
          <w:sz w:val="24"/>
          <w:lang w:val="cs-CZ"/>
        </w:rPr>
        <w:t xml:space="preserve">, 22.12.2020, s. 28, ELI: </w:t>
      </w:r>
      <w:hyperlink r:id="rId4" w:history="1">
        <w:r w:rsidRPr="00D2557E">
          <w:rPr>
            <w:rStyle w:val="Hyperlink"/>
            <w:sz w:val="24"/>
            <w:lang w:val="cs-CZ"/>
          </w:rPr>
          <w:t>http://data.europa.eu/eli/agree_interinstit/2020/1222/oj</w:t>
        </w:r>
      </w:hyperlink>
      <w:r w:rsidRPr="00D2557E">
        <w:rPr>
          <w:sz w:val="24"/>
          <w:lang w:val="cs-CZ"/>
        </w:rPr>
        <w:t>.</w:t>
      </w:r>
    </w:p>
  </w:footnote>
  <w:footnote w:id="5">
    <w:p w14:paraId="0FB645B9" w14:textId="61B1231E" w:rsidR="00714CF4" w:rsidRPr="00D2557E" w:rsidRDefault="00714CF4" w:rsidP="00D2557E">
      <w:pPr>
        <w:pStyle w:val="FootnoteText"/>
        <w:ind w:left="567" w:hanging="567"/>
        <w:rPr>
          <w:sz w:val="24"/>
          <w:lang w:val="cs-CZ"/>
        </w:rPr>
      </w:pPr>
      <w:r w:rsidRPr="00D2557E">
        <w:rPr>
          <w:rStyle w:val="FootnoteReference"/>
          <w:sz w:val="24"/>
          <w:lang w:val="cs-CZ"/>
        </w:rPr>
        <w:footnoteRef/>
      </w:r>
      <w:r w:rsidR="00D2557E" w:rsidRPr="00D2557E">
        <w:rPr>
          <w:sz w:val="24"/>
          <w:lang w:val="cs-CZ"/>
        </w:rPr>
        <w:t xml:space="preserve"> </w:t>
      </w:r>
      <w:r w:rsidR="00D2557E" w:rsidRPr="00D2557E">
        <w:rPr>
          <w:sz w:val="24"/>
          <w:lang w:val="cs-CZ"/>
        </w:rPr>
        <w:tab/>
      </w:r>
      <w:proofErr w:type="spellStart"/>
      <w:r w:rsidRPr="00D2557E">
        <w:rPr>
          <w:sz w:val="24"/>
          <w:lang w:val="cs-CZ"/>
        </w:rPr>
        <w:t>Vlaamse</w:t>
      </w:r>
      <w:proofErr w:type="spellEnd"/>
      <w:r w:rsidRPr="00D2557E">
        <w:rPr>
          <w:sz w:val="24"/>
          <w:lang w:val="cs-CZ"/>
        </w:rPr>
        <w:t xml:space="preserve"> </w:t>
      </w:r>
      <w:proofErr w:type="spellStart"/>
      <w:r w:rsidRPr="00D2557E">
        <w:rPr>
          <w:sz w:val="24"/>
          <w:lang w:val="cs-CZ"/>
        </w:rPr>
        <w:t>Dienst</w:t>
      </w:r>
      <w:proofErr w:type="spellEnd"/>
      <w:r w:rsidRPr="00D2557E">
        <w:rPr>
          <w:sz w:val="24"/>
          <w:lang w:val="cs-CZ"/>
        </w:rPr>
        <w:t xml:space="preserve"> </w:t>
      </w:r>
      <w:proofErr w:type="spellStart"/>
      <w:r w:rsidRPr="00D2557E">
        <w:rPr>
          <w:sz w:val="24"/>
          <w:lang w:val="cs-CZ"/>
        </w:rPr>
        <w:t>voor</w:t>
      </w:r>
      <w:proofErr w:type="spellEnd"/>
      <w:r w:rsidRPr="00D2557E">
        <w:rPr>
          <w:sz w:val="24"/>
          <w:lang w:val="cs-CZ"/>
        </w:rPr>
        <w:t xml:space="preserve"> </w:t>
      </w:r>
      <w:proofErr w:type="spellStart"/>
      <w:r w:rsidRPr="00D2557E">
        <w:rPr>
          <w:sz w:val="24"/>
          <w:lang w:val="cs-CZ"/>
        </w:rPr>
        <w:t>Arbeidsbemiddeling</w:t>
      </w:r>
      <w:proofErr w:type="spellEnd"/>
      <w:r w:rsidRPr="00D2557E">
        <w:rPr>
          <w:sz w:val="24"/>
          <w:lang w:val="cs-CZ"/>
        </w:rPr>
        <w:t xml:space="preserve"> en </w:t>
      </w:r>
      <w:proofErr w:type="spellStart"/>
      <w:r w:rsidRPr="00D2557E">
        <w:rPr>
          <w:sz w:val="24"/>
          <w:lang w:val="cs-CZ"/>
        </w:rPr>
        <w:t>Beroepsopleiding</w:t>
      </w:r>
      <w:proofErr w:type="spellEnd"/>
      <w:r w:rsidRPr="00D2557E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61BDF" w14:textId="77777777" w:rsidR="00064002" w:rsidRPr="00D2557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BF11E7" w14:textId="77777777" w:rsidR="00064002" w:rsidRPr="00D2557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E732F" w14:textId="77777777" w:rsidR="00064002" w:rsidRPr="00D2557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63478842">
    <w:abstractNumId w:val="9"/>
  </w:num>
  <w:num w:numId="2" w16cid:durableId="1467893433">
    <w:abstractNumId w:val="9"/>
  </w:num>
  <w:num w:numId="3" w16cid:durableId="1022124129">
    <w:abstractNumId w:val="7"/>
  </w:num>
  <w:num w:numId="4" w16cid:durableId="1459911565">
    <w:abstractNumId w:val="7"/>
  </w:num>
  <w:num w:numId="5" w16cid:durableId="931083934">
    <w:abstractNumId w:val="6"/>
  </w:num>
  <w:num w:numId="6" w16cid:durableId="423261057">
    <w:abstractNumId w:val="6"/>
  </w:num>
  <w:num w:numId="7" w16cid:durableId="1908757863">
    <w:abstractNumId w:val="5"/>
  </w:num>
  <w:num w:numId="8" w16cid:durableId="1315834657">
    <w:abstractNumId w:val="5"/>
  </w:num>
  <w:num w:numId="9" w16cid:durableId="889658040">
    <w:abstractNumId w:val="4"/>
  </w:num>
  <w:num w:numId="10" w16cid:durableId="1127434637">
    <w:abstractNumId w:val="4"/>
  </w:num>
  <w:num w:numId="11" w16cid:durableId="498157434">
    <w:abstractNumId w:val="8"/>
  </w:num>
  <w:num w:numId="12" w16cid:durableId="1940796164">
    <w:abstractNumId w:val="8"/>
  </w:num>
  <w:num w:numId="13" w16cid:durableId="321783537">
    <w:abstractNumId w:val="3"/>
  </w:num>
  <w:num w:numId="14" w16cid:durableId="1792088465">
    <w:abstractNumId w:val="3"/>
  </w:num>
  <w:num w:numId="15" w16cid:durableId="342242702">
    <w:abstractNumId w:val="2"/>
  </w:num>
  <w:num w:numId="16" w16cid:durableId="2067951608">
    <w:abstractNumId w:val="2"/>
  </w:num>
  <w:num w:numId="17" w16cid:durableId="2071881203">
    <w:abstractNumId w:val="1"/>
  </w:num>
  <w:num w:numId="18" w16cid:durableId="1210872025">
    <w:abstractNumId w:val="1"/>
  </w:num>
  <w:num w:numId="19" w16cid:durableId="46344974">
    <w:abstractNumId w:val="0"/>
  </w:num>
  <w:num w:numId="20" w16cid:durableId="532815580">
    <w:abstractNumId w:val="0"/>
  </w:num>
  <w:num w:numId="21" w16cid:durableId="1403024900">
    <w:abstractNumId w:val="9"/>
  </w:num>
  <w:num w:numId="22" w16cid:durableId="20328361">
    <w:abstractNumId w:val="7"/>
  </w:num>
  <w:num w:numId="23" w16cid:durableId="1758283408">
    <w:abstractNumId w:val="6"/>
  </w:num>
  <w:num w:numId="24" w16cid:durableId="539630945">
    <w:abstractNumId w:val="5"/>
  </w:num>
  <w:num w:numId="25" w16cid:durableId="650016712">
    <w:abstractNumId w:val="4"/>
  </w:num>
  <w:num w:numId="26" w16cid:durableId="846016535">
    <w:abstractNumId w:val="8"/>
  </w:num>
  <w:num w:numId="27" w16cid:durableId="951281494">
    <w:abstractNumId w:val="3"/>
  </w:num>
  <w:num w:numId="28" w16cid:durableId="2109346026">
    <w:abstractNumId w:val="2"/>
  </w:num>
  <w:num w:numId="29" w16cid:durableId="1255361040">
    <w:abstractNumId w:val="1"/>
  </w:num>
  <w:num w:numId="30" w16cid:durableId="747964143">
    <w:abstractNumId w:val="0"/>
  </w:num>
  <w:num w:numId="31" w16cid:durableId="1414739074">
    <w:abstractNumId w:val="9"/>
  </w:num>
  <w:num w:numId="32" w16cid:durableId="776602191">
    <w:abstractNumId w:val="7"/>
  </w:num>
  <w:num w:numId="33" w16cid:durableId="1658529885">
    <w:abstractNumId w:val="6"/>
  </w:num>
  <w:num w:numId="34" w16cid:durableId="1778912098">
    <w:abstractNumId w:val="5"/>
  </w:num>
  <w:num w:numId="35" w16cid:durableId="2086606131">
    <w:abstractNumId w:val="4"/>
  </w:num>
  <w:num w:numId="36" w16cid:durableId="42602480">
    <w:abstractNumId w:val="8"/>
  </w:num>
  <w:num w:numId="37" w16cid:durableId="120614075">
    <w:abstractNumId w:val="3"/>
  </w:num>
  <w:num w:numId="38" w16cid:durableId="1625573049">
    <w:abstractNumId w:val="2"/>
  </w:num>
  <w:num w:numId="39" w16cid:durableId="484321384">
    <w:abstractNumId w:val="1"/>
  </w:num>
  <w:num w:numId="40" w16cid:durableId="1237662777">
    <w:abstractNumId w:val="0"/>
  </w:num>
  <w:num w:numId="41" w16cid:durableId="184485011">
    <w:abstractNumId w:val="10"/>
  </w:num>
  <w:num w:numId="42" w16cid:durableId="442268811">
    <w:abstractNumId w:val="10"/>
  </w:num>
  <w:num w:numId="43" w16cid:durableId="480539238">
    <w:abstractNumId w:val="10"/>
  </w:num>
  <w:num w:numId="44" w16cid:durableId="12654619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3/2025"/>
    <w:docVar w:name="dvlangue" w:val="CS"/>
    <w:docVar w:name="dvnumam" w:val="0"/>
    <w:docVar w:name="dvpe" w:val="776.825"/>
    <w:docVar w:name="dvrapporteur" w:val="Zpravodaj: "/>
    <w:docVar w:name="dvtitre" w:val="Usnesení Evropského parlamentu ze dne.... 2025 o návrhu rozhodnutí Evropského parlamentu a Rady o uvolnění prostředků z Evropského fondu pro přizpůsobení se globalizaci na pomoc propuštěným pracovníkům (EFG) na základě žádosti Belgie – EGF/2025/001 BE/BelGaN(COM(2025)0157 – C10-0188/2025 – 2025/0198(BUD))"/>
  </w:docVars>
  <w:rsids>
    <w:rsidRoot w:val="003E256C"/>
    <w:rsid w:val="00002272"/>
    <w:rsid w:val="00064002"/>
    <w:rsid w:val="000677B9"/>
    <w:rsid w:val="000831BA"/>
    <w:rsid w:val="000A42CC"/>
    <w:rsid w:val="000C0275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256C"/>
    <w:rsid w:val="00411CCE"/>
    <w:rsid w:val="0041666E"/>
    <w:rsid w:val="00421060"/>
    <w:rsid w:val="00427C24"/>
    <w:rsid w:val="004466AE"/>
    <w:rsid w:val="00471C19"/>
    <w:rsid w:val="004867E3"/>
    <w:rsid w:val="00494A28"/>
    <w:rsid w:val="004C0004"/>
    <w:rsid w:val="004C5D52"/>
    <w:rsid w:val="004D1D7F"/>
    <w:rsid w:val="0050519A"/>
    <w:rsid w:val="005072A1"/>
    <w:rsid w:val="00514517"/>
    <w:rsid w:val="0051673E"/>
    <w:rsid w:val="00545827"/>
    <w:rsid w:val="00560270"/>
    <w:rsid w:val="005C2568"/>
    <w:rsid w:val="005D363E"/>
    <w:rsid w:val="005F1B17"/>
    <w:rsid w:val="005F6207"/>
    <w:rsid w:val="006037C0"/>
    <w:rsid w:val="0063304B"/>
    <w:rsid w:val="006631B6"/>
    <w:rsid w:val="00680577"/>
    <w:rsid w:val="006F74FA"/>
    <w:rsid w:val="00701907"/>
    <w:rsid w:val="00714CF4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7C89"/>
    <w:rsid w:val="009509D8"/>
    <w:rsid w:val="00950B64"/>
    <w:rsid w:val="00974FFC"/>
    <w:rsid w:val="00981893"/>
    <w:rsid w:val="00A1687D"/>
    <w:rsid w:val="00A43E52"/>
    <w:rsid w:val="00A4678D"/>
    <w:rsid w:val="00A778C7"/>
    <w:rsid w:val="00A97FE0"/>
    <w:rsid w:val="00AB441E"/>
    <w:rsid w:val="00AB6293"/>
    <w:rsid w:val="00AE0928"/>
    <w:rsid w:val="00AF3B82"/>
    <w:rsid w:val="00B12E95"/>
    <w:rsid w:val="00B22876"/>
    <w:rsid w:val="00B558F0"/>
    <w:rsid w:val="00B655F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557E"/>
    <w:rsid w:val="00D42657"/>
    <w:rsid w:val="00D56C11"/>
    <w:rsid w:val="00D834A0"/>
    <w:rsid w:val="00D872DF"/>
    <w:rsid w:val="00D91E21"/>
    <w:rsid w:val="00DA7FCD"/>
    <w:rsid w:val="00DE3FCE"/>
    <w:rsid w:val="00E24076"/>
    <w:rsid w:val="00E365E1"/>
    <w:rsid w:val="00E61F8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33EEEB"/>
  <w15:chartTrackingRefBased/>
  <w15:docId w15:val="{F3C7BC73-9249-4CAB-8943-C109234F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PageHeading">
    <w:name w:val="PageHeading"/>
    <w:basedOn w:val="Normal"/>
    <w:link w:val="PageHeadingChar"/>
    <w:rsid w:val="00714CF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rsid w:val="00714CF4"/>
    <w:pPr>
      <w:spacing w:after="240"/>
      <w:ind w:left="567" w:hanging="567"/>
    </w:pPr>
  </w:style>
  <w:style w:type="paragraph" w:customStyle="1" w:styleId="NormalBold24a">
    <w:name w:val="NormalBold24a"/>
    <w:basedOn w:val="Normal"/>
    <w:rsid w:val="00714CF4"/>
    <w:pPr>
      <w:spacing w:after="480"/>
    </w:pPr>
    <w:rPr>
      <w:b/>
      <w:bCs/>
    </w:rPr>
  </w:style>
  <w:style w:type="paragraph" w:customStyle="1" w:styleId="EPComma">
    <w:name w:val="EPComma"/>
    <w:basedOn w:val="Normal"/>
    <w:rsid w:val="00714CF4"/>
    <w:pPr>
      <w:spacing w:before="480" w:after="240"/>
    </w:pPr>
  </w:style>
  <w:style w:type="character" w:styleId="Hyperlink">
    <w:name w:val="Hyperlink"/>
    <w:basedOn w:val="DefaultParagraphFont"/>
    <w:rsid w:val="00714CF4"/>
    <w:rPr>
      <w:color w:val="0563C1" w:themeColor="hyperlink"/>
      <w:u w:val="single"/>
    </w:rPr>
  </w:style>
  <w:style w:type="paragraph" w:customStyle="1" w:styleId="Institutionquiagit">
    <w:name w:val="Institution qui agit"/>
    <w:basedOn w:val="Normal"/>
    <w:next w:val="Normal"/>
    <w:rsid w:val="00714CF4"/>
    <w:pPr>
      <w:keepNext/>
      <w:snapToGrid w:val="0"/>
      <w:spacing w:after="240"/>
    </w:pPr>
    <w:rPr>
      <w:i/>
      <w:lang w:eastAsia="en-US"/>
    </w:rPr>
  </w:style>
  <w:style w:type="paragraph" w:customStyle="1" w:styleId="Institutionquisigne">
    <w:name w:val="Institution qui signe"/>
    <w:basedOn w:val="Normal"/>
    <w:next w:val="Normal"/>
    <w:rsid w:val="00714CF4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14CF4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14CF4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14CF4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714CF4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customStyle="1" w:styleId="NormalHanging12aChar">
    <w:name w:val="NormalHanging12a Char"/>
    <w:basedOn w:val="DefaultParagraphFont"/>
    <w:link w:val="NormalHanging12a"/>
    <w:locked/>
    <w:rsid w:val="00714CF4"/>
    <w:rPr>
      <w:sz w:val="24"/>
      <w:lang w:val="cs-CZ"/>
    </w:rPr>
  </w:style>
  <w:style w:type="character" w:customStyle="1" w:styleId="PageHeadingChar">
    <w:name w:val="PageHeading Char"/>
    <w:basedOn w:val="DefaultParagraphFont"/>
    <w:link w:val="PageHeading"/>
    <w:rsid w:val="00714CF4"/>
    <w:rPr>
      <w:rFonts w:ascii="Arial" w:hAnsi="Arial" w:cs="Arial"/>
      <w:b/>
      <w:sz w:val="24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7019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01907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1347</Words>
  <Characters>7989</Characters>
  <Application>Microsoft Office Word</Application>
  <DocSecurity>0</DocSecurity>
  <Lines>332</Lines>
  <Paragraphs>113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2025-12-15T09:31:00Z</dcterms:created>
  <dcterms:modified xsi:type="dcterms:W3CDTF">2025-12-15T09:31:00Z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P10_TA(2025)0220_</vt:lpwstr>
  </property>
  <property fmtid="{D5CDD505-2E9C-101B-9397-08002B2CF9AE}" pid="4" name="&lt;Type&gt;">
    <vt:lpwstr>RR</vt:lpwstr>
  </property>
</Properties>
</file>