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7C5F" w14:paraId="0AB8112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20FD3C" w14:textId="77777777" w:rsidR="00751A4A" w:rsidRPr="00CD7C5F" w:rsidRDefault="00FF6CE5" w:rsidP="0010095E">
            <w:pPr>
              <w:pStyle w:val="EPName"/>
            </w:pPr>
            <w:r w:rsidRPr="00CD7C5F">
              <w:t>Europa-Parlamentet</w:t>
            </w:r>
          </w:p>
          <w:p w14:paraId="0E9FE368" w14:textId="77777777" w:rsidR="00751A4A" w:rsidRPr="00CD7C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7C5F">
              <w:t>2024</w:t>
            </w:r>
            <w:r w:rsidR="00817416" w:rsidRPr="00CD7C5F">
              <w:t>-202</w:t>
            </w:r>
            <w:r w:rsidRPr="00CD7C5F">
              <w:t>9</w:t>
            </w:r>
          </w:p>
        </w:tc>
        <w:tc>
          <w:tcPr>
            <w:tcW w:w="2268" w:type="dxa"/>
            <w:shd w:val="clear" w:color="auto" w:fill="auto"/>
          </w:tcPr>
          <w:p w14:paraId="26E3C2E2" w14:textId="77777777" w:rsidR="00751A4A" w:rsidRPr="00CD7C5F" w:rsidRDefault="00187494" w:rsidP="0010095E">
            <w:pPr>
              <w:pStyle w:val="EPLogo"/>
            </w:pPr>
            <w:r w:rsidRPr="00CD7C5F">
              <w:rPr>
                <w:noProof/>
                <w:lang w:val="en-GB"/>
              </w:rPr>
              <w:drawing>
                <wp:inline distT="0" distB="0" distL="0" distR="0" wp14:anchorId="2836C411" wp14:editId="580C98B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75B4DE" w14:textId="77777777" w:rsidR="00D058B8" w:rsidRPr="00CD7C5F" w:rsidRDefault="00D058B8" w:rsidP="004C5D52">
      <w:pPr>
        <w:pStyle w:val="LineTop"/>
      </w:pPr>
    </w:p>
    <w:p w14:paraId="08A883FD" w14:textId="77777777" w:rsidR="00680577" w:rsidRPr="00CD7C5F" w:rsidRDefault="00FF6CE5" w:rsidP="00680577">
      <w:pPr>
        <w:pStyle w:val="EPBodyTA1"/>
      </w:pPr>
      <w:r w:rsidRPr="00CD7C5F">
        <w:t>VEDTAGNE TEKSTER</w:t>
      </w:r>
    </w:p>
    <w:p w14:paraId="43DC447F" w14:textId="77777777" w:rsidR="00D058B8" w:rsidRPr="00CD7C5F" w:rsidRDefault="00D058B8" w:rsidP="00D058B8">
      <w:pPr>
        <w:pStyle w:val="LineBottom"/>
      </w:pPr>
    </w:p>
    <w:p w14:paraId="743C8FD4" w14:textId="6E313F69" w:rsidR="00FF6CE5" w:rsidRPr="00CD7C5F" w:rsidRDefault="00FF6CE5" w:rsidP="00FF6CE5">
      <w:pPr>
        <w:pStyle w:val="ATHeading1"/>
      </w:pPr>
      <w:bookmarkStart w:id="0" w:name="TANumber"/>
      <w:r w:rsidRPr="00CD7C5F">
        <w:t>P10_TA(2025)0</w:t>
      </w:r>
      <w:bookmarkEnd w:id="0"/>
      <w:r w:rsidR="0095726B">
        <w:t>220</w:t>
      </w:r>
    </w:p>
    <w:p w14:paraId="5266B419" w14:textId="3B11EDF0" w:rsidR="00FF6CE5" w:rsidRPr="00CD7C5F" w:rsidRDefault="00A90A5B" w:rsidP="00A90A5B">
      <w:pPr>
        <w:pStyle w:val="ATHeading2"/>
      </w:pPr>
      <w:r>
        <w:t>Mobilisering af Den Europæiske Fond for Tilpasning til Globaliseringen: ansøgning EGF/2025/001 BE/</w:t>
      </w:r>
      <w:proofErr w:type="spellStart"/>
      <w:r>
        <w:t>BelGaN</w:t>
      </w:r>
      <w:proofErr w:type="spellEnd"/>
      <w:r>
        <w:t xml:space="preserve"> - Belgien</w:t>
      </w:r>
    </w:p>
    <w:p w14:paraId="4917F521" w14:textId="77777777" w:rsidR="00FF6CE5" w:rsidRPr="00CD7C5F" w:rsidRDefault="00FF6CE5" w:rsidP="00FF6CE5">
      <w:pPr>
        <w:rPr>
          <w:i/>
          <w:vanish/>
        </w:rPr>
      </w:pPr>
      <w:r w:rsidRPr="00CD7C5F">
        <w:rPr>
          <w:i/>
        </w:rPr>
        <w:fldChar w:fldCharType="begin"/>
      </w:r>
      <w:r w:rsidRPr="00CD7C5F">
        <w:rPr>
          <w:i/>
        </w:rPr>
        <w:instrText xml:space="preserve"> TC"(</w:instrText>
      </w:r>
      <w:bookmarkStart w:id="1" w:name="DocNumber"/>
      <w:r w:rsidRPr="00CD7C5F">
        <w:rPr>
          <w:i/>
        </w:rPr>
        <w:instrText>A10-0163/2025</w:instrText>
      </w:r>
      <w:bookmarkEnd w:id="1"/>
      <w:r w:rsidRPr="00CD7C5F">
        <w:rPr>
          <w:i/>
        </w:rPr>
        <w:instrText xml:space="preserve"> - Ordfører: Bogdan Rzońca)"\l3 \n&gt; \* MERGEFORMAT </w:instrText>
      </w:r>
      <w:r w:rsidRPr="00CD7C5F">
        <w:rPr>
          <w:i/>
        </w:rPr>
        <w:fldChar w:fldCharType="end"/>
      </w:r>
    </w:p>
    <w:p w14:paraId="3723C8DB" w14:textId="77777777" w:rsidR="00FF6CE5" w:rsidRPr="00CD7C5F" w:rsidRDefault="00FF6CE5" w:rsidP="00FF6CE5">
      <w:pPr>
        <w:rPr>
          <w:vanish/>
        </w:rPr>
      </w:pPr>
      <w:bookmarkStart w:id="2" w:name="Commission"/>
      <w:r w:rsidRPr="00CD7C5F">
        <w:rPr>
          <w:vanish/>
        </w:rPr>
        <w:t>Budgetudvalget</w:t>
      </w:r>
      <w:bookmarkEnd w:id="2"/>
    </w:p>
    <w:p w14:paraId="72DD598A" w14:textId="77777777" w:rsidR="00FF6CE5" w:rsidRPr="00CD7C5F" w:rsidRDefault="00FF6CE5" w:rsidP="00FF6CE5">
      <w:pPr>
        <w:rPr>
          <w:vanish/>
        </w:rPr>
      </w:pPr>
      <w:bookmarkStart w:id="3" w:name="PE"/>
      <w:r w:rsidRPr="00CD7C5F">
        <w:rPr>
          <w:vanish/>
        </w:rPr>
        <w:t>PE776.825</w:t>
      </w:r>
      <w:bookmarkEnd w:id="3"/>
    </w:p>
    <w:p w14:paraId="30C0F720" w14:textId="6543B66E" w:rsidR="00FF6CE5" w:rsidRPr="00CD7C5F" w:rsidRDefault="00FF6CE5" w:rsidP="00FF6CE5">
      <w:pPr>
        <w:pStyle w:val="ATHeading3"/>
      </w:pPr>
      <w:bookmarkStart w:id="4" w:name="Sujet"/>
      <w:r w:rsidRPr="00CD7C5F">
        <w:t xml:space="preserve">Europa-Parlamentets beslutning af </w:t>
      </w:r>
      <w:r w:rsidR="005E18CE">
        <w:t>8</w:t>
      </w:r>
      <w:r w:rsidRPr="00CD7C5F">
        <w:t>.</w:t>
      </w:r>
      <w:r w:rsidR="00A90A5B">
        <w:t xml:space="preserve"> oktober</w:t>
      </w:r>
      <w:r w:rsidRPr="00CD7C5F">
        <w:t xml:space="preserve"> 2025 om forslag til Europa-Parlamentets og Rådets afgørelse om mobilisering af Den Europæiske Fond for Tilpasning til Globaliseringen for Afskedigede Arbejdstagere på baggrund af en ansøgning fra Belgien (EGF/2025/001 BE/</w:t>
      </w:r>
      <w:proofErr w:type="spellStart"/>
      <w:r w:rsidRPr="00CD7C5F">
        <w:t>BelGaN</w:t>
      </w:r>
      <w:proofErr w:type="spellEnd"/>
      <w:r w:rsidRPr="00CD7C5F">
        <w:t>)</w:t>
      </w:r>
      <w:bookmarkEnd w:id="4"/>
      <w:r w:rsidRPr="00CD7C5F">
        <w:t xml:space="preserve"> </w:t>
      </w:r>
      <w:bookmarkStart w:id="5" w:name="References"/>
      <w:r w:rsidRPr="00CD7C5F">
        <w:t>(</w:t>
      </w:r>
      <w:proofErr w:type="gramStart"/>
      <w:r w:rsidRPr="00CD7C5F">
        <w:t>COM(</w:t>
      </w:r>
      <w:proofErr w:type="gramEnd"/>
      <w:r w:rsidRPr="00CD7C5F">
        <w:t>2025)0157 – C10-0188/2025 – 2025/0198(BUD))</w:t>
      </w:r>
      <w:bookmarkEnd w:id="5"/>
    </w:p>
    <w:p w14:paraId="38564750" w14:textId="77777777" w:rsidR="00E70C5E" w:rsidRPr="00CD7C5F" w:rsidRDefault="00E70C5E" w:rsidP="00E70C5E">
      <w:pPr>
        <w:pStyle w:val="EPComma"/>
        <w:rPr>
          <w:noProof/>
        </w:rPr>
      </w:pPr>
      <w:r w:rsidRPr="00CD7C5F">
        <w:rPr>
          <w:i/>
          <w:iCs/>
        </w:rPr>
        <w:t>Europa-Parlamentet,</w:t>
      </w:r>
    </w:p>
    <w:p w14:paraId="60FA8D38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–</w:t>
      </w:r>
      <w:r w:rsidRPr="00CD7C5F">
        <w:tab/>
        <w:t>der henviser til Kommissionens forslag til Europa-Parlamentet og Rådet (</w:t>
      </w:r>
      <w:proofErr w:type="gramStart"/>
      <w:r w:rsidRPr="00CD7C5F">
        <w:t>COM(</w:t>
      </w:r>
      <w:proofErr w:type="gramEnd"/>
      <w:r w:rsidRPr="00CD7C5F">
        <w:t>2025)0157 – C10</w:t>
      </w:r>
      <w:r w:rsidRPr="00CD7C5F">
        <w:noBreakHyphen/>
        <w:t>0188/2025),</w:t>
      </w:r>
    </w:p>
    <w:p w14:paraId="0708904A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–</w:t>
      </w:r>
      <w:r w:rsidRPr="00CD7C5F">
        <w:tab/>
        <w:t>der henviser til Europa-Parlamentets og Rådets forordning (EU) 2021/691 af 28. april 2021 om Den Europæiske Fond for Tilpasning til Globaliseringen for Afskedigede Arbejdstagere (EGF) og om ophævelse af forordning (EU) nr. 1309/2013</w:t>
      </w:r>
      <w:r w:rsidRPr="00CD7C5F">
        <w:rPr>
          <w:rStyle w:val="FootnoteReference"/>
        </w:rPr>
        <w:footnoteReference w:id="1"/>
      </w:r>
      <w:r w:rsidRPr="00CD7C5F">
        <w:t xml:space="preserve"> ("EGF-forordningen"),</w:t>
      </w:r>
    </w:p>
    <w:p w14:paraId="6E940C6B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–</w:t>
      </w:r>
      <w:r w:rsidRPr="00CD7C5F">
        <w:tab/>
        <w:t xml:space="preserve">der henviser til Rådets forordning (EU, </w:t>
      </w:r>
      <w:proofErr w:type="spellStart"/>
      <w:r w:rsidRPr="00CD7C5F">
        <w:t>Euratom</w:t>
      </w:r>
      <w:proofErr w:type="spellEnd"/>
      <w:r w:rsidRPr="00CD7C5F">
        <w:t>) 2020/2093 af 17. december 2020 om fastlæggelse af den flerårige finansielle ramme for årene 2021-2027</w:t>
      </w:r>
      <w:r w:rsidRPr="00CD7C5F">
        <w:rPr>
          <w:rStyle w:val="FootnoteReference"/>
          <w:noProof/>
        </w:rPr>
        <w:footnoteReference w:id="2"/>
      </w:r>
      <w:r w:rsidRPr="00CD7C5F">
        <w:t xml:space="preserve"> som ændret ved forordning (EU, </w:t>
      </w:r>
      <w:proofErr w:type="spellStart"/>
      <w:r w:rsidRPr="00CD7C5F">
        <w:t>Euratom</w:t>
      </w:r>
      <w:proofErr w:type="spellEnd"/>
      <w:r w:rsidRPr="00CD7C5F">
        <w:t>) 2024/765</w:t>
      </w:r>
      <w:r w:rsidRPr="00CD7C5F">
        <w:rPr>
          <w:rStyle w:val="FootnoteReference"/>
          <w:noProof/>
        </w:rPr>
        <w:footnoteReference w:id="3"/>
      </w:r>
      <w:r w:rsidRPr="00CD7C5F">
        <w:t xml:space="preserve"> særlig artikel 8,</w:t>
      </w:r>
    </w:p>
    <w:p w14:paraId="40AD6526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–</w:t>
      </w:r>
      <w:r w:rsidRPr="00CD7C5F">
        <w:tab/>
        <w:t xml:space="preserve">der henviser til den </w:t>
      </w:r>
      <w:proofErr w:type="spellStart"/>
      <w:r w:rsidRPr="00CD7C5F">
        <w:t>interinstitutionelle</w:t>
      </w:r>
      <w:proofErr w:type="spellEnd"/>
      <w:r w:rsidRPr="00CD7C5F">
        <w:t xml:space="preserve"> aftale af 16. december 2020 mellem Europa-Parlamentet, Rådet for Den Europæiske Union og Europa-Kommissionen om budgetdisciplin, om samarbejde på budgetområdet og om forsvarlig økonomisk forvaltning samt om nye egne indtægter, herunder en køreplan hen imod indførelse af </w:t>
      </w:r>
      <w:r w:rsidRPr="00CD7C5F">
        <w:lastRenderedPageBreak/>
        <w:t>nye egne indtægter</w:t>
      </w:r>
      <w:r w:rsidRPr="00CD7C5F">
        <w:rPr>
          <w:rStyle w:val="FootnoteReference"/>
          <w:noProof/>
        </w:rPr>
        <w:footnoteReference w:id="4"/>
      </w:r>
      <w:r w:rsidRPr="00CD7C5F">
        <w:t>, særlig punkt 12,</w:t>
      </w:r>
    </w:p>
    <w:p w14:paraId="570E3B72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–</w:t>
      </w:r>
      <w:r w:rsidRPr="00CD7C5F">
        <w:tab/>
        <w:t>der henviser til udtalelse fra Udvalget om Beskæftigelse og Sociale Anliggender,</w:t>
      </w:r>
    </w:p>
    <w:p w14:paraId="580B59AE" w14:textId="77777777" w:rsidR="00E70C5E" w:rsidRPr="00CD7C5F" w:rsidRDefault="00E70C5E" w:rsidP="00E70C5E">
      <w:pPr>
        <w:pStyle w:val="NormalHanging12a"/>
      </w:pPr>
      <w:r w:rsidRPr="00CD7C5F">
        <w:t>–</w:t>
      </w:r>
      <w:r w:rsidRPr="00CD7C5F">
        <w:tab/>
        <w:t>der henviser til betænkning fra Budgetudvalget (A10-0163/2025),</w:t>
      </w:r>
    </w:p>
    <w:p w14:paraId="467C5D2D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A.</w:t>
      </w:r>
      <w:r w:rsidRPr="00CD7C5F">
        <w:tab/>
        <w:t>der henviser til, at Unionen har oprettet lovgivnings- og budgetinstrumenter, der skal yde supplerende støtte til arbejdstagere, der er ramt af konsekvenserne af gennemgribende strukturelle ændringer i verdenshandelsmønstrene eller den globale finansielle og økonomiske krise, og hjælpe dem med at vende tilbage til arbejdsmarkedet; der henviser til, at denne bistand ydes gennem økonomisk støtte til arbejdstagere og de virksomheder, som de har arbejdet for;</w:t>
      </w:r>
    </w:p>
    <w:p w14:paraId="2C0F4F94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 xml:space="preserve">B. </w:t>
      </w:r>
      <w:r w:rsidRPr="00CD7C5F">
        <w:tab/>
        <w:t>der henviser til, at Belgien indgav ansøgning EGF/2025/001 BE/</w:t>
      </w:r>
      <w:proofErr w:type="spellStart"/>
      <w:r w:rsidRPr="00CD7C5F">
        <w:t>BelGaN</w:t>
      </w:r>
      <w:proofErr w:type="spellEnd"/>
      <w:r w:rsidRPr="00CD7C5F">
        <w:t xml:space="preserve"> om økonomisk støtte fra Den Europæiske Fond for Tilpasning til Globaliseringen (EGF) som følge af 417 afskedigelser i den økonomiske sektor, der er klassificeret under NACE rev. 2, hovedgruppe 26 (Fremstilling af computere, elektroniske og optiske produkter), i regionen </w:t>
      </w:r>
      <w:proofErr w:type="spellStart"/>
      <w:r w:rsidRPr="00CD7C5F">
        <w:t>Provincie</w:t>
      </w:r>
      <w:proofErr w:type="spellEnd"/>
      <w:r w:rsidRPr="00CD7C5F">
        <w:t xml:space="preserve"> </w:t>
      </w:r>
      <w:proofErr w:type="spellStart"/>
      <w:r w:rsidRPr="00CD7C5F">
        <w:t>Oost</w:t>
      </w:r>
      <w:proofErr w:type="spellEnd"/>
      <w:r w:rsidRPr="00CD7C5F">
        <w:t xml:space="preserve">-Vlaanderen (BE23), inden for en referenceperiode for ansøgningen, der løber fra den 31. juli 2024 til den 30. november 2024; </w:t>
      </w:r>
    </w:p>
    <w:p w14:paraId="626CBE80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 xml:space="preserve">C. </w:t>
      </w:r>
      <w:r w:rsidRPr="00CD7C5F">
        <w:tab/>
        <w:t>der henviser til, at ansøgningen er baseret EGF-forordningens artikel 4, stk. 2, litra a), som forudsætter aktivitetsophør for mindst 200 afskedigede arbejdstagere eller selvstændige i løbet af en firemåneders referenceperiode i en virksomhed i en medlemsstat, inklusive arbejdstagere, der er blevet afskediget af leverandører eller producenter i efterfølgende produktionsled;</w:t>
      </w:r>
    </w:p>
    <w:p w14:paraId="00D51742" w14:textId="41FBAE14" w:rsidR="00E70C5E" w:rsidRPr="00CD7C5F" w:rsidRDefault="00E70C5E" w:rsidP="00E70C5E">
      <w:pPr>
        <w:pStyle w:val="NormalHanging12a"/>
        <w:rPr>
          <w:noProof/>
        </w:rPr>
      </w:pPr>
      <w:bookmarkStart w:id="6" w:name="_Hlk207698597"/>
      <w:r w:rsidRPr="00CD7C5F">
        <w:t xml:space="preserve">D. </w:t>
      </w:r>
      <w:r w:rsidRPr="00CD7C5F">
        <w:tab/>
        <w:t xml:space="preserve">der henviser til, at den russiske angrebskrig mod Ukraine og den stigende inflation har haft en indvirkning på omkostningerne til energi, materialer og arbejdskraft og medført et øget pres på </w:t>
      </w:r>
      <w:proofErr w:type="spellStart"/>
      <w:r w:rsidR="005E18CE" w:rsidRPr="00CD7C5F">
        <w:t>BelGaN</w:t>
      </w:r>
      <w:r w:rsidR="005E18CE">
        <w:t>’s</w:t>
      </w:r>
      <w:proofErr w:type="spellEnd"/>
      <w:r w:rsidR="005E18CE">
        <w:t xml:space="preserve"> </w:t>
      </w:r>
      <w:r w:rsidRPr="00CD7C5F">
        <w:t xml:space="preserve">margin;  </w:t>
      </w:r>
    </w:p>
    <w:bookmarkEnd w:id="6"/>
    <w:p w14:paraId="09EA01E4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 xml:space="preserve">E. </w:t>
      </w:r>
      <w:r w:rsidRPr="00CD7C5F">
        <w:tab/>
        <w:t xml:space="preserve">der henviser til, at </w:t>
      </w:r>
      <w:proofErr w:type="spellStart"/>
      <w:r w:rsidRPr="00CD7C5F">
        <w:t>BelGaN</w:t>
      </w:r>
      <w:proofErr w:type="spellEnd"/>
      <w:r w:rsidRPr="00CD7C5F">
        <w:t xml:space="preserve"> var specialiseret i fremstilling af halvledere til bilindustrien; der henviser til, at den europæiske bil- og underleverandørindustri er udsat for et hidtil uset pres fra både eksterne og interne udfordringer såsom konkurrenceforvridning og høje energiomkostninger;</w:t>
      </w:r>
    </w:p>
    <w:p w14:paraId="7157432B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F.</w:t>
      </w:r>
      <w:r w:rsidRPr="00CD7C5F">
        <w:tab/>
        <w:t xml:space="preserve">der henviser til, at virksomheden oplevede et betydeligt fald i rentabiliteten på grund af likviditetsproblemer som følge af omstillingen fra at fremstille siliciumbaserede chips til at fremstille chips baseret på en teknologi med </w:t>
      </w:r>
      <w:proofErr w:type="spellStart"/>
      <w:r w:rsidRPr="00CD7C5F">
        <w:t>galliumnitrid</w:t>
      </w:r>
      <w:proofErr w:type="spellEnd"/>
      <w:r w:rsidRPr="00CD7C5F">
        <w:t xml:space="preserve"> (</w:t>
      </w:r>
      <w:proofErr w:type="spellStart"/>
      <w:r w:rsidRPr="00CD7C5F">
        <w:t>GaN</w:t>
      </w:r>
      <w:proofErr w:type="spellEnd"/>
      <w:r w:rsidRPr="00CD7C5F">
        <w:t xml:space="preserve">), som blev hæmmet af høje produktionsomkostninger og utilstrækkelige investeringer i omstillingsperioden; </w:t>
      </w:r>
    </w:p>
    <w:p w14:paraId="3BB8CEEE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G.</w:t>
      </w:r>
      <w:r w:rsidRPr="00CD7C5F">
        <w:tab/>
        <w:t xml:space="preserve">der henviser til, at </w:t>
      </w:r>
      <w:proofErr w:type="spellStart"/>
      <w:r w:rsidRPr="00CD7C5F">
        <w:t>BelGaN</w:t>
      </w:r>
      <w:proofErr w:type="spellEnd"/>
      <w:r w:rsidRPr="00CD7C5F">
        <w:t xml:space="preserve"> indgav konkursbegæring den 30. juli 2024;</w:t>
      </w:r>
    </w:p>
    <w:p w14:paraId="3BE75DE6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H.</w:t>
      </w:r>
      <w:r w:rsidRPr="00CD7C5F">
        <w:tab/>
        <w:t>der henviser til, at den flamske arbejdsformidling (VDAB</w:t>
      </w:r>
      <w:r w:rsidRPr="00CD7C5F">
        <w:rPr>
          <w:rStyle w:val="FootnoteReference"/>
          <w:noProof/>
        </w:rPr>
        <w:footnoteReference w:id="5"/>
      </w:r>
      <w:r w:rsidRPr="00CD7C5F">
        <w:t xml:space="preserve">) yder den nationale </w:t>
      </w:r>
      <w:proofErr w:type="spellStart"/>
      <w:r w:rsidRPr="00CD7C5F">
        <w:t>forfinansiering</w:t>
      </w:r>
      <w:proofErr w:type="spellEnd"/>
      <w:r w:rsidRPr="00CD7C5F">
        <w:t xml:space="preserve"> og medfinansiering af foranstaltningerne;</w:t>
      </w:r>
    </w:p>
    <w:p w14:paraId="360A0770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I.</w:t>
      </w:r>
      <w:r w:rsidRPr="00CD7C5F">
        <w:tab/>
        <w:t xml:space="preserve">der henviser til, at virksomheden i overensstemmelse med belgisk ret har fulgt den obligatoriske procedure for information og høring af arbejdstagernes repræsentanter; der </w:t>
      </w:r>
      <w:r w:rsidRPr="00CD7C5F">
        <w:lastRenderedPageBreak/>
        <w:t xml:space="preserve">henviser til, at kravet om oprettelse af en beskæftigelsesenhed, som har til formål at stille genplaceringstjenester til rådighed for arbejdstagere, der afskediges i forbindelse med kollektive afskedigelser, ikke finder anvendelse i tilfælde af konkurs, og at genplaceringstjenesterne derfor blev ydet af VDAB; </w:t>
      </w:r>
    </w:p>
    <w:p w14:paraId="39CC2715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J.</w:t>
      </w:r>
      <w:r w:rsidRPr="00CD7C5F">
        <w:tab/>
        <w:t>der henviser til, at den økonomiske støtte fra EGF primært bør være rettet mod aktive arbejdsmarkedspolitiske foranstaltninger og individualiserede tilbud, som har til formål hurtigt at reintegrere støttemodtagerne i anstændig og bæredygtig beskæftigelse inden for eller uden for deres oprindelige aktivitetssektor, samtidig med at de gøres parate til en grønnere og mere digital europæisk økonomi;</w:t>
      </w:r>
    </w:p>
    <w:p w14:paraId="680430D6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K.</w:t>
      </w:r>
      <w:r w:rsidRPr="00CD7C5F">
        <w:tab/>
        <w:t xml:space="preserve">der henviser til, at EGF ikke må overstige et maksimalt årligt beløb på 30 mio. EUR (i 2018-priser), jf. artikel 8 i forordning (EU, </w:t>
      </w:r>
      <w:proofErr w:type="spellStart"/>
      <w:r w:rsidRPr="00CD7C5F">
        <w:t>Euratom</w:t>
      </w:r>
      <w:proofErr w:type="spellEnd"/>
      <w:r w:rsidRPr="00CD7C5F">
        <w:t xml:space="preserve">) 2020/2093 som ændret ved forordning (EU, </w:t>
      </w:r>
      <w:proofErr w:type="spellStart"/>
      <w:r w:rsidRPr="00CD7C5F">
        <w:t>Euratom</w:t>
      </w:r>
      <w:proofErr w:type="spellEnd"/>
      <w:r w:rsidRPr="00CD7C5F">
        <w:t>) 2024/765;</w:t>
      </w:r>
    </w:p>
    <w:p w14:paraId="395DA5CD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1.</w:t>
      </w:r>
      <w:r w:rsidRPr="00CD7C5F">
        <w:tab/>
        <w:t>er enigt med Kommissionen i, at betingelserne i artikel 4, stk. 2, litra a), i EGF-forordningen er opfyldt, og at Belgien derfor er berettiget til en økonomisk støtte på 931 690 EUR i henhold til nævnte forordning, hvilket svarer til 85 % af de samlede omkostninger på 1 096 107 EUR, og omfatter udgifterne til individualiserede tilbud på 1 052 607 EUR samt udgifter til forberedende arbejde, forvaltning, oplysning, offentlig omtale, kontrol- og rapporteringsaktiviteter på 43 500 EUR;</w:t>
      </w:r>
    </w:p>
    <w:p w14:paraId="58AE712E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 xml:space="preserve">2. </w:t>
      </w:r>
      <w:r w:rsidRPr="00CD7C5F">
        <w:tab/>
        <w:t>bemærker, at de belgiske myndigheder indgav ansøgningen den 21. februar 2025, og at Kommissionen, efter at Belgien havde forelagt yderligere oplysninger, afsluttede sin vurdering heraf den 7. juli 2025 – næsten fem måneder senere – og fremsendte den til Parlamentet den 26. august 2025; understreger vigtigheden af at forkorte tidsrummet mellem indgivelsen af en ansøgning om EGF-støtte og finansieringsafgørelsen; understreger nødvendigheden af at forenkle og fremskynde interne procedurer, uden at dette undergraver den institutionelle balance, navnlig Europa-Parlamentets rettigheder som budgetmyndighed;</w:t>
      </w:r>
    </w:p>
    <w:p w14:paraId="3738C508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3.</w:t>
      </w:r>
      <w:r w:rsidRPr="00CD7C5F">
        <w:tab/>
        <w:t xml:space="preserve">der henviser til, at ansøgningen vedrører 417 tiltænkte støttemodtagere, der blev afskediget i virksomheden </w:t>
      </w:r>
      <w:proofErr w:type="spellStart"/>
      <w:r w:rsidRPr="00CD7C5F">
        <w:t>BelGaN</w:t>
      </w:r>
      <w:proofErr w:type="spellEnd"/>
      <w:r w:rsidRPr="00CD7C5F">
        <w:t>;</w:t>
      </w:r>
    </w:p>
    <w:p w14:paraId="17EB9D26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4.</w:t>
      </w:r>
      <w:r w:rsidRPr="00CD7C5F">
        <w:tab/>
        <w:t xml:space="preserve">påpeger, at </w:t>
      </w:r>
      <w:proofErr w:type="spellStart"/>
      <w:r w:rsidRPr="00CD7C5F">
        <w:t>BelGaN</w:t>
      </w:r>
      <w:proofErr w:type="spellEnd"/>
      <w:r w:rsidRPr="00CD7C5F">
        <w:t xml:space="preserve">-afskedigelserne pressede den årlige arbejdsløshedsprocent op på + 9 % i </w:t>
      </w:r>
      <w:proofErr w:type="spellStart"/>
      <w:r w:rsidRPr="00CD7C5F">
        <w:t>Oudenaarde</w:t>
      </w:r>
      <w:proofErr w:type="spellEnd"/>
      <w:r w:rsidRPr="00CD7C5F">
        <w:t>-området, især blandt højt- og mellemuddannede arbejdsløse arbejdstagere; bemærker, at jobmulighederne i området samtidig faldt med - 22 % som følge af en betydelig stigning i antallet af virksomheder, der har indgivet konkursbegæring i løbet af de seneste tre år;</w:t>
      </w:r>
    </w:p>
    <w:p w14:paraId="44F87B18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5.</w:t>
      </w:r>
      <w:r w:rsidRPr="00CD7C5F">
        <w:tab/>
        <w:t>minder om, at de individualiserede tilbud til arbejdstagere omfatter følgende foranstaltninger: informationsmøder, genplacering, efteruddannelse og omskoling, uddannelse på arbejdspladsen, jobmesse, hjælp til jobsøgning, undersøgelse af jobmuligheder og jobmatchning med det formål at sætte arbejdstagerne i stand til at vende tilbage til arbejdsmarkedet så hurtigt som muligt og udstyre dem med færdigheder og uddannelse af høj kvalitet, der er relevant for potentielle arbejdsgivere i sektoren, samtidig med at deres evne til at udvikle iværksætterinitiativer og nye projekter fremmes; understreger i den forbindelse, at en veluddannet arbejdsstyrke er af afgørende betydning for en fremtidssikret europæisk økonomi;</w:t>
      </w:r>
    </w:p>
    <w:p w14:paraId="0B971BB8" w14:textId="77777777" w:rsidR="00E70C5E" w:rsidRPr="00CD7C5F" w:rsidRDefault="00E70C5E" w:rsidP="00E70C5E">
      <w:pPr>
        <w:pStyle w:val="NormalHanging12a"/>
        <w:rPr>
          <w:bCs/>
          <w:iCs/>
          <w:noProof/>
        </w:rPr>
      </w:pPr>
      <w:r w:rsidRPr="00CD7C5F">
        <w:t>6.</w:t>
      </w:r>
      <w:r w:rsidRPr="00CD7C5F">
        <w:tab/>
        <w:t xml:space="preserve">opfordrer til, at der gennemføres omfattende endelige evalueringer af de gennemførte </w:t>
      </w:r>
      <w:r w:rsidRPr="00CD7C5F">
        <w:lastRenderedPageBreak/>
        <w:t>foranstaltninger, bl.a. med hensyn til oplysninger om, hvor mange arbejdstagere, der er vendt tilbage til arbejdsmarkedet, og vedrørende feedback fra støttemodtagerne om kvaliteten og relevansen af den ydede støtte;</w:t>
      </w:r>
    </w:p>
    <w:p w14:paraId="3F0F06B5" w14:textId="0F36E0C4" w:rsidR="00E70C5E" w:rsidRPr="00CD7C5F" w:rsidRDefault="00E70C5E" w:rsidP="00E70C5E">
      <w:pPr>
        <w:pStyle w:val="NormalHanging12a"/>
        <w:rPr>
          <w:noProof/>
        </w:rPr>
      </w:pPr>
      <w:r w:rsidRPr="00CD7C5F">
        <w:t>7.</w:t>
      </w:r>
      <w:r w:rsidRPr="00CD7C5F">
        <w:tab/>
        <w:t xml:space="preserve">bemærker, at Belgien begyndte at give individualiserede tilbud til de tiltænkte støttemodtagere den 8. august 2024, og at perioden for berettigelse til økonomisk EGF-støtte derfor vil være fra den dato og indtil 24 måneder efter datoen for </w:t>
      </w:r>
      <w:r w:rsidR="00A914FA" w:rsidRPr="00CD7C5F">
        <w:t>ikrafttræden</w:t>
      </w:r>
      <w:r w:rsidR="00A914FA">
        <w:t xml:space="preserve"> af</w:t>
      </w:r>
      <w:r w:rsidR="00B7474A">
        <w:t xml:space="preserve"> </w:t>
      </w:r>
      <w:r w:rsidRPr="00CD7C5F">
        <w:t>afgørelsen</w:t>
      </w:r>
      <w:r w:rsidR="005E18CE">
        <w:t xml:space="preserve">, </w:t>
      </w:r>
      <w:r w:rsidR="005E18CE" w:rsidRPr="005E18CE">
        <w:t xml:space="preserve">der er </w:t>
      </w:r>
      <w:r w:rsidR="00B65B08">
        <w:t xml:space="preserve">vedføjet </w:t>
      </w:r>
      <w:r w:rsidR="005E18CE" w:rsidRPr="005E18CE">
        <w:t>som bilag til denne beslutning</w:t>
      </w:r>
      <w:r w:rsidRPr="00CD7C5F">
        <w:t>;</w:t>
      </w:r>
      <w:r w:rsidR="005E18CE">
        <w:t xml:space="preserve"> </w:t>
      </w:r>
    </w:p>
    <w:p w14:paraId="3E8135AE" w14:textId="4E3DC71F" w:rsidR="00E70C5E" w:rsidRPr="00CD7C5F" w:rsidRDefault="00E70C5E" w:rsidP="00E70C5E">
      <w:pPr>
        <w:pStyle w:val="NormalHanging12a"/>
        <w:rPr>
          <w:noProof/>
        </w:rPr>
      </w:pPr>
      <w:r w:rsidRPr="00CD7C5F">
        <w:t>8.</w:t>
      </w:r>
      <w:r w:rsidRPr="00CD7C5F">
        <w:tab/>
        <w:t xml:space="preserve">bemærker, at Belgien siden den 31. juli 2024 har afholdt de administrative udgifter til gennemførelsen af EGF-støtten, og at disse udgifter derfor berettiger til et økonomisk bidrag fra EGF fra den dato og indtil 31 måneder efter datoen for </w:t>
      </w:r>
      <w:r w:rsidR="00A914FA" w:rsidRPr="00CD7C5F">
        <w:t>ikrafttræden</w:t>
      </w:r>
      <w:r w:rsidR="00A914FA">
        <w:t xml:space="preserve"> af </w:t>
      </w:r>
      <w:r w:rsidRPr="00CD7C5F">
        <w:t>afgørelsen</w:t>
      </w:r>
      <w:r w:rsidR="005E18CE">
        <w:t xml:space="preserve">, </w:t>
      </w:r>
      <w:r w:rsidR="005E18CE" w:rsidRPr="005E18CE">
        <w:t xml:space="preserve">der er </w:t>
      </w:r>
      <w:r w:rsidR="00B65B08">
        <w:t xml:space="preserve">vedføjet </w:t>
      </w:r>
      <w:r w:rsidR="005E18CE" w:rsidRPr="005E18CE">
        <w:t>som bilag til denne beslutning</w:t>
      </w:r>
      <w:r w:rsidRPr="00CD7C5F">
        <w:t>;</w:t>
      </w:r>
    </w:p>
    <w:p w14:paraId="7DF52B93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9.</w:t>
      </w:r>
      <w:r w:rsidRPr="00CD7C5F">
        <w:tab/>
        <w:t>understreger, at de belgiske myndigheder har givet garanti for, at principperne om ligebehandling og ikkeforskelsbehandling vil blive overholdt i forbindelse med adgang til de foreslåede foranstaltninger og deres gennemførelse, og at dobbeltfinansiering vil blive forhindret;</w:t>
      </w:r>
    </w:p>
    <w:p w14:paraId="41959EAA" w14:textId="77777777" w:rsidR="00E70C5E" w:rsidRPr="00CD7C5F" w:rsidRDefault="00E70C5E" w:rsidP="00E70C5E">
      <w:pPr>
        <w:pStyle w:val="NormalHanging12a"/>
        <w:rPr>
          <w:bCs/>
          <w:iCs/>
          <w:noProof/>
        </w:rPr>
      </w:pPr>
      <w:r w:rsidRPr="00CD7C5F">
        <w:t>10.</w:t>
      </w:r>
      <w:r w:rsidRPr="00CD7C5F">
        <w:tab/>
        <w:t>understreger, at det er nødvendigt at sikre klar anerkendelse og synlighed af Unionens finansiering med henblik på at fremhæve merværdien heraf; opfordrer til, at der sikres konsekvent og målrettet kommunikation med støttemodtagere, regionale og lokale myndigheder, arbejdsmarkedets parter, medierne og den brede offentlighed;</w:t>
      </w:r>
    </w:p>
    <w:p w14:paraId="23F4A7C4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11.</w:t>
      </w:r>
      <w:r w:rsidRPr="00CD7C5F">
        <w:tab/>
        <w:t>gentager, at EGF-støtte ikke må erstatte foranstaltninger, som det påhviler virksomhederne at gennemføre i henhold til national lovgivning eller kollektive overenskomster;</w:t>
      </w:r>
    </w:p>
    <w:p w14:paraId="7BD4D308" w14:textId="36B63696" w:rsidR="00E70C5E" w:rsidRPr="00CD7C5F" w:rsidRDefault="00E70C5E" w:rsidP="00E70C5E">
      <w:pPr>
        <w:pStyle w:val="NormalHanging12a"/>
        <w:rPr>
          <w:noProof/>
        </w:rPr>
      </w:pPr>
      <w:r w:rsidRPr="00CD7C5F">
        <w:t>12.</w:t>
      </w:r>
      <w:r w:rsidRPr="00CD7C5F">
        <w:tab/>
        <w:t xml:space="preserve">godkender den afgørelse, der er vedføjet </w:t>
      </w:r>
      <w:r w:rsidR="00B65B08">
        <w:t xml:space="preserve">som bilag til </w:t>
      </w:r>
      <w:r w:rsidRPr="00CD7C5F">
        <w:t>denne beslutning;</w:t>
      </w:r>
    </w:p>
    <w:p w14:paraId="2EB0C907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13.</w:t>
      </w:r>
      <w:r w:rsidRPr="00CD7C5F">
        <w:tab/>
        <w:t xml:space="preserve">pålægger sin formand at undertegne denne afgørelse sammen med Rådets formand og drage omsorg for, at den offentliggøres i </w:t>
      </w:r>
      <w:r w:rsidRPr="00CD7C5F">
        <w:rPr>
          <w:i/>
          <w:iCs/>
        </w:rPr>
        <w:t>Den Europæiske Unions Tidende</w:t>
      </w:r>
      <w:r w:rsidRPr="00CD7C5F">
        <w:t>;</w:t>
      </w:r>
    </w:p>
    <w:p w14:paraId="4F1CD368" w14:textId="77777777" w:rsidR="00E70C5E" w:rsidRPr="00CD7C5F" w:rsidRDefault="00E70C5E" w:rsidP="00E70C5E">
      <w:pPr>
        <w:pStyle w:val="NormalHanging12a"/>
        <w:rPr>
          <w:noProof/>
        </w:rPr>
      </w:pPr>
      <w:r w:rsidRPr="00CD7C5F">
        <w:t>14.</w:t>
      </w:r>
      <w:r w:rsidRPr="00CD7C5F">
        <w:tab/>
        <w:t>pålægger sin formand at sende denne beslutning sammen med bilaget til Rådet og Kommissionen.</w:t>
      </w:r>
    </w:p>
    <w:p w14:paraId="1FE709A9" w14:textId="77777777" w:rsidR="00E70C5E" w:rsidRPr="00CD7C5F" w:rsidRDefault="00E70C5E" w:rsidP="00E70C5E">
      <w:pPr>
        <w:rPr>
          <w:noProof/>
        </w:rPr>
      </w:pPr>
    </w:p>
    <w:p w14:paraId="7D6A59CE" w14:textId="77777777" w:rsidR="00E70C5E" w:rsidRPr="00CD7C5F" w:rsidRDefault="00E70C5E" w:rsidP="00E70C5E">
      <w:pPr>
        <w:widowControl/>
        <w:rPr>
          <w:rFonts w:ascii="Arial" w:hAnsi="Arial" w:cs="Arial"/>
          <w:b/>
          <w:noProof/>
        </w:rPr>
      </w:pPr>
      <w:r w:rsidRPr="00CD7C5F">
        <w:br w:type="page"/>
      </w:r>
    </w:p>
    <w:p w14:paraId="740423A0" w14:textId="77777777" w:rsidR="00E70C5E" w:rsidRPr="00CD7C5F" w:rsidRDefault="00E70C5E" w:rsidP="00E70C5E">
      <w:pPr>
        <w:widowControl/>
        <w:rPr>
          <w:rFonts w:ascii="Arial" w:hAnsi="Arial" w:cs="Arial"/>
          <w:b/>
          <w:noProof/>
        </w:rPr>
        <w:sectPr w:rsidR="00E70C5E" w:rsidRPr="00CD7C5F" w:rsidSect="00CD7C5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64A6E82A" w14:textId="77777777" w:rsidR="00801EA9" w:rsidRPr="00801EA9" w:rsidRDefault="00E70C5E" w:rsidP="00E70C5E">
      <w:pPr>
        <w:pStyle w:val="PageHeading"/>
        <w:rPr>
          <w:rFonts w:ascii="Times New Roman" w:hAnsi="Times New Roman" w:cs="Times New Roman"/>
        </w:rPr>
      </w:pPr>
      <w:bookmarkStart w:id="7" w:name="_Toc206749163"/>
      <w:bookmarkStart w:id="8" w:name="_Toc210291651"/>
      <w:r w:rsidRPr="00801EA9">
        <w:rPr>
          <w:rFonts w:ascii="Times New Roman" w:hAnsi="Times New Roman" w:cs="Times New Roman"/>
        </w:rPr>
        <w:lastRenderedPageBreak/>
        <w:t>BILAG</w:t>
      </w:r>
    </w:p>
    <w:p w14:paraId="5DD7B1A0" w14:textId="59531DB1" w:rsidR="00E70C5E" w:rsidRPr="00801EA9" w:rsidRDefault="00E70C5E" w:rsidP="00E70C5E">
      <w:pPr>
        <w:pStyle w:val="PageHeading"/>
        <w:rPr>
          <w:rFonts w:ascii="Times New Roman" w:hAnsi="Times New Roman" w:cs="Times New Roman"/>
          <w:noProof/>
        </w:rPr>
      </w:pPr>
      <w:r w:rsidRPr="00801EA9">
        <w:rPr>
          <w:rFonts w:ascii="Times New Roman" w:hAnsi="Times New Roman" w:cs="Times New Roman"/>
        </w:rPr>
        <w:t>EUROPA-PARLAMENTETS OG RÅDETS AFGØRELSE</w:t>
      </w:r>
      <w:bookmarkEnd w:id="7"/>
      <w:bookmarkEnd w:id="8"/>
    </w:p>
    <w:p w14:paraId="36C634BF" w14:textId="77777777" w:rsidR="00E70C5E" w:rsidRDefault="00E70C5E" w:rsidP="00E70C5E">
      <w:pPr>
        <w:pStyle w:val="NormalBold24a"/>
      </w:pPr>
      <w:r w:rsidRPr="00CD7C5F">
        <w:t>om mobilisering af Den Europæiske Fond for Tilpasning til Globaliseringen for Afskedigede Arbejdstagere på baggrund af en ansøgning fra Belgien (EGF/2025/001 BE/</w:t>
      </w:r>
      <w:proofErr w:type="spellStart"/>
      <w:r w:rsidRPr="00CD7C5F">
        <w:t>BelGaN</w:t>
      </w:r>
      <w:proofErr w:type="spellEnd"/>
      <w:r w:rsidRPr="00CD7C5F">
        <w:t>)</w:t>
      </w:r>
    </w:p>
    <w:p w14:paraId="393C4E04" w14:textId="2D334AC1" w:rsidR="00801EA9" w:rsidRPr="00801EA9" w:rsidRDefault="00801EA9" w:rsidP="00E70C5E">
      <w:pPr>
        <w:pStyle w:val="NormalBold24a"/>
        <w:rPr>
          <w:b w:val="0"/>
        </w:rPr>
      </w:pPr>
      <w:r w:rsidRPr="00801EA9">
        <w:rPr>
          <w:rFonts w:eastAsia="Calibri"/>
          <w:b w:val="0"/>
          <w:i/>
          <w:iCs/>
          <w:szCs w:val="24"/>
          <w:lang w:eastAsia="en-US"/>
        </w:rPr>
        <w:t>(Teksten i bilaget gengives ikke her, eftersom det svarer til den endelige retsakt, afgørelse (EU) 202</w:t>
      </w:r>
      <w:r w:rsidRPr="00801EA9">
        <w:rPr>
          <w:rFonts w:eastAsia="Calibri"/>
          <w:b w:val="0"/>
          <w:i/>
          <w:iCs/>
          <w:szCs w:val="24"/>
          <w:lang w:eastAsia="en-US"/>
        </w:rPr>
        <w:t>5</w:t>
      </w:r>
      <w:r w:rsidRPr="00801EA9">
        <w:rPr>
          <w:rFonts w:eastAsia="Calibri"/>
          <w:b w:val="0"/>
          <w:i/>
          <w:iCs/>
          <w:szCs w:val="24"/>
          <w:lang w:eastAsia="en-US"/>
        </w:rPr>
        <w:t>/21</w:t>
      </w:r>
      <w:r w:rsidRPr="00801EA9">
        <w:rPr>
          <w:rFonts w:eastAsia="Calibri"/>
          <w:b w:val="0"/>
          <w:i/>
          <w:iCs/>
          <w:szCs w:val="24"/>
          <w:lang w:eastAsia="en-US"/>
        </w:rPr>
        <w:t>33</w:t>
      </w:r>
      <w:r w:rsidRPr="00801EA9">
        <w:rPr>
          <w:rFonts w:eastAsia="Calibri"/>
          <w:b w:val="0"/>
          <w:i/>
          <w:iCs/>
          <w:szCs w:val="24"/>
          <w:lang w:eastAsia="en-US"/>
        </w:rPr>
        <w:t>.)</w:t>
      </w:r>
    </w:p>
    <w:sectPr w:rsidR="00801EA9" w:rsidRPr="00801EA9" w:rsidSect="00CD7C5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AF9E6" w14:textId="77777777" w:rsidR="00FF6CE5" w:rsidRPr="00CD7C5F" w:rsidRDefault="00FF6CE5">
      <w:r w:rsidRPr="00CD7C5F">
        <w:separator/>
      </w:r>
    </w:p>
  </w:endnote>
  <w:endnote w:type="continuationSeparator" w:id="0">
    <w:p w14:paraId="5FC495BF" w14:textId="77777777" w:rsidR="00FF6CE5" w:rsidRPr="00CD7C5F" w:rsidRDefault="00FF6CE5">
      <w:r w:rsidRPr="00CD7C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837CF" w14:textId="77777777" w:rsidR="00E70C5E" w:rsidRPr="00CD7C5F" w:rsidRDefault="00E70C5E" w:rsidP="002A1D20">
    <w:pPr>
      <w:pStyle w:val="EPFooter"/>
    </w:pPr>
    <w:r w:rsidRPr="00CD7C5F">
      <w:t>PE</w:t>
    </w:r>
    <w:r w:rsidRPr="00CD7C5F">
      <w:rPr>
        <w:rStyle w:val="HideTWBExt"/>
      </w:rPr>
      <w:t>&lt;NoPE&gt;</w:t>
    </w:r>
    <w:r w:rsidRPr="00CD7C5F">
      <w:t>776.825</w:t>
    </w:r>
    <w:r w:rsidRPr="00CD7C5F">
      <w:rPr>
        <w:rStyle w:val="HideTWBExt"/>
      </w:rPr>
      <w:t>&lt;/NoPE&gt;&lt;Version&gt;</w:t>
    </w:r>
    <w:r w:rsidRPr="00CD7C5F">
      <w:t>v02-00</w:t>
    </w:r>
    <w:r w:rsidRPr="00CD7C5F">
      <w:rPr>
        <w:rStyle w:val="HideTWBExt"/>
      </w:rPr>
      <w:t>&lt;/Version&gt;</w:t>
    </w:r>
    <w:r w:rsidRPr="00CD7C5F">
      <w:tab/>
    </w:r>
    <w:r w:rsidRPr="00CD7C5F">
      <w:fldChar w:fldCharType="begin"/>
    </w:r>
    <w:r w:rsidRPr="00CD7C5F">
      <w:instrText xml:space="preserve"> PAGE  \* MERGEFORMAT </w:instrText>
    </w:r>
    <w:r w:rsidRPr="00CD7C5F">
      <w:fldChar w:fldCharType="separate"/>
    </w:r>
    <w:r w:rsidRPr="00CD7C5F">
      <w:rPr>
        <w:noProof/>
      </w:rPr>
      <w:t>1</w:t>
    </w:r>
    <w:r w:rsidRPr="00CD7C5F">
      <w:fldChar w:fldCharType="end"/>
    </w:r>
    <w:r w:rsidRPr="00CD7C5F">
      <w:t>/</w:t>
    </w:r>
    <w:r w:rsidR="00801EA9">
      <w:fldChar w:fldCharType="begin"/>
    </w:r>
    <w:r w:rsidR="00801EA9">
      <w:instrText xml:space="preserve"> NUMPAGES  \* MERGEFORMAT </w:instrText>
    </w:r>
    <w:r w:rsidR="00801EA9">
      <w:fldChar w:fldCharType="separate"/>
    </w:r>
    <w:r w:rsidRPr="00CD7C5F">
      <w:rPr>
        <w:noProof/>
      </w:rPr>
      <w:t>1</w:t>
    </w:r>
    <w:r w:rsidR="00801EA9">
      <w:rPr>
        <w:noProof/>
      </w:rPr>
      <w:fldChar w:fldCharType="end"/>
    </w:r>
    <w:r w:rsidRPr="00CD7C5F">
      <w:tab/>
    </w:r>
    <w:r w:rsidRPr="00CD7C5F">
      <w:rPr>
        <w:rStyle w:val="HideTWBExt"/>
      </w:rPr>
      <w:t>&lt;PathFdR&gt;</w:t>
    </w:r>
    <w:r w:rsidRPr="00CD7C5F">
      <w:t>RR\1328419DA.docx</w:t>
    </w:r>
    <w:r w:rsidRPr="00CD7C5F">
      <w:rPr>
        <w:rStyle w:val="HideTWBExt"/>
      </w:rPr>
      <w:t>&lt;/PathFdR&gt;</w:t>
    </w:r>
  </w:p>
  <w:p w14:paraId="76D1B3F9" w14:textId="77777777" w:rsidR="00E70C5E" w:rsidRPr="00CD7C5F" w:rsidRDefault="00E70C5E" w:rsidP="002A1D20">
    <w:pPr>
      <w:pStyle w:val="EPFooter2"/>
    </w:pPr>
    <w:r w:rsidRPr="00CD7C5F">
      <w:t>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2E688" w14:textId="10EAACB0" w:rsidR="00E70C5E" w:rsidRPr="00CD7C5F" w:rsidRDefault="00E70C5E" w:rsidP="002A1D20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871B" w14:textId="77777777" w:rsidR="00E70C5E" w:rsidRPr="00CD7C5F" w:rsidRDefault="00E70C5E" w:rsidP="002A1D20">
    <w:pPr>
      <w:pStyle w:val="EPFooter"/>
    </w:pPr>
    <w:r w:rsidRPr="00CD7C5F">
      <w:rPr>
        <w:rStyle w:val="HideTWBExt"/>
      </w:rPr>
      <w:t>&lt;PathFdR&gt;</w:t>
    </w:r>
    <w:r w:rsidRPr="00CD7C5F">
      <w:t>RR\1328419DA.docx</w:t>
    </w:r>
    <w:r w:rsidRPr="00CD7C5F">
      <w:rPr>
        <w:rStyle w:val="HideTWBExt"/>
      </w:rPr>
      <w:t>&lt;/PathFdR&gt;</w:t>
    </w:r>
    <w:r w:rsidRPr="00CD7C5F">
      <w:tab/>
    </w:r>
    <w:r w:rsidRPr="00CD7C5F">
      <w:tab/>
      <w:t>PE</w:t>
    </w:r>
    <w:r w:rsidRPr="00CD7C5F">
      <w:rPr>
        <w:rStyle w:val="HideTWBExt"/>
      </w:rPr>
      <w:t>&lt;NoPE&gt;</w:t>
    </w:r>
    <w:r w:rsidRPr="00CD7C5F">
      <w:t>776.825</w:t>
    </w:r>
    <w:r w:rsidRPr="00CD7C5F">
      <w:rPr>
        <w:rStyle w:val="HideTWBExt"/>
      </w:rPr>
      <w:t>&lt;/NoPE&gt;&lt;Version&gt;</w:t>
    </w:r>
    <w:r w:rsidRPr="00CD7C5F">
      <w:t>v02-00</w:t>
    </w:r>
    <w:r w:rsidRPr="00CD7C5F">
      <w:rPr>
        <w:rStyle w:val="HideTWBExt"/>
      </w:rPr>
      <w:t>&lt;/Version&gt;</w:t>
    </w:r>
  </w:p>
  <w:p w14:paraId="5948D3B9" w14:textId="77777777" w:rsidR="00E70C5E" w:rsidRPr="00CD7C5F" w:rsidRDefault="00E70C5E" w:rsidP="002A1D20">
    <w:pPr>
      <w:pStyle w:val="EPFooter2"/>
    </w:pPr>
    <w:r w:rsidRPr="00CD7C5F">
      <w:t>DA</w:t>
    </w:r>
    <w:r w:rsidRPr="00CD7C5F">
      <w:tab/>
    </w:r>
    <w:r w:rsidRPr="00CD7C5F">
      <w:rPr>
        <w:b w:val="0"/>
        <w:i/>
        <w:color w:val="C0C0C0"/>
        <w:sz w:val="22"/>
      </w:rPr>
      <w:t>Forenet i mangfoldighed</w:t>
    </w:r>
    <w:r w:rsidRPr="00CD7C5F">
      <w:tab/>
      <w:t>DA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EA92A" w14:textId="77777777" w:rsidR="00064002" w:rsidRPr="00CD7C5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5BC02" w14:textId="77777777" w:rsidR="00064002" w:rsidRPr="00CD7C5F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F1B32" w14:textId="77777777" w:rsidR="00064002" w:rsidRPr="00CD7C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D65DF" w14:textId="77777777" w:rsidR="00FF6CE5" w:rsidRPr="00CD7C5F" w:rsidRDefault="00FF6CE5">
      <w:r w:rsidRPr="00CD7C5F">
        <w:separator/>
      </w:r>
    </w:p>
  </w:footnote>
  <w:footnote w:type="continuationSeparator" w:id="0">
    <w:p w14:paraId="46675AC4" w14:textId="77777777" w:rsidR="00FF6CE5" w:rsidRPr="00CD7C5F" w:rsidRDefault="00FF6CE5">
      <w:r w:rsidRPr="00CD7C5F">
        <w:continuationSeparator/>
      </w:r>
    </w:p>
  </w:footnote>
  <w:footnote w:id="1">
    <w:p w14:paraId="176D68E1" w14:textId="258E0274" w:rsidR="00E70C5E" w:rsidRPr="00CD7C5F" w:rsidRDefault="00E70C5E" w:rsidP="00CD7C5F">
      <w:pPr>
        <w:pStyle w:val="FootnoteText"/>
        <w:ind w:left="567" w:hanging="567"/>
        <w:rPr>
          <w:sz w:val="24"/>
          <w:lang w:val="da-DK"/>
        </w:rPr>
      </w:pPr>
      <w:r w:rsidRPr="00CD7C5F">
        <w:rPr>
          <w:rStyle w:val="FootnoteReference"/>
          <w:sz w:val="24"/>
          <w:lang w:val="da-DK"/>
        </w:rPr>
        <w:footnoteRef/>
      </w:r>
      <w:r w:rsidR="00CD7C5F" w:rsidRPr="00CD7C5F">
        <w:rPr>
          <w:sz w:val="24"/>
          <w:lang w:val="da-DK"/>
        </w:rPr>
        <w:t xml:space="preserve"> </w:t>
      </w:r>
      <w:r w:rsidR="00CD7C5F" w:rsidRPr="00CD7C5F">
        <w:rPr>
          <w:sz w:val="24"/>
          <w:lang w:val="da-DK"/>
        </w:rPr>
        <w:tab/>
      </w:r>
      <w:r w:rsidRPr="00CD7C5F">
        <w:rPr>
          <w:sz w:val="24"/>
          <w:lang w:val="da-DK"/>
        </w:rPr>
        <w:t xml:space="preserve">EUT L 153 af 3.5.2021, s. 48, ELI: </w:t>
      </w:r>
      <w:hyperlink r:id="rId1" w:history="1">
        <w:r w:rsidRPr="00CD7C5F">
          <w:rPr>
            <w:rStyle w:val="Hyperlink"/>
            <w:sz w:val="24"/>
            <w:lang w:val="da-DK"/>
          </w:rPr>
          <w:t>http://data.europa.eu/eli/reg/2021/691/oj</w:t>
        </w:r>
      </w:hyperlink>
      <w:r w:rsidRPr="00CD7C5F">
        <w:rPr>
          <w:sz w:val="24"/>
          <w:lang w:val="da-DK"/>
        </w:rPr>
        <w:t>.</w:t>
      </w:r>
    </w:p>
  </w:footnote>
  <w:footnote w:id="2">
    <w:p w14:paraId="5B5D3E14" w14:textId="40ECD242" w:rsidR="00E70C5E" w:rsidRPr="00CD7C5F" w:rsidRDefault="00E70C5E" w:rsidP="00CD7C5F">
      <w:pPr>
        <w:pStyle w:val="FootnoteText"/>
        <w:ind w:left="567" w:hanging="567"/>
        <w:rPr>
          <w:sz w:val="24"/>
          <w:lang w:val="da-DK"/>
        </w:rPr>
      </w:pPr>
      <w:r w:rsidRPr="00CD7C5F">
        <w:rPr>
          <w:rStyle w:val="FootnoteReference"/>
          <w:sz w:val="24"/>
          <w:lang w:val="da-DK"/>
        </w:rPr>
        <w:footnoteRef/>
      </w:r>
      <w:r w:rsidR="00CD7C5F" w:rsidRPr="00CD7C5F">
        <w:rPr>
          <w:sz w:val="24"/>
          <w:lang w:val="da-DK"/>
        </w:rPr>
        <w:t xml:space="preserve"> </w:t>
      </w:r>
      <w:r w:rsidR="00CD7C5F" w:rsidRPr="00CD7C5F">
        <w:rPr>
          <w:sz w:val="24"/>
          <w:lang w:val="da-DK"/>
        </w:rPr>
        <w:tab/>
      </w:r>
      <w:r w:rsidRPr="00CD7C5F">
        <w:rPr>
          <w:sz w:val="24"/>
          <w:lang w:val="da-DK"/>
        </w:rPr>
        <w:t xml:space="preserve">EUT L 433 I af 22.12.2020, s. 11, ELI: </w:t>
      </w:r>
      <w:hyperlink r:id="rId2" w:history="1">
        <w:r w:rsidRPr="00CD7C5F">
          <w:rPr>
            <w:rStyle w:val="Hyperlink"/>
            <w:sz w:val="24"/>
            <w:lang w:val="da-DK"/>
          </w:rPr>
          <w:t>http://data.europa.eu/eli/reg/2020/2093/oj</w:t>
        </w:r>
      </w:hyperlink>
      <w:r w:rsidRPr="00CD7C5F">
        <w:rPr>
          <w:sz w:val="24"/>
          <w:lang w:val="da-DK"/>
        </w:rPr>
        <w:t>.</w:t>
      </w:r>
    </w:p>
  </w:footnote>
  <w:footnote w:id="3">
    <w:p w14:paraId="232363E7" w14:textId="584AF708" w:rsidR="00E70C5E" w:rsidRPr="00CD7C5F" w:rsidRDefault="00E70C5E" w:rsidP="00CD7C5F">
      <w:pPr>
        <w:pStyle w:val="FootnoteText"/>
        <w:ind w:left="567" w:hanging="567"/>
        <w:rPr>
          <w:sz w:val="24"/>
          <w:lang w:val="da-DK"/>
        </w:rPr>
      </w:pPr>
      <w:r w:rsidRPr="00CD7C5F">
        <w:rPr>
          <w:rStyle w:val="FootnoteReference"/>
          <w:sz w:val="24"/>
          <w:lang w:val="da-DK"/>
        </w:rPr>
        <w:footnoteRef/>
      </w:r>
      <w:r w:rsidR="00CD7C5F" w:rsidRPr="00CD7C5F">
        <w:rPr>
          <w:sz w:val="24"/>
          <w:lang w:val="da-DK"/>
        </w:rPr>
        <w:t xml:space="preserve"> </w:t>
      </w:r>
      <w:r w:rsidR="00CD7C5F" w:rsidRPr="00CD7C5F">
        <w:rPr>
          <w:sz w:val="24"/>
          <w:lang w:val="da-DK"/>
        </w:rPr>
        <w:tab/>
      </w:r>
      <w:r w:rsidRPr="00CD7C5F">
        <w:rPr>
          <w:sz w:val="24"/>
          <w:lang w:val="da-DK"/>
        </w:rPr>
        <w:t xml:space="preserve">Rådets forordning (EU, </w:t>
      </w:r>
      <w:proofErr w:type="spellStart"/>
      <w:r w:rsidRPr="00CD7C5F">
        <w:rPr>
          <w:sz w:val="24"/>
          <w:lang w:val="da-DK"/>
        </w:rPr>
        <w:t>Euratom</w:t>
      </w:r>
      <w:proofErr w:type="spellEnd"/>
      <w:r w:rsidRPr="00CD7C5F">
        <w:rPr>
          <w:sz w:val="24"/>
          <w:lang w:val="da-DK"/>
        </w:rPr>
        <w:t xml:space="preserve">) 2024/765 af 29. februar 2024 om ændring af forordning (EU, </w:t>
      </w:r>
      <w:proofErr w:type="spellStart"/>
      <w:r w:rsidRPr="00CD7C5F">
        <w:rPr>
          <w:sz w:val="24"/>
          <w:lang w:val="da-DK"/>
        </w:rPr>
        <w:t>Euratom</w:t>
      </w:r>
      <w:proofErr w:type="spellEnd"/>
      <w:r w:rsidRPr="00CD7C5F">
        <w:rPr>
          <w:sz w:val="24"/>
          <w:lang w:val="da-DK"/>
        </w:rPr>
        <w:t xml:space="preserve">) 2020/2093 om fastlæggelse af den flerårige finansielle ramme for årene 2021-2027 (EUT L, 2024/765, 29.2.2024, ELI: </w:t>
      </w:r>
      <w:hyperlink r:id="rId3" w:history="1">
        <w:r w:rsidRPr="00CD7C5F">
          <w:rPr>
            <w:rStyle w:val="Hyperlink"/>
            <w:sz w:val="24"/>
            <w:lang w:val="da-DK"/>
          </w:rPr>
          <w:t>http://data.europa.eu/eli/reg/2024/765/oj</w:t>
        </w:r>
      </w:hyperlink>
      <w:r w:rsidRPr="00CD7C5F">
        <w:rPr>
          <w:sz w:val="24"/>
          <w:lang w:val="da-DK"/>
        </w:rPr>
        <w:t>).</w:t>
      </w:r>
    </w:p>
  </w:footnote>
  <w:footnote w:id="4">
    <w:p w14:paraId="1FBC5835" w14:textId="79D55576" w:rsidR="00E70C5E" w:rsidRPr="00CD7C5F" w:rsidRDefault="00E70C5E" w:rsidP="00CD7C5F">
      <w:pPr>
        <w:pStyle w:val="FootnoteText"/>
        <w:ind w:left="567" w:hanging="567"/>
        <w:rPr>
          <w:sz w:val="24"/>
          <w:lang w:val="da-DK"/>
        </w:rPr>
      </w:pPr>
      <w:r w:rsidRPr="00CD7C5F">
        <w:rPr>
          <w:rStyle w:val="FootnoteReference"/>
          <w:sz w:val="24"/>
          <w:lang w:val="da-DK"/>
        </w:rPr>
        <w:footnoteRef/>
      </w:r>
      <w:r w:rsidR="00CD7C5F" w:rsidRPr="00CD7C5F">
        <w:rPr>
          <w:sz w:val="24"/>
          <w:lang w:val="da-DK"/>
        </w:rPr>
        <w:t xml:space="preserve"> </w:t>
      </w:r>
      <w:r w:rsidR="00CD7C5F" w:rsidRPr="00CD7C5F">
        <w:rPr>
          <w:sz w:val="24"/>
          <w:lang w:val="da-DK"/>
        </w:rPr>
        <w:tab/>
      </w:r>
      <w:r w:rsidRPr="00CD7C5F">
        <w:rPr>
          <w:sz w:val="24"/>
          <w:lang w:val="da-DK"/>
        </w:rPr>
        <w:t xml:space="preserve">EUT L 433 I af 22.12.2020, s. 28, ELI: </w:t>
      </w:r>
      <w:hyperlink r:id="rId4" w:history="1">
        <w:r w:rsidRPr="00CD7C5F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CD7C5F">
        <w:rPr>
          <w:sz w:val="24"/>
          <w:lang w:val="da-DK"/>
        </w:rPr>
        <w:t>.</w:t>
      </w:r>
    </w:p>
  </w:footnote>
  <w:footnote w:id="5">
    <w:p w14:paraId="1790A114" w14:textId="139E54AD" w:rsidR="00E70C5E" w:rsidRPr="006739E1" w:rsidRDefault="00E70C5E" w:rsidP="00CD7C5F">
      <w:pPr>
        <w:pStyle w:val="FootnoteText"/>
        <w:ind w:left="567" w:hanging="567"/>
        <w:rPr>
          <w:sz w:val="24"/>
          <w:lang w:val="nl-NL"/>
        </w:rPr>
      </w:pPr>
      <w:r w:rsidRPr="00CD7C5F">
        <w:rPr>
          <w:rStyle w:val="FootnoteReference"/>
          <w:sz w:val="24"/>
          <w:lang w:val="da-DK"/>
        </w:rPr>
        <w:footnoteRef/>
      </w:r>
      <w:r w:rsidR="00CD7C5F" w:rsidRPr="006739E1">
        <w:rPr>
          <w:sz w:val="24"/>
          <w:lang w:val="nl-NL"/>
        </w:rPr>
        <w:t xml:space="preserve"> </w:t>
      </w:r>
      <w:r w:rsidR="00CD7C5F" w:rsidRPr="006739E1">
        <w:rPr>
          <w:sz w:val="24"/>
          <w:lang w:val="nl-NL"/>
        </w:rPr>
        <w:tab/>
      </w:r>
      <w:r w:rsidRPr="006739E1">
        <w:rPr>
          <w:sz w:val="24"/>
          <w:lang w:val="nl-NL"/>
        </w:rPr>
        <w:t>Vlaamse Dienst voor Arbeidsbemiddeling en Beroepsopleiding (VDAB).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E552E" w14:textId="77777777" w:rsidR="00E70C5E" w:rsidRPr="00CD7C5F" w:rsidRDefault="00E70C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00EEE" w14:textId="77777777" w:rsidR="00E70C5E" w:rsidRPr="00CD7C5F" w:rsidRDefault="00E70C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A0433" w14:textId="77777777" w:rsidR="00E70C5E" w:rsidRPr="00CD7C5F" w:rsidRDefault="00E70C5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C1988" w14:textId="77777777" w:rsidR="00064002" w:rsidRPr="00CD7C5F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8F73B" w14:textId="77777777" w:rsidR="00064002" w:rsidRPr="00CD7C5F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56547" w14:textId="77777777" w:rsidR="00064002" w:rsidRPr="00CD7C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9337728">
    <w:abstractNumId w:val="9"/>
  </w:num>
  <w:num w:numId="2" w16cid:durableId="175971457">
    <w:abstractNumId w:val="9"/>
  </w:num>
  <w:num w:numId="3" w16cid:durableId="1640261660">
    <w:abstractNumId w:val="7"/>
  </w:num>
  <w:num w:numId="4" w16cid:durableId="644428200">
    <w:abstractNumId w:val="7"/>
  </w:num>
  <w:num w:numId="5" w16cid:durableId="868418899">
    <w:abstractNumId w:val="6"/>
  </w:num>
  <w:num w:numId="6" w16cid:durableId="249628854">
    <w:abstractNumId w:val="6"/>
  </w:num>
  <w:num w:numId="7" w16cid:durableId="1152407654">
    <w:abstractNumId w:val="5"/>
  </w:num>
  <w:num w:numId="8" w16cid:durableId="95175262">
    <w:abstractNumId w:val="5"/>
  </w:num>
  <w:num w:numId="9" w16cid:durableId="1885406053">
    <w:abstractNumId w:val="4"/>
  </w:num>
  <w:num w:numId="10" w16cid:durableId="828405945">
    <w:abstractNumId w:val="4"/>
  </w:num>
  <w:num w:numId="11" w16cid:durableId="1735930889">
    <w:abstractNumId w:val="8"/>
  </w:num>
  <w:num w:numId="12" w16cid:durableId="1975866200">
    <w:abstractNumId w:val="8"/>
  </w:num>
  <w:num w:numId="13" w16cid:durableId="623773359">
    <w:abstractNumId w:val="3"/>
  </w:num>
  <w:num w:numId="14" w16cid:durableId="548734357">
    <w:abstractNumId w:val="3"/>
  </w:num>
  <w:num w:numId="15" w16cid:durableId="230624392">
    <w:abstractNumId w:val="2"/>
  </w:num>
  <w:num w:numId="16" w16cid:durableId="1795444811">
    <w:abstractNumId w:val="2"/>
  </w:num>
  <w:num w:numId="17" w16cid:durableId="1266427013">
    <w:abstractNumId w:val="1"/>
  </w:num>
  <w:num w:numId="18" w16cid:durableId="1214930185">
    <w:abstractNumId w:val="1"/>
  </w:num>
  <w:num w:numId="19" w16cid:durableId="1830825010">
    <w:abstractNumId w:val="0"/>
  </w:num>
  <w:num w:numId="20" w16cid:durableId="209193345">
    <w:abstractNumId w:val="0"/>
  </w:num>
  <w:num w:numId="21" w16cid:durableId="1081488729">
    <w:abstractNumId w:val="9"/>
  </w:num>
  <w:num w:numId="22" w16cid:durableId="976641266">
    <w:abstractNumId w:val="7"/>
  </w:num>
  <w:num w:numId="23" w16cid:durableId="1101871488">
    <w:abstractNumId w:val="6"/>
  </w:num>
  <w:num w:numId="24" w16cid:durableId="1775051385">
    <w:abstractNumId w:val="5"/>
  </w:num>
  <w:num w:numId="25" w16cid:durableId="433402815">
    <w:abstractNumId w:val="4"/>
  </w:num>
  <w:num w:numId="26" w16cid:durableId="942346785">
    <w:abstractNumId w:val="8"/>
  </w:num>
  <w:num w:numId="27" w16cid:durableId="935526553">
    <w:abstractNumId w:val="3"/>
  </w:num>
  <w:num w:numId="28" w16cid:durableId="141167863">
    <w:abstractNumId w:val="2"/>
  </w:num>
  <w:num w:numId="29" w16cid:durableId="1781799169">
    <w:abstractNumId w:val="1"/>
  </w:num>
  <w:num w:numId="30" w16cid:durableId="1160468105">
    <w:abstractNumId w:val="0"/>
  </w:num>
  <w:num w:numId="31" w16cid:durableId="1864397314">
    <w:abstractNumId w:val="9"/>
  </w:num>
  <w:num w:numId="32" w16cid:durableId="1868256410">
    <w:abstractNumId w:val="7"/>
  </w:num>
  <w:num w:numId="33" w16cid:durableId="1911623142">
    <w:abstractNumId w:val="6"/>
  </w:num>
  <w:num w:numId="34" w16cid:durableId="1693384861">
    <w:abstractNumId w:val="5"/>
  </w:num>
  <w:num w:numId="35" w16cid:durableId="274941998">
    <w:abstractNumId w:val="4"/>
  </w:num>
  <w:num w:numId="36" w16cid:durableId="1297494927">
    <w:abstractNumId w:val="8"/>
  </w:num>
  <w:num w:numId="37" w16cid:durableId="2116898381">
    <w:abstractNumId w:val="3"/>
  </w:num>
  <w:num w:numId="38" w16cid:durableId="1968002281">
    <w:abstractNumId w:val="2"/>
  </w:num>
  <w:num w:numId="39" w16cid:durableId="721833446">
    <w:abstractNumId w:val="1"/>
  </w:num>
  <w:num w:numId="40" w16cid:durableId="1588148560">
    <w:abstractNumId w:val="0"/>
  </w:num>
  <w:num w:numId="41" w16cid:durableId="1472211704">
    <w:abstractNumId w:val="10"/>
  </w:num>
  <w:num w:numId="42" w16cid:durableId="907232501">
    <w:abstractNumId w:val="10"/>
  </w:num>
  <w:num w:numId="43" w16cid:durableId="1727410859">
    <w:abstractNumId w:val="10"/>
  </w:num>
  <w:num w:numId="44" w16cid:durableId="6891139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63/2025"/>
    <w:docVar w:name="dvlangue" w:val="DA"/>
    <w:docVar w:name="dvnumam" w:val="0"/>
    <w:docVar w:name="dvpe" w:val="776.825"/>
    <w:docVar w:name="dvrapporteur" w:val="Ordfører: "/>
    <w:docVar w:name="dvtitre" w:val="Europa-Parlamentets beslutning af xx.xx 2025 om forslag til Europa-Parlamentets og Rådets afgørelse om mobilisering af Den Europæiske Fond for Tilpasning til Globaliseringen for Afskedigede Arbejdstagere på baggrund af en ansøgning fra Belgien (EGF/2025/001 BE/BelGaN)(COM(2025)0157 – C10-0188/2025 – 2025/0198(BUD))"/>
  </w:docVars>
  <w:rsids>
    <w:rsidRoot w:val="00FF6CE5"/>
    <w:rsid w:val="00002272"/>
    <w:rsid w:val="00045291"/>
    <w:rsid w:val="00064002"/>
    <w:rsid w:val="000677B9"/>
    <w:rsid w:val="000831BA"/>
    <w:rsid w:val="000A42CC"/>
    <w:rsid w:val="000C16B9"/>
    <w:rsid w:val="000E4F30"/>
    <w:rsid w:val="000E7DD9"/>
    <w:rsid w:val="0010095E"/>
    <w:rsid w:val="00125B37"/>
    <w:rsid w:val="00180A6D"/>
    <w:rsid w:val="00187494"/>
    <w:rsid w:val="001F32AE"/>
    <w:rsid w:val="0021301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8CE"/>
    <w:rsid w:val="005F1B17"/>
    <w:rsid w:val="006037C0"/>
    <w:rsid w:val="006631B6"/>
    <w:rsid w:val="006739E1"/>
    <w:rsid w:val="00680577"/>
    <w:rsid w:val="00696F9C"/>
    <w:rsid w:val="006F74FA"/>
    <w:rsid w:val="00731ADD"/>
    <w:rsid w:val="00734777"/>
    <w:rsid w:val="00735579"/>
    <w:rsid w:val="00747932"/>
    <w:rsid w:val="00751A4A"/>
    <w:rsid w:val="00756632"/>
    <w:rsid w:val="00762C74"/>
    <w:rsid w:val="00786EC0"/>
    <w:rsid w:val="007D1690"/>
    <w:rsid w:val="007E22AD"/>
    <w:rsid w:val="00801EA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726B"/>
    <w:rsid w:val="00981893"/>
    <w:rsid w:val="00A1687D"/>
    <w:rsid w:val="00A43E52"/>
    <w:rsid w:val="00A4678D"/>
    <w:rsid w:val="00A778C7"/>
    <w:rsid w:val="00A90A5B"/>
    <w:rsid w:val="00A914FA"/>
    <w:rsid w:val="00AB441E"/>
    <w:rsid w:val="00AB6293"/>
    <w:rsid w:val="00AE0928"/>
    <w:rsid w:val="00AE60AC"/>
    <w:rsid w:val="00AF3B82"/>
    <w:rsid w:val="00B12E95"/>
    <w:rsid w:val="00B22876"/>
    <w:rsid w:val="00B558F0"/>
    <w:rsid w:val="00B560A7"/>
    <w:rsid w:val="00B65B08"/>
    <w:rsid w:val="00B7474A"/>
    <w:rsid w:val="00B76612"/>
    <w:rsid w:val="00BD48FE"/>
    <w:rsid w:val="00BD7BD8"/>
    <w:rsid w:val="00BE6ADC"/>
    <w:rsid w:val="00C05BFE"/>
    <w:rsid w:val="00C23CD4"/>
    <w:rsid w:val="00C61C0C"/>
    <w:rsid w:val="00C941CB"/>
    <w:rsid w:val="00CC2357"/>
    <w:rsid w:val="00CD7C5F"/>
    <w:rsid w:val="00CF071A"/>
    <w:rsid w:val="00D058B8"/>
    <w:rsid w:val="00D56C11"/>
    <w:rsid w:val="00D834A0"/>
    <w:rsid w:val="00D872DF"/>
    <w:rsid w:val="00D91E21"/>
    <w:rsid w:val="00DA7FCD"/>
    <w:rsid w:val="00E365E1"/>
    <w:rsid w:val="00E70C5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6BDA"/>
    <w:rsid w:val="00F74202"/>
    <w:rsid w:val="00F81D92"/>
    <w:rsid w:val="00F87713"/>
    <w:rsid w:val="00FB4360"/>
    <w:rsid w:val="00FD0C70"/>
    <w:rsid w:val="00FF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B65A94"/>
  <w15:chartTrackingRefBased/>
  <w15:docId w15:val="{612A4F25-BBDF-4A77-A325-0901DA3D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70C5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E70C5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E70C5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70C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70C5E"/>
    <w:rPr>
      <w:sz w:val="24"/>
      <w:lang w:val="da-DK"/>
    </w:rPr>
  </w:style>
  <w:style w:type="paragraph" w:customStyle="1" w:styleId="NormalBold24a">
    <w:name w:val="NormalBold24a"/>
    <w:basedOn w:val="Normal"/>
    <w:rsid w:val="00E70C5E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E70C5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70C5E"/>
    <w:pPr>
      <w:spacing w:before="480" w:after="240"/>
    </w:pPr>
  </w:style>
  <w:style w:type="character" w:styleId="Hyperlink">
    <w:name w:val="Hyperlink"/>
    <w:basedOn w:val="DefaultParagraphFont"/>
    <w:rsid w:val="00E70C5E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E70C5E"/>
    <w:pPr>
      <w:keepNext/>
      <w:snapToGrid w:val="0"/>
      <w:spacing w:after="240"/>
    </w:pPr>
    <w:rPr>
      <w:i/>
      <w:lang w:eastAsia="en-US"/>
    </w:rPr>
  </w:style>
  <w:style w:type="paragraph" w:customStyle="1" w:styleId="Institutionquisigne">
    <w:name w:val="Institution qui signe"/>
    <w:basedOn w:val="Normal"/>
    <w:next w:val="Normal"/>
    <w:rsid w:val="00E70C5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70C5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70C5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70C5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E70C5E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70C5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E70C5E"/>
    <w:rPr>
      <w:sz w:val="24"/>
      <w:lang w:val="da-DK"/>
    </w:rPr>
  </w:style>
  <w:style w:type="character" w:customStyle="1" w:styleId="PageHeadingChar">
    <w:name w:val="PageHeading Char"/>
    <w:basedOn w:val="DefaultParagraphFont"/>
    <w:link w:val="PageHeading"/>
    <w:rsid w:val="00E70C5E"/>
    <w:rPr>
      <w:rFonts w:ascii="Arial" w:hAnsi="Arial" w:cs="Arial"/>
      <w:b/>
      <w:sz w:val="24"/>
      <w:lang w:val="da-DK"/>
    </w:rPr>
  </w:style>
  <w:style w:type="paragraph" w:styleId="Revision">
    <w:name w:val="Revision"/>
    <w:hidden/>
    <w:uiPriority w:val="99"/>
    <w:semiHidden/>
    <w:rsid w:val="00A90A5B"/>
    <w:rPr>
      <w:sz w:val="24"/>
      <w:lang w:val="da-DK"/>
    </w:rPr>
  </w:style>
  <w:style w:type="character" w:styleId="CommentReference">
    <w:name w:val="annotation reference"/>
    <w:basedOn w:val="DefaultParagraphFont"/>
    <w:rsid w:val="00F81D92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1D9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81D92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F81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1D92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AE60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E60AC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C2D2F-6CBD-4611-9319-69D134D9B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1354</Words>
  <Characters>8568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2025-12-15T08:53:00Z</dcterms:created>
  <dcterms:modified xsi:type="dcterms:W3CDTF">2025-12-15T08:53:00Z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P10_TA(2025)0220_</vt:lpwstr>
  </property>
  <property fmtid="{D5CDD505-2E9C-101B-9397-08002B2CF9AE}" pid="4" name="&lt;Type&gt;">
    <vt:lpwstr>RR</vt:lpwstr>
  </property>
</Properties>
</file>