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6363" w14:paraId="4638AD26" w14:textId="77777777" w:rsidTr="0010095E">
        <w:trPr>
          <w:trHeight w:hRule="exact" w:val="1418"/>
        </w:trPr>
        <w:tc>
          <w:tcPr>
            <w:tcW w:w="6804" w:type="dxa"/>
            <w:shd w:val="clear" w:color="auto" w:fill="auto"/>
            <w:vAlign w:val="center"/>
          </w:tcPr>
          <w:p w14:paraId="2844873C" w14:textId="77777777" w:rsidR="00751A4A" w:rsidRPr="003A6363" w:rsidRDefault="00A40BFC" w:rsidP="0010095E">
            <w:pPr>
              <w:pStyle w:val="EPName"/>
            </w:pPr>
            <w:r w:rsidRPr="003A6363">
              <w:t>Europski parlament</w:t>
            </w:r>
          </w:p>
          <w:p w14:paraId="6804DC44" w14:textId="77777777" w:rsidR="00751A4A" w:rsidRPr="003A6363" w:rsidRDefault="005F1B17" w:rsidP="005F1B17">
            <w:pPr>
              <w:pStyle w:val="EPTerm"/>
              <w:rPr>
                <w:rStyle w:val="HideTWBExt"/>
                <w:noProof w:val="0"/>
                <w:vanish w:val="0"/>
                <w:color w:val="auto"/>
              </w:rPr>
            </w:pPr>
            <w:r w:rsidRPr="003A6363">
              <w:t>2024</w:t>
            </w:r>
            <w:r w:rsidR="00817416" w:rsidRPr="003A6363">
              <w:t>-202</w:t>
            </w:r>
            <w:r w:rsidRPr="003A6363">
              <w:t>9</w:t>
            </w:r>
          </w:p>
        </w:tc>
        <w:tc>
          <w:tcPr>
            <w:tcW w:w="2268" w:type="dxa"/>
            <w:shd w:val="clear" w:color="auto" w:fill="auto"/>
          </w:tcPr>
          <w:p w14:paraId="1D8303E2" w14:textId="77777777" w:rsidR="00751A4A" w:rsidRPr="003A6363" w:rsidRDefault="00187494" w:rsidP="0010095E">
            <w:pPr>
              <w:pStyle w:val="EPLogo"/>
            </w:pPr>
            <w:r w:rsidRPr="003A6363">
              <w:rPr>
                <w:noProof/>
                <w:lang w:eastAsia="ja-JP"/>
              </w:rPr>
              <w:drawing>
                <wp:inline distT="0" distB="0" distL="0" distR="0" wp14:anchorId="178A37F3" wp14:editId="2C912C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575F8D" w14:textId="77777777" w:rsidR="00D058B8" w:rsidRPr="003A6363" w:rsidRDefault="00D058B8" w:rsidP="004C5D52">
      <w:pPr>
        <w:pStyle w:val="LineTop"/>
      </w:pPr>
    </w:p>
    <w:p w14:paraId="3DF96868" w14:textId="77777777" w:rsidR="00680577" w:rsidRPr="003A6363" w:rsidRDefault="00A40BFC" w:rsidP="00680577">
      <w:pPr>
        <w:pStyle w:val="EPBodyTA1"/>
      </w:pPr>
      <w:r w:rsidRPr="003A6363">
        <w:t>USVOJENI TEKSTOVI</w:t>
      </w:r>
    </w:p>
    <w:p w14:paraId="242742DD" w14:textId="77777777" w:rsidR="00D058B8" w:rsidRPr="003A6363" w:rsidRDefault="00D058B8" w:rsidP="00D058B8">
      <w:pPr>
        <w:pStyle w:val="LineBottom"/>
      </w:pPr>
    </w:p>
    <w:p w14:paraId="113CCD0A" w14:textId="4C1F1F00" w:rsidR="00A40BFC" w:rsidRPr="003A6363" w:rsidRDefault="00A40BFC" w:rsidP="00A40BFC">
      <w:pPr>
        <w:pStyle w:val="ATHeading1"/>
      </w:pPr>
      <w:bookmarkStart w:id="0" w:name="TANumber"/>
      <w:r w:rsidRPr="003A6363">
        <w:t>P10_TA(2025)0</w:t>
      </w:r>
      <w:r w:rsidR="00FD2AE4">
        <w:t>22</w:t>
      </w:r>
      <w:r w:rsidRPr="003A6363">
        <w:t>0</w:t>
      </w:r>
      <w:bookmarkEnd w:id="0"/>
    </w:p>
    <w:p w14:paraId="6492A750" w14:textId="77777777" w:rsidR="00A40BFC" w:rsidRPr="003A6363" w:rsidRDefault="00A40BFC" w:rsidP="00A40BFC">
      <w:pPr>
        <w:pStyle w:val="ATHeading2"/>
      </w:pPr>
      <w:bookmarkStart w:id="1" w:name="title"/>
      <w:r w:rsidRPr="003A6363">
        <w:t>Mobilizacija Europskog fonda za prilagodbu globalizaciji: zahtjev EGF/2025/001 BE/</w:t>
      </w:r>
      <w:proofErr w:type="spellStart"/>
      <w:r w:rsidRPr="003A6363">
        <w:t>BelGaN</w:t>
      </w:r>
      <w:proofErr w:type="spellEnd"/>
      <w:r w:rsidRPr="003A6363">
        <w:t xml:space="preserve"> - Belgija</w:t>
      </w:r>
      <w:bookmarkEnd w:id="1"/>
    </w:p>
    <w:p w14:paraId="6929881E" w14:textId="77777777" w:rsidR="00A40BFC" w:rsidRPr="003A6363" w:rsidRDefault="00A40BFC" w:rsidP="00A40BFC">
      <w:pPr>
        <w:rPr>
          <w:i/>
          <w:vanish/>
        </w:rPr>
      </w:pPr>
      <w:r w:rsidRPr="003A6363">
        <w:rPr>
          <w:i/>
        </w:rPr>
        <w:fldChar w:fldCharType="begin"/>
      </w:r>
      <w:r w:rsidRPr="003A6363">
        <w:rPr>
          <w:i/>
        </w:rPr>
        <w:instrText xml:space="preserve"> TC"(</w:instrText>
      </w:r>
      <w:bookmarkStart w:id="2" w:name="DocNumber"/>
      <w:r w:rsidRPr="003A6363">
        <w:rPr>
          <w:i/>
        </w:rPr>
        <w:instrText>A10-0163/2025</w:instrText>
      </w:r>
      <w:bookmarkEnd w:id="2"/>
      <w:r w:rsidRPr="003A6363">
        <w:rPr>
          <w:i/>
        </w:rPr>
        <w:instrText xml:space="preserve"> - Izvjestitelj: Bogdan Rzońca)"\l3 \n&gt; \* MERGEFORMAT </w:instrText>
      </w:r>
      <w:r w:rsidRPr="003A6363">
        <w:rPr>
          <w:i/>
        </w:rPr>
        <w:fldChar w:fldCharType="end"/>
      </w:r>
    </w:p>
    <w:p w14:paraId="7957E1DA" w14:textId="77777777" w:rsidR="00A40BFC" w:rsidRPr="003A6363" w:rsidRDefault="00A40BFC" w:rsidP="00A40BFC">
      <w:pPr>
        <w:rPr>
          <w:vanish/>
        </w:rPr>
      </w:pPr>
      <w:bookmarkStart w:id="3" w:name="Commission"/>
      <w:r w:rsidRPr="003A6363">
        <w:rPr>
          <w:vanish/>
        </w:rPr>
        <w:t>Odbor za proračune</w:t>
      </w:r>
      <w:bookmarkEnd w:id="3"/>
    </w:p>
    <w:p w14:paraId="3B806B2C" w14:textId="77777777" w:rsidR="00A40BFC" w:rsidRPr="003A6363" w:rsidRDefault="00A40BFC" w:rsidP="00A40BFC">
      <w:pPr>
        <w:rPr>
          <w:vanish/>
        </w:rPr>
      </w:pPr>
      <w:bookmarkStart w:id="4" w:name="PE"/>
      <w:r w:rsidRPr="003A6363">
        <w:rPr>
          <w:vanish/>
        </w:rPr>
        <w:t>PE776.825</w:t>
      </w:r>
      <w:bookmarkEnd w:id="4"/>
    </w:p>
    <w:p w14:paraId="489C3DF1" w14:textId="667DBFAB" w:rsidR="00A40BFC" w:rsidRPr="003A6363" w:rsidRDefault="00A40BFC" w:rsidP="00A40BFC">
      <w:pPr>
        <w:pStyle w:val="ATHeading3"/>
      </w:pPr>
      <w:bookmarkStart w:id="5" w:name="Sujet"/>
      <w:r w:rsidRPr="003A6363">
        <w:t xml:space="preserve">Rezolucija Europskog parlamenta od </w:t>
      </w:r>
      <w:r w:rsidR="003A6363">
        <w:t>8</w:t>
      </w:r>
      <w:r w:rsidRPr="003A6363">
        <w:t xml:space="preserve">. </w:t>
      </w:r>
      <w:r w:rsidR="003A6363">
        <w:t xml:space="preserve">listopada </w:t>
      </w:r>
      <w:r w:rsidRPr="003A6363">
        <w:t>2025. o Prijedlogu odluke Europskog parlamenta i Vijeća o mobilizaciji Europskog fonda za prilagodbu globalizaciji za radnike koji su proglašeni viškom na temelju zahtjeva Belgije – EGF/2025/001 BE/BelGaN</w:t>
      </w:r>
      <w:bookmarkEnd w:id="5"/>
      <w:r w:rsidRPr="003A6363">
        <w:t xml:space="preserve"> </w:t>
      </w:r>
      <w:bookmarkStart w:id="6" w:name="References"/>
      <w:r w:rsidRPr="003A6363">
        <w:t>(COM(2025)0157 – C10-0188/2025 – 2025/0198(BUD))</w:t>
      </w:r>
      <w:bookmarkEnd w:id="6"/>
    </w:p>
    <w:p w14:paraId="3393C043" w14:textId="77777777" w:rsidR="00552075" w:rsidRPr="003A6363" w:rsidRDefault="00552075" w:rsidP="00552075">
      <w:pPr>
        <w:pStyle w:val="EPComma"/>
        <w:rPr>
          <w:noProof/>
        </w:rPr>
      </w:pPr>
      <w:r w:rsidRPr="003A6363">
        <w:rPr>
          <w:i/>
        </w:rPr>
        <w:t>Europski parlament</w:t>
      </w:r>
      <w:r w:rsidRPr="003A6363">
        <w:t>,</w:t>
      </w:r>
    </w:p>
    <w:p w14:paraId="46439AD0" w14:textId="77777777" w:rsidR="00552075" w:rsidRPr="003A6363" w:rsidRDefault="00552075" w:rsidP="00552075">
      <w:pPr>
        <w:pStyle w:val="NormalHanging12a"/>
        <w:rPr>
          <w:noProof/>
        </w:rPr>
      </w:pPr>
      <w:r w:rsidRPr="003A6363">
        <w:t>–</w:t>
      </w:r>
      <w:r w:rsidRPr="003A6363">
        <w:tab/>
        <w:t>uzimajući u obzir prijedlog Komisije upućen Europskom parlamentu i Vijeću (COM(2025)0157 – C10</w:t>
      </w:r>
      <w:r w:rsidRPr="003A6363">
        <w:noBreakHyphen/>
        <w:t>0188/2025),</w:t>
      </w:r>
    </w:p>
    <w:p w14:paraId="2A96FA8D" w14:textId="77777777" w:rsidR="00552075" w:rsidRPr="003A6363" w:rsidRDefault="00552075" w:rsidP="00552075">
      <w:pPr>
        <w:pStyle w:val="NormalHanging12a"/>
        <w:rPr>
          <w:noProof/>
        </w:rPr>
      </w:pPr>
      <w:r w:rsidRPr="003A6363">
        <w:t>–</w:t>
      </w:r>
      <w:r w:rsidRPr="003A6363">
        <w:tab/>
        <w:t>uzimajući u obzir Uredbu (EU) 2021/691 Europskog parlamenta i Vijeća od 28. travnja 2021. o Europskom fondu za prilagodbu globalizaciji za radnike koji su proglašeni viškom (EGF) i stavljanju izvan snage Uredbe (EU) br. 1309/2013</w:t>
      </w:r>
      <w:r w:rsidRPr="003A6363">
        <w:rPr>
          <w:rStyle w:val="FootnoteReference"/>
        </w:rPr>
        <w:footnoteReference w:id="1"/>
      </w:r>
      <w:r w:rsidRPr="003A6363">
        <w:t>,</w:t>
      </w:r>
    </w:p>
    <w:p w14:paraId="7D16B6A8" w14:textId="77777777" w:rsidR="00552075" w:rsidRPr="003A6363" w:rsidRDefault="00552075" w:rsidP="00552075">
      <w:pPr>
        <w:pStyle w:val="NormalHanging12a"/>
        <w:rPr>
          <w:noProof/>
        </w:rPr>
      </w:pPr>
      <w:r w:rsidRPr="003A6363">
        <w:t>–</w:t>
      </w:r>
      <w:r w:rsidRPr="003A6363">
        <w:tab/>
        <w:t>uzimajući u obzir Uredbu Vijeća (EU, Euratom) 2020/2093 od 17. prosinca 2020. kojom se utvrđuje višegodišnji financijski okvir za razdoblje 2021. – 2027.</w:t>
      </w:r>
      <w:r w:rsidRPr="003A6363">
        <w:rPr>
          <w:rStyle w:val="FootnoteReference"/>
          <w:noProof/>
        </w:rPr>
        <w:footnoteReference w:id="2"/>
      </w:r>
      <w:r w:rsidRPr="003A6363">
        <w:t>, kako je izmijenjena Uredbom (EU, Euratom) 2024/765</w:t>
      </w:r>
      <w:r w:rsidRPr="003A6363">
        <w:rPr>
          <w:rStyle w:val="FootnoteReference"/>
          <w:noProof/>
        </w:rPr>
        <w:footnoteReference w:id="3"/>
      </w:r>
      <w:r w:rsidRPr="003A6363">
        <w:t>, a posebno njezin članak 8.,</w:t>
      </w:r>
    </w:p>
    <w:p w14:paraId="6B6A3727" w14:textId="77777777" w:rsidR="00552075" w:rsidRPr="003A6363" w:rsidRDefault="00552075" w:rsidP="00552075">
      <w:pPr>
        <w:pStyle w:val="NormalHanging12a"/>
        <w:rPr>
          <w:noProof/>
        </w:rPr>
      </w:pPr>
      <w:r w:rsidRPr="003A6363">
        <w:t>–</w:t>
      </w:r>
      <w:r w:rsidRPr="003A6363">
        <w:tab/>
        <w:t>uzimajući u obzir Međuinstitucijski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3A6363">
        <w:rPr>
          <w:rStyle w:val="FootnoteReference"/>
          <w:noProof/>
        </w:rPr>
        <w:footnoteReference w:id="4"/>
      </w:r>
      <w:r w:rsidRPr="003A6363">
        <w:t>, a posebno njegovu točku 12.,</w:t>
      </w:r>
    </w:p>
    <w:p w14:paraId="64D2B133" w14:textId="77777777" w:rsidR="00552075" w:rsidRPr="003A6363" w:rsidRDefault="00552075" w:rsidP="00552075">
      <w:pPr>
        <w:pStyle w:val="NormalHanging12a"/>
      </w:pPr>
      <w:r w:rsidRPr="003A6363">
        <w:t>–</w:t>
      </w:r>
      <w:r w:rsidRPr="003A6363">
        <w:tab/>
        <w:t>uzimajući u obzir mišljenje Odbora za zapošljavanje i socijalna pitanja,</w:t>
      </w:r>
    </w:p>
    <w:p w14:paraId="01E4F03C" w14:textId="77777777" w:rsidR="00552075" w:rsidRPr="003A6363" w:rsidRDefault="00552075" w:rsidP="00552075">
      <w:pPr>
        <w:pStyle w:val="NormalHanging12a"/>
      </w:pPr>
      <w:r w:rsidRPr="003A6363">
        <w:lastRenderedPageBreak/>
        <w:t>–</w:t>
      </w:r>
      <w:r w:rsidRPr="003A6363">
        <w:tab/>
        <w:t>uzimajući u obzir izvješće Odbora za proračune (A10</w:t>
      </w:r>
      <w:r w:rsidRPr="003A6363">
        <w:noBreakHyphen/>
        <w:t>0163/2025),</w:t>
      </w:r>
    </w:p>
    <w:p w14:paraId="46E0E731" w14:textId="77777777" w:rsidR="00552075" w:rsidRPr="003A6363" w:rsidRDefault="00552075" w:rsidP="00552075">
      <w:pPr>
        <w:pStyle w:val="NormalHanging12a"/>
        <w:rPr>
          <w:noProof/>
        </w:rPr>
      </w:pPr>
      <w:r w:rsidRPr="003A6363">
        <w:t>A.</w:t>
      </w:r>
      <w:r w:rsidRPr="003A6363">
        <w:tab/>
        <w:t>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 budući da se ta pomoć ostvaruje u obliku financijske potpore radnicima i poduzećima za koja su radili;</w:t>
      </w:r>
    </w:p>
    <w:p w14:paraId="3D1221E3" w14:textId="2FCBE0DD" w:rsidR="00552075" w:rsidRPr="003A6363" w:rsidRDefault="00552075" w:rsidP="00552075">
      <w:pPr>
        <w:pStyle w:val="NormalHanging12a"/>
        <w:rPr>
          <w:noProof/>
        </w:rPr>
      </w:pPr>
      <w:r w:rsidRPr="003A6363">
        <w:t xml:space="preserve">B. </w:t>
      </w:r>
      <w:r w:rsidRPr="003A6363">
        <w:tab/>
        <w:t xml:space="preserve">budući da je Belgija podnijela zahtjev EGF/2025/001 BE/BelGaN za financijski doprinos iz Europskog fonda za prilagodbu globalizaciji (EGF) nakon otpuštanja 417 radnika u sektoru gospodarstva svrstanom u odjeljak 26. NACE-a Rev. 2 (Proizvodnja računala te elektroničkih i optičkih proizvoda) u </w:t>
      </w:r>
      <w:r w:rsidR="00F82128">
        <w:t xml:space="preserve">regiji </w:t>
      </w:r>
      <w:r w:rsidR="00F82128" w:rsidRPr="00F82128">
        <w:t>Provincie Oost-Vlaanderen</w:t>
      </w:r>
      <w:r w:rsidR="00F82128" w:rsidRPr="00F82128" w:rsidDel="00F82128">
        <w:t xml:space="preserve"> </w:t>
      </w:r>
      <w:r w:rsidRPr="003A6363">
        <w:t xml:space="preserve"> (BE23), u referentnom razdoblju za podnošenje zahtjeva od </w:t>
      </w:r>
      <w:r w:rsidR="00F82128">
        <w:t>4</w:t>
      </w:r>
      <w:r w:rsidR="00F82128" w:rsidRPr="003A6363">
        <w:t xml:space="preserve"> </w:t>
      </w:r>
      <w:r w:rsidRPr="003A6363">
        <w:t>mjeseca, od 31. srpnja 2024. do 30. studenog 2024.;</w:t>
      </w:r>
    </w:p>
    <w:p w14:paraId="7BAADF32" w14:textId="77777777" w:rsidR="00552075" w:rsidRPr="003A6363" w:rsidRDefault="00552075" w:rsidP="00552075">
      <w:pPr>
        <w:pStyle w:val="NormalHanging12a"/>
        <w:rPr>
          <w:noProof/>
        </w:rPr>
      </w:pPr>
      <w:r w:rsidRPr="003A6363">
        <w:t xml:space="preserve">C. </w:t>
      </w:r>
      <w:r w:rsidRPr="003A6363">
        <w:tab/>
        <w:t>budući da se zahtjev temelji na intervencijskim kriterijima iz članka 4. stavka 2. točke (a) Uredbe o EGF-u kojom se propisuje prestanak djelatnosti najmanje 200 radnika ili samozaposlenih osoba koji su proglašeni viškom tijekom referentnog razdoblja od četiri mjeseca u poduzeću u državi članici, uključujući radnike proglašene viškom kod dobavljača i daljnjih proizvođača;</w:t>
      </w:r>
    </w:p>
    <w:p w14:paraId="65418A48" w14:textId="3B7E5008" w:rsidR="00552075" w:rsidRPr="003A6363" w:rsidRDefault="00552075" w:rsidP="00552075">
      <w:pPr>
        <w:pStyle w:val="NormalHanging12a"/>
        <w:rPr>
          <w:noProof/>
        </w:rPr>
      </w:pPr>
      <w:bookmarkStart w:id="7" w:name="_Hlk207698597"/>
      <w:r w:rsidRPr="003A6363">
        <w:t xml:space="preserve">D. </w:t>
      </w:r>
      <w:r w:rsidRPr="003A6363">
        <w:tab/>
        <w:t xml:space="preserve">budući da su ruska ratna agresija na Ukrajinu i rastuća inflacija utjecali na troškove energije, materijala i rada, čime se povećao pritisak na maržu </w:t>
      </w:r>
      <w:r w:rsidR="00F82128">
        <w:t xml:space="preserve"> BelGaN-a</w:t>
      </w:r>
      <w:r w:rsidRPr="003A6363">
        <w:t>;</w:t>
      </w:r>
    </w:p>
    <w:bookmarkEnd w:id="7"/>
    <w:p w14:paraId="1E62D595" w14:textId="77777777" w:rsidR="00552075" w:rsidRPr="003A6363" w:rsidRDefault="00552075" w:rsidP="00552075">
      <w:pPr>
        <w:pStyle w:val="NormalHanging12a"/>
        <w:rPr>
          <w:noProof/>
        </w:rPr>
      </w:pPr>
      <w:r w:rsidRPr="003A6363">
        <w:t xml:space="preserve">E. </w:t>
      </w:r>
      <w:r w:rsidRPr="003A6363">
        <w:tab/>
        <w:t>budući da je BelGaN bio specijaliziran za proizvodnju poluvodiča za automobilski sektor; budući da se europska automobilska industrija i industrija dobavljača suočava s dosad nezabilježenim pritiscima koji potječu od vanjskih i unutarnjih izazova, kao što su narušavanje tržišnog natjecanja i visoki troškovi energije;</w:t>
      </w:r>
    </w:p>
    <w:p w14:paraId="50A87E68" w14:textId="41EFED71" w:rsidR="00552075" w:rsidRPr="003A6363" w:rsidRDefault="00552075" w:rsidP="00552075">
      <w:pPr>
        <w:pStyle w:val="NormalHanging12a"/>
        <w:rPr>
          <w:noProof/>
        </w:rPr>
      </w:pPr>
      <w:r w:rsidRPr="003A6363">
        <w:t>F.</w:t>
      </w:r>
      <w:r w:rsidRPr="003A6363">
        <w:tab/>
        <w:t>budući da je to poduzeće doživjelo znatan pad profitabilnosti zbog ograničenja novčanog toka zbog prijelaza s tehnologije čipova na bazi silicija na čipove na bazi galijeva nitrida (GaN), što je bilo otežano visokim troškovima proizvodnje i nedovoljnim ulaganjima tijekom prijelaznog razdoblja;</w:t>
      </w:r>
    </w:p>
    <w:p w14:paraId="6B064E58" w14:textId="77777777" w:rsidR="00552075" w:rsidRPr="003A6363" w:rsidRDefault="00552075" w:rsidP="00552075">
      <w:pPr>
        <w:pStyle w:val="NormalHanging12a"/>
        <w:rPr>
          <w:noProof/>
        </w:rPr>
      </w:pPr>
      <w:r w:rsidRPr="003A6363">
        <w:t>G.</w:t>
      </w:r>
      <w:r w:rsidRPr="003A6363">
        <w:tab/>
        <w:t>budući da je BelGaN 30. srpnja 2024. pokrenuo stečajni postupak;</w:t>
      </w:r>
    </w:p>
    <w:p w14:paraId="6BF87BC1" w14:textId="77777777" w:rsidR="00552075" w:rsidRPr="003A6363" w:rsidRDefault="00552075" w:rsidP="00552075">
      <w:pPr>
        <w:pStyle w:val="NormalHanging12a"/>
        <w:rPr>
          <w:noProof/>
        </w:rPr>
      </w:pPr>
      <w:r w:rsidRPr="003A6363">
        <w:t>H.</w:t>
      </w:r>
      <w:r w:rsidRPr="003A6363">
        <w:tab/>
        <w:t>budući da flamanske službe za zapošljavanje (VDAB</w:t>
      </w:r>
      <w:r w:rsidRPr="003A6363">
        <w:rPr>
          <w:rStyle w:val="FootnoteReference"/>
          <w:noProof/>
        </w:rPr>
        <w:footnoteReference w:id="5"/>
      </w:r>
      <w:r w:rsidRPr="003A6363">
        <w:t>) osiguravaju nacionalno pretfinanciranje i sufinanciranje mjera;</w:t>
      </w:r>
    </w:p>
    <w:p w14:paraId="36B089A2" w14:textId="77777777" w:rsidR="00552075" w:rsidRPr="003A6363" w:rsidRDefault="00552075" w:rsidP="00552075">
      <w:pPr>
        <w:pStyle w:val="NormalHanging12a"/>
        <w:rPr>
          <w:noProof/>
        </w:rPr>
      </w:pPr>
      <w:r w:rsidRPr="003A6363">
        <w:t>I.</w:t>
      </w:r>
      <w:r w:rsidRPr="003A6363">
        <w:tab/>
        <w:t xml:space="preserve">budući da je to poduzeće, u skladu s belgijskim pravom, slijedilo obvezni postupak obavješćivanja predstavnika radnika i savjetovanja s njima; budući da se zahtjev za osnivanje odjela za zapošljavanje, čija je svrha radnicima otpuštenima u kontekstu kolektivnog otkaza pružiti usluge traženja zamjenskog posla, ne primjenjuje u slučaju stečaja te je stoga VDAB pružao usluge pronalaženja zamjenskog posla; </w:t>
      </w:r>
    </w:p>
    <w:p w14:paraId="2D9CE2B2" w14:textId="77777777" w:rsidR="00552075" w:rsidRPr="003A6363" w:rsidRDefault="00552075" w:rsidP="00552075">
      <w:pPr>
        <w:pStyle w:val="NormalHanging12a"/>
        <w:rPr>
          <w:noProof/>
        </w:rPr>
      </w:pPr>
      <w:r w:rsidRPr="003A6363">
        <w:t>J.</w:t>
      </w:r>
      <w:r w:rsidRPr="003A6363">
        <w:tab/>
        <w:t>budući da bi financijski doprinos iz EGF-a ponajprije trebao biti usmjeren na aktivne mjere politike tržišta rada i personalizirane usluge čiji je cilj brza reintegracija korisnika na dostojanstvena i održiva radna mjesta u istom ili drugom sektoru, pri čemu ih treba pripremiti na zelenije i digitalnije europsko gospodarstvo;</w:t>
      </w:r>
    </w:p>
    <w:p w14:paraId="76B18E25" w14:textId="77777777" w:rsidR="00552075" w:rsidRPr="003A6363" w:rsidRDefault="00552075" w:rsidP="00552075">
      <w:pPr>
        <w:pStyle w:val="NormalHanging12a"/>
        <w:rPr>
          <w:noProof/>
        </w:rPr>
      </w:pPr>
      <w:r w:rsidRPr="003A6363">
        <w:t>K.</w:t>
      </w:r>
      <w:r w:rsidRPr="003A6363">
        <w:tab/>
        <w:t xml:space="preserve">budući da EGF ne smije premašiti najveći godišnji iznos od 30 milijuna EUR (u </w:t>
      </w:r>
      <w:r w:rsidRPr="003A6363">
        <w:lastRenderedPageBreak/>
        <w:t>cijenama iz 2018.), kako je utvrđeno člankom 8. Uredbe (EU, Euratom) 2020/2093 kako je izmijenjena Uredbom (EU, Euratom) 2024/765;</w:t>
      </w:r>
    </w:p>
    <w:p w14:paraId="66A67805" w14:textId="77777777" w:rsidR="00552075" w:rsidRPr="003A6363" w:rsidRDefault="00552075" w:rsidP="00552075">
      <w:pPr>
        <w:pStyle w:val="NormalHanging12a"/>
        <w:rPr>
          <w:noProof/>
        </w:rPr>
      </w:pPr>
      <w:r w:rsidRPr="003A6363">
        <w:t>1.</w:t>
      </w:r>
      <w:r w:rsidRPr="003A6363">
        <w:tab/>
        <w:t>slaže se s Komisijom da su uvjeti iz članka 4. stavka 2. točke (a) Uredbe o EGF-u ispunjeni i da Belgija u skladu s tom Uredbom ima pravo na financijski doprinos u iznosu od 931 690 EUR, odnosno 85 % ukupnog troška od 1 096 107 EUR, što obuhvaća troškove za personalizirane usluge u iznosu od 1 052 607 EUR i troškove za aktivnosti pripreme, upravljanja, informiranja i promidžbe te kontrole i izvješćivanja u iznosu od 43 500 EUR;</w:t>
      </w:r>
    </w:p>
    <w:p w14:paraId="1B574451" w14:textId="77777777" w:rsidR="00552075" w:rsidRPr="003A6363" w:rsidRDefault="00552075" w:rsidP="00552075">
      <w:pPr>
        <w:pStyle w:val="NormalHanging12a"/>
        <w:rPr>
          <w:noProof/>
        </w:rPr>
      </w:pPr>
      <w:r w:rsidRPr="003A6363">
        <w:t xml:space="preserve">2. </w:t>
      </w:r>
      <w:r w:rsidRPr="003A6363">
        <w:tab/>
        <w:t>napominje da su belgijske vlasti zahtjev podnijele 21. veljače 2025. te da je, na temelju dodatnih informacija koje je Belgija pružila, Komisija ocjenjivanje zahtjeva dovršila 7. srpnja 2025., gotovo pet mjeseci kasnije, i o tome 26. kolovoza 2025. obavijestila Parlament; naglašava važnost skraćivanja vremena između podnošenja zahtjeva za pomoć iz EGF-a i odluke o financiranju; ističe da je potrebno pojednostavniti i ubrzati unutarnje procedure bez ugrožavanja institucionalne ravnoteže, posebno prava Europskog parlamenta kao proračunskog tijela;</w:t>
      </w:r>
    </w:p>
    <w:p w14:paraId="7DE48B7F" w14:textId="77777777" w:rsidR="00552075" w:rsidRPr="003A6363" w:rsidRDefault="00552075" w:rsidP="00552075">
      <w:pPr>
        <w:pStyle w:val="NormalHanging12a"/>
        <w:rPr>
          <w:noProof/>
        </w:rPr>
      </w:pPr>
      <w:r w:rsidRPr="003A6363">
        <w:t>3.</w:t>
      </w:r>
      <w:r w:rsidRPr="003A6363">
        <w:tab/>
        <w:t>prima na znanje da se zahtjev odnosi na 417 ciljanih korisnika koji su proglašeni viškom u poduzeću BelGaN;</w:t>
      </w:r>
    </w:p>
    <w:p w14:paraId="43C8908E" w14:textId="77777777" w:rsidR="00552075" w:rsidRPr="003A6363" w:rsidRDefault="00552075" w:rsidP="00552075">
      <w:pPr>
        <w:pStyle w:val="NormalHanging12a"/>
        <w:rPr>
          <w:noProof/>
        </w:rPr>
      </w:pPr>
      <w:r w:rsidRPr="003A6363">
        <w:t>4.</w:t>
      </w:r>
      <w:r w:rsidRPr="003A6363">
        <w:tab/>
        <w:t>ističe da su otpuštanja u BelGaNu dovela do povećanja godišnje stope nezaposlenosti na + 9 % na području Oudenaardea, posebno među visokokvalificiranim i srednjekvalificiranim nezaposlenim radnicima; napominje da je istodobno otvaranje radnih mjesta u tom području palo za 22 % zbog znatnog povećanja broja poduzeća koja su podnijela zahtjev za stečaj u posljednje tri godine;</w:t>
      </w:r>
    </w:p>
    <w:p w14:paraId="005E7686" w14:textId="77777777" w:rsidR="00552075" w:rsidRPr="003A6363" w:rsidRDefault="00552075" w:rsidP="00552075">
      <w:pPr>
        <w:pStyle w:val="NormalHanging12a"/>
        <w:rPr>
          <w:noProof/>
        </w:rPr>
      </w:pPr>
      <w:r w:rsidRPr="003A6363">
        <w:t>5.</w:t>
      </w:r>
      <w:r w:rsidRPr="003A6363">
        <w:tab/>
        <w:t>podsjeća na to da se personalizirane usluge koje će se pružati radnicima sastoje od sljedećih mjera: informativni sastanci, pomoć pri traženju zamjenskog posla, osposobljavanje i prekvalifikacija, obuka na radnom mjestu, sajmovi posla, pomoć pri traženju posla te potraga za odgovarajućim radnicima i radnim mjestima kako bi se radnicima omogućilo da se što prije ponovno uključe na tržište rada, kako bi stekli visokokvalitetne vještine i osposobljavanje koje je relevantno za potencijalne poslodavce u tom sektoru, uz istodobno jačanje njihovih kapaciteta za razvoj poduzetničkih inicijativa i novih projekata; u tom kontekstu naglašava da je dobro osposobljena radna snaga ključna za europsko gospodarstvo otporno na buduće promjene;</w:t>
      </w:r>
    </w:p>
    <w:p w14:paraId="42F5AB7A" w14:textId="77777777" w:rsidR="00552075" w:rsidRPr="003A6363" w:rsidRDefault="00552075" w:rsidP="00552075">
      <w:pPr>
        <w:pStyle w:val="NormalHanging12a"/>
        <w:rPr>
          <w:bCs/>
          <w:iCs/>
          <w:noProof/>
        </w:rPr>
      </w:pPr>
      <w:r w:rsidRPr="003A6363">
        <w:t>6.</w:t>
      </w:r>
      <w:r w:rsidRPr="003A6363">
        <w:tab/>
        <w:t>poziva na sveobuhvatne završne evaluacije provedenih mjera, uključujući podatke o broju radnika koji su uspješno ponovno uključeni u posao i povratne informacije od korisnika o kvaliteti i relevantnosti pružene potpore;</w:t>
      </w:r>
    </w:p>
    <w:p w14:paraId="65C03505" w14:textId="745511C3" w:rsidR="00552075" w:rsidRPr="003A6363" w:rsidRDefault="00552075" w:rsidP="00552075">
      <w:pPr>
        <w:pStyle w:val="NormalHanging12a"/>
        <w:rPr>
          <w:noProof/>
        </w:rPr>
      </w:pPr>
      <w:r w:rsidRPr="003A6363">
        <w:t>7.</w:t>
      </w:r>
      <w:r w:rsidRPr="003A6363">
        <w:tab/>
        <w:t xml:space="preserve">prima na znanje da je Belgija ciljanim korisnicima počela pružati personalizirane usluge 8. kolovoza 2024. i da će stoga razdoblje prihvatljivosti za financijski doprinos iz EGF-a trajati od tog datuma do datuma koji nastupi 24 mjeseca nakon stupanja na snagu odluke </w:t>
      </w:r>
      <w:r w:rsidR="00F82128">
        <w:t xml:space="preserve">priložene ovoj </w:t>
      </w:r>
      <w:r w:rsidR="00D376A3">
        <w:t>R</w:t>
      </w:r>
      <w:r w:rsidR="00F82128">
        <w:t>ezoluciji</w:t>
      </w:r>
      <w:r w:rsidRPr="003A6363">
        <w:t>;</w:t>
      </w:r>
    </w:p>
    <w:p w14:paraId="19BEF6E8" w14:textId="1229BAA0" w:rsidR="00552075" w:rsidRPr="003A6363" w:rsidRDefault="00552075" w:rsidP="00552075">
      <w:pPr>
        <w:pStyle w:val="NormalHanging12a"/>
        <w:rPr>
          <w:noProof/>
        </w:rPr>
      </w:pPr>
      <w:r w:rsidRPr="003A6363">
        <w:t>8.</w:t>
      </w:r>
      <w:r w:rsidRPr="003A6363">
        <w:tab/>
      </w:r>
      <w:r w:rsidR="00D376A3">
        <w:t>prima na znanje</w:t>
      </w:r>
      <w:r w:rsidR="00D376A3" w:rsidRPr="003A6363">
        <w:t xml:space="preserve"> </w:t>
      </w:r>
      <w:r w:rsidRPr="003A6363">
        <w:t xml:space="preserve">da Belgija od 31. srpnja 2024. snosi administrativne izdatke provedbe EGF-a te da ti izdaci stoga ispunjavaju uvjete za financijski doprinos iz EGF-a od tog datuma do datuma koji nastupi 31 mjesec nakon stupanja na snagu odluke </w:t>
      </w:r>
      <w:r w:rsidR="00F82128">
        <w:t xml:space="preserve">priložene ovoj </w:t>
      </w:r>
      <w:r w:rsidR="00D376A3">
        <w:t>R</w:t>
      </w:r>
      <w:r w:rsidR="00F82128">
        <w:t>ezoluciji</w:t>
      </w:r>
      <w:r w:rsidRPr="003A6363">
        <w:t>;</w:t>
      </w:r>
    </w:p>
    <w:p w14:paraId="4E12DFF2" w14:textId="77777777" w:rsidR="00552075" w:rsidRPr="003A6363" w:rsidRDefault="00552075" w:rsidP="00552075">
      <w:pPr>
        <w:pStyle w:val="NormalHanging12a"/>
        <w:rPr>
          <w:noProof/>
        </w:rPr>
      </w:pPr>
      <w:r w:rsidRPr="003A6363">
        <w:lastRenderedPageBreak/>
        <w:t>9.</w:t>
      </w:r>
      <w:r w:rsidRPr="003A6363">
        <w:tab/>
        <w:t>naglašava da su belgijske vlasti pružile jamstvo da će se u pristupu predloženim mjerama i u njihovoj provedbi poštovati načela jednakog postupanja i nediskriminacije te da će se spriječiti svako dvostruko financiranje;</w:t>
      </w:r>
    </w:p>
    <w:p w14:paraId="4526338F" w14:textId="3FD80D04" w:rsidR="00552075" w:rsidRPr="003A6363" w:rsidRDefault="00552075" w:rsidP="00552075">
      <w:pPr>
        <w:pStyle w:val="NormalHanging12a"/>
        <w:rPr>
          <w:bCs/>
          <w:iCs/>
          <w:noProof/>
        </w:rPr>
      </w:pPr>
      <w:r w:rsidRPr="003A6363">
        <w:t>10.</w:t>
      </w:r>
      <w:r w:rsidRPr="003A6363">
        <w:tab/>
        <w:t>naglašava da je potrebno osigurati jasno priznavanje i vidljivost financiranja U</w:t>
      </w:r>
      <w:r w:rsidR="00D376A3">
        <w:t>nije</w:t>
      </w:r>
      <w:r w:rsidRPr="003A6363">
        <w:t xml:space="preserve"> kako bi se istaknula njegova dodana vrijednost; poziva na dosljednu i dobro usmjerenu komunikaciju s korisnicima, regionalnim i lokalnim vlastima, socijalnim partnerima, medijima i širom javnosti;</w:t>
      </w:r>
    </w:p>
    <w:p w14:paraId="6594DD53" w14:textId="77777777" w:rsidR="00552075" w:rsidRPr="003A6363" w:rsidRDefault="00552075" w:rsidP="00552075">
      <w:pPr>
        <w:pStyle w:val="NormalHanging12a"/>
        <w:rPr>
          <w:noProof/>
        </w:rPr>
      </w:pPr>
      <w:r w:rsidRPr="003A6363">
        <w:t>11.</w:t>
      </w:r>
      <w:r w:rsidRPr="003A6363">
        <w:tab/>
        <w:t>ponovno ističe da pomoć iz EGF-a ne smije zamijeniti mjere za koje su prema nacionalnom pravu ili kolektivnim ugovorima odgovorna poduzeća;</w:t>
      </w:r>
    </w:p>
    <w:p w14:paraId="1AFB93F8" w14:textId="77777777" w:rsidR="00552075" w:rsidRPr="003A6363" w:rsidRDefault="00552075" w:rsidP="00552075">
      <w:pPr>
        <w:pStyle w:val="NormalHanging12a"/>
        <w:rPr>
          <w:noProof/>
        </w:rPr>
      </w:pPr>
      <w:r w:rsidRPr="003A6363">
        <w:t>12.</w:t>
      </w:r>
      <w:r w:rsidRPr="003A6363">
        <w:tab/>
        <w:t>odobrava Odluku priloženu ovoj Rezoluciji;</w:t>
      </w:r>
    </w:p>
    <w:p w14:paraId="40684A44" w14:textId="77777777" w:rsidR="00552075" w:rsidRPr="003A6363" w:rsidRDefault="00552075" w:rsidP="00552075">
      <w:pPr>
        <w:pStyle w:val="NormalHanging12a"/>
        <w:rPr>
          <w:noProof/>
        </w:rPr>
      </w:pPr>
      <w:r w:rsidRPr="003A6363">
        <w:t>13.</w:t>
      </w:r>
      <w:r w:rsidRPr="003A6363">
        <w:tab/>
        <w:t xml:space="preserve">nalaže svojoj predsjednici da potpiše ovu Odluku zajedno s predsjednikom Vijeća te da je da na objavu u </w:t>
      </w:r>
      <w:r w:rsidRPr="00FD2AE4">
        <w:rPr>
          <w:i/>
          <w:iCs/>
        </w:rPr>
        <w:t>Službenom listu Europske unije</w:t>
      </w:r>
      <w:r w:rsidRPr="003A6363">
        <w:t>;</w:t>
      </w:r>
    </w:p>
    <w:p w14:paraId="7BF5DCE1" w14:textId="77777777" w:rsidR="00552075" w:rsidRPr="003A6363" w:rsidRDefault="00552075" w:rsidP="00552075">
      <w:pPr>
        <w:pStyle w:val="NormalHanging12a"/>
        <w:rPr>
          <w:noProof/>
        </w:rPr>
      </w:pPr>
      <w:r w:rsidRPr="003A6363">
        <w:t>14.</w:t>
      </w:r>
      <w:r w:rsidRPr="003A6363">
        <w:tab/>
        <w:t>nalaže svojoj predsjednici da ovu Rezoluciju, zajedno s njezinim Prilogom, proslijedi Vijeću i Komisiji.</w:t>
      </w:r>
    </w:p>
    <w:p w14:paraId="22279D33" w14:textId="77777777" w:rsidR="00552075" w:rsidRPr="003A6363" w:rsidRDefault="00552075" w:rsidP="00552075">
      <w:pPr>
        <w:rPr>
          <w:noProof/>
        </w:rPr>
      </w:pPr>
    </w:p>
    <w:p w14:paraId="64C671EF" w14:textId="77777777" w:rsidR="00552075" w:rsidRPr="003A6363" w:rsidRDefault="00552075" w:rsidP="00552075">
      <w:pPr>
        <w:pStyle w:val="PageHeading"/>
        <w:rPr>
          <w:noProof/>
        </w:rPr>
        <w:sectPr w:rsidR="00552075" w:rsidRPr="003A6363" w:rsidSect="0028767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904BC5A" w14:textId="758401B9" w:rsidR="000842D0" w:rsidRPr="000842D0" w:rsidRDefault="00552075" w:rsidP="00552075">
      <w:pPr>
        <w:pStyle w:val="PageHeading"/>
      </w:pPr>
      <w:bookmarkStart w:id="8" w:name="_Toc210135806"/>
      <w:r w:rsidRPr="000842D0">
        <w:lastRenderedPageBreak/>
        <w:t>PRILOG</w:t>
      </w:r>
    </w:p>
    <w:p w14:paraId="2C0DD7CF" w14:textId="55376403" w:rsidR="00552075" w:rsidRPr="003A6363" w:rsidRDefault="00552075" w:rsidP="00552075">
      <w:pPr>
        <w:pStyle w:val="PageHeading"/>
        <w:rPr>
          <w:noProof/>
        </w:rPr>
      </w:pPr>
      <w:r w:rsidRPr="003A6363">
        <w:t>ODLUKA EUROPSKOG PARLAMENTA I VIJEĆA</w:t>
      </w:r>
      <w:bookmarkEnd w:id="8"/>
    </w:p>
    <w:p w14:paraId="2A1CEEF3" w14:textId="730D70F2" w:rsidR="00552075" w:rsidRDefault="00552075" w:rsidP="000842D0">
      <w:pPr>
        <w:pStyle w:val="NormalBold24a"/>
        <w:jc w:val="center"/>
      </w:pPr>
      <w:r w:rsidRPr="003A6363">
        <w:t xml:space="preserve">o mobilizaciji Europskog fonda za prilagodbu globalizaciji za radnike koji su proglašeni viškom na temelju zahtjeva Belgije </w:t>
      </w:r>
      <w:r w:rsidR="00CF2F27">
        <w:t>(</w:t>
      </w:r>
      <w:r w:rsidRPr="003A6363">
        <w:t>EGF/2025/001 BE/BelGaN</w:t>
      </w:r>
      <w:r w:rsidR="00CF2F27">
        <w:t>)</w:t>
      </w:r>
    </w:p>
    <w:p w14:paraId="35683DD1" w14:textId="7E45940F" w:rsidR="000842D0" w:rsidRPr="003A6363" w:rsidRDefault="000842D0" w:rsidP="009F59A9">
      <w:pPr>
        <w:widowControl/>
        <w:spacing w:before="240"/>
      </w:pPr>
      <w:r w:rsidRPr="00E87A06">
        <w:rPr>
          <w:rFonts w:eastAsia="Calibri"/>
          <w:i/>
          <w:szCs w:val="24"/>
          <w:lang w:eastAsia="en-US"/>
        </w:rPr>
        <w:t xml:space="preserve">(Tekst ovog priloga nije naveden ovdje budući da odgovara konačnom aktu, Odluci </w:t>
      </w:r>
      <w:r>
        <w:rPr>
          <w:rFonts w:eastAsia="Calibri"/>
          <w:i/>
          <w:szCs w:val="24"/>
          <w:lang w:eastAsia="en-US"/>
        </w:rPr>
        <w:t xml:space="preserve">(EU) </w:t>
      </w:r>
      <w:r w:rsidRPr="00E87A06">
        <w:rPr>
          <w:rFonts w:eastAsia="Calibri"/>
          <w:i/>
          <w:szCs w:val="24"/>
          <w:lang w:eastAsia="en-US"/>
        </w:rPr>
        <w:t>2025/</w:t>
      </w:r>
      <w:r>
        <w:rPr>
          <w:rFonts w:eastAsia="Calibri"/>
          <w:i/>
          <w:szCs w:val="24"/>
          <w:lang w:eastAsia="en-US"/>
        </w:rPr>
        <w:t>2133.</w:t>
      </w:r>
      <w:r w:rsidRPr="00E87A06">
        <w:rPr>
          <w:rFonts w:eastAsia="Calibri"/>
          <w:i/>
          <w:szCs w:val="24"/>
          <w:lang w:eastAsia="en-US"/>
        </w:rPr>
        <w:t>)</w:t>
      </w:r>
    </w:p>
    <w:sectPr w:rsidR="000842D0" w:rsidRPr="003A6363" w:rsidSect="0028767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66BDE" w14:textId="77777777" w:rsidR="00A40BFC" w:rsidRPr="0028767B" w:rsidRDefault="00A40BFC">
      <w:r w:rsidRPr="0028767B">
        <w:separator/>
      </w:r>
    </w:p>
  </w:endnote>
  <w:endnote w:type="continuationSeparator" w:id="0">
    <w:p w14:paraId="7C14286D" w14:textId="77777777" w:rsidR="00A40BFC" w:rsidRPr="0028767B" w:rsidRDefault="00A40BFC">
      <w:r w:rsidRPr="002876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762F9" w14:textId="77777777" w:rsidR="00552075" w:rsidRPr="0028767B" w:rsidRDefault="00552075" w:rsidP="002F4503">
    <w:pPr>
      <w:pStyle w:val="EPFooter"/>
    </w:pPr>
    <w:r w:rsidRPr="0028767B">
      <w:t>PE</w:t>
    </w:r>
    <w:r w:rsidRPr="0028767B">
      <w:rPr>
        <w:rStyle w:val="HideTWBExt"/>
      </w:rPr>
      <w:t>&lt;NoPE&gt;</w:t>
    </w:r>
    <w:r w:rsidRPr="0028767B">
      <w:t>776.825</w:t>
    </w:r>
    <w:r w:rsidRPr="0028767B">
      <w:rPr>
        <w:rStyle w:val="HideTWBExt"/>
      </w:rPr>
      <w:t>&lt;/NoPE&gt;&lt;Version&gt;</w:t>
    </w:r>
    <w:r w:rsidRPr="0028767B">
      <w:t>v02-00</w:t>
    </w:r>
    <w:r w:rsidRPr="0028767B">
      <w:rPr>
        <w:rStyle w:val="HideTWBExt"/>
      </w:rPr>
      <w:t>&lt;/Version&gt;</w:t>
    </w:r>
    <w:r w:rsidRPr="0028767B">
      <w:tab/>
    </w:r>
    <w:r w:rsidRPr="0028767B">
      <w:fldChar w:fldCharType="begin"/>
    </w:r>
    <w:r w:rsidRPr="0028767B">
      <w:instrText xml:space="preserve"> PAGE  \* MERGEFORMAT </w:instrText>
    </w:r>
    <w:r w:rsidRPr="0028767B">
      <w:fldChar w:fldCharType="separate"/>
    </w:r>
    <w:r w:rsidRPr="0028767B">
      <w:rPr>
        <w:noProof/>
      </w:rPr>
      <w:t>16</w:t>
    </w:r>
    <w:r w:rsidRPr="0028767B">
      <w:fldChar w:fldCharType="end"/>
    </w:r>
    <w:r w:rsidRPr="0028767B">
      <w:t>/</w:t>
    </w:r>
    <w:r w:rsidR="009F59A9">
      <w:fldChar w:fldCharType="begin"/>
    </w:r>
    <w:r w:rsidR="009F59A9">
      <w:instrText xml:space="preserve"> NUMPAGES  \* MERGEFORMAT </w:instrText>
    </w:r>
    <w:r w:rsidR="009F59A9">
      <w:fldChar w:fldCharType="separate"/>
    </w:r>
    <w:r w:rsidRPr="0028767B">
      <w:rPr>
        <w:noProof/>
      </w:rPr>
      <w:t>17</w:t>
    </w:r>
    <w:r w:rsidR="009F59A9">
      <w:rPr>
        <w:noProof/>
      </w:rPr>
      <w:fldChar w:fldCharType="end"/>
    </w:r>
    <w:r w:rsidRPr="0028767B">
      <w:tab/>
    </w:r>
    <w:r w:rsidRPr="0028767B">
      <w:rPr>
        <w:rStyle w:val="HideTWBExt"/>
      </w:rPr>
      <w:t>&lt;PathFdR&gt;</w:t>
    </w:r>
    <w:r w:rsidRPr="0028767B">
      <w:t>RR\1328419HR.docx</w:t>
    </w:r>
    <w:r w:rsidRPr="0028767B">
      <w:rPr>
        <w:rStyle w:val="HideTWBExt"/>
      </w:rPr>
      <w:t>&lt;/PathFdR&gt;</w:t>
    </w:r>
  </w:p>
  <w:p w14:paraId="7AACB036" w14:textId="77777777" w:rsidR="00552075" w:rsidRPr="0028767B" w:rsidRDefault="00552075" w:rsidP="002F4503">
    <w:pPr>
      <w:pStyle w:val="EPFooter2"/>
    </w:pPr>
    <w:r w:rsidRPr="0028767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3A11" w14:textId="77777777" w:rsidR="00552075" w:rsidRPr="0028767B" w:rsidRDefault="00552075" w:rsidP="002F4503">
    <w:pPr>
      <w:pStyle w:val="EPFooter"/>
    </w:pPr>
    <w:r w:rsidRPr="0028767B">
      <w:rPr>
        <w:rStyle w:val="HideTWBExt"/>
      </w:rPr>
      <w:t>&lt;PathFdR&gt;</w:t>
    </w:r>
    <w:r w:rsidRPr="0028767B">
      <w:t>RR\1328419HR.docx</w:t>
    </w:r>
    <w:r w:rsidRPr="0028767B">
      <w:rPr>
        <w:rStyle w:val="HideTWBExt"/>
      </w:rPr>
      <w:t>&lt;/PathFdR&gt;</w:t>
    </w:r>
    <w:r w:rsidRPr="0028767B">
      <w:tab/>
    </w:r>
    <w:r w:rsidRPr="0028767B">
      <w:tab/>
      <w:t>PE</w:t>
    </w:r>
    <w:r w:rsidRPr="0028767B">
      <w:rPr>
        <w:rStyle w:val="HideTWBExt"/>
      </w:rPr>
      <w:t>&lt;NoPE&gt;</w:t>
    </w:r>
    <w:r w:rsidRPr="0028767B">
      <w:t>776.825</w:t>
    </w:r>
    <w:r w:rsidRPr="0028767B">
      <w:rPr>
        <w:rStyle w:val="HideTWBExt"/>
      </w:rPr>
      <w:t>&lt;/NoPE&gt;&lt;Version&gt;</w:t>
    </w:r>
    <w:r w:rsidRPr="0028767B">
      <w:t>v02-00</w:t>
    </w:r>
    <w:r w:rsidRPr="0028767B">
      <w:rPr>
        <w:rStyle w:val="HideTWBExt"/>
      </w:rPr>
      <w:t>&lt;/Version&gt;</w:t>
    </w:r>
  </w:p>
  <w:p w14:paraId="41A746B6" w14:textId="77777777" w:rsidR="00552075" w:rsidRPr="0028767B" w:rsidRDefault="00552075" w:rsidP="002F4503">
    <w:pPr>
      <w:pStyle w:val="EPFooter2"/>
    </w:pPr>
    <w:r w:rsidRPr="0028767B">
      <w:t>HR</w:t>
    </w:r>
    <w:r w:rsidRPr="0028767B">
      <w:tab/>
    </w:r>
    <w:r w:rsidRPr="0028767B">
      <w:rPr>
        <w:b w:val="0"/>
        <w:i/>
        <w:color w:val="C0C0C0"/>
        <w:sz w:val="22"/>
      </w:rPr>
      <w:t>Ujedinjena u raznolikosti</w:t>
    </w:r>
    <w:r w:rsidRPr="0028767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6CB72" w14:textId="77777777" w:rsidR="00064002" w:rsidRPr="0028767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6B28C" w14:textId="77777777" w:rsidR="00064002" w:rsidRPr="0028767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449AB" w14:textId="77777777" w:rsidR="00064002" w:rsidRPr="002876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3AC8B" w14:textId="77777777" w:rsidR="00A40BFC" w:rsidRPr="0028767B" w:rsidRDefault="00A40BFC">
      <w:r w:rsidRPr="0028767B">
        <w:separator/>
      </w:r>
    </w:p>
  </w:footnote>
  <w:footnote w:type="continuationSeparator" w:id="0">
    <w:p w14:paraId="4A3D44AE" w14:textId="77777777" w:rsidR="00A40BFC" w:rsidRPr="0028767B" w:rsidRDefault="00A40BFC">
      <w:r w:rsidRPr="0028767B">
        <w:continuationSeparator/>
      </w:r>
    </w:p>
  </w:footnote>
  <w:footnote w:id="1">
    <w:p w14:paraId="1F1F0F60" w14:textId="2A649046" w:rsidR="00552075" w:rsidRPr="0028767B" w:rsidRDefault="00552075" w:rsidP="0028767B">
      <w:pPr>
        <w:pStyle w:val="FootnoteText"/>
        <w:ind w:left="567" w:hanging="567"/>
        <w:rPr>
          <w:sz w:val="24"/>
          <w:lang w:val="hr-HR"/>
        </w:rPr>
      </w:pPr>
      <w:r w:rsidRPr="0028767B">
        <w:rPr>
          <w:rStyle w:val="FootnoteReference"/>
          <w:sz w:val="24"/>
          <w:lang w:val="hr-HR"/>
        </w:rPr>
        <w:footnoteRef/>
      </w:r>
      <w:r w:rsidR="0028767B" w:rsidRPr="0028767B">
        <w:rPr>
          <w:sz w:val="24"/>
          <w:lang w:val="hr-HR"/>
        </w:rPr>
        <w:t xml:space="preserve"> </w:t>
      </w:r>
      <w:r w:rsidR="0028767B" w:rsidRPr="0028767B">
        <w:rPr>
          <w:sz w:val="24"/>
          <w:lang w:val="hr-HR"/>
        </w:rPr>
        <w:tab/>
      </w:r>
      <w:r w:rsidRPr="0028767B">
        <w:rPr>
          <w:sz w:val="24"/>
          <w:lang w:val="hr-HR"/>
        </w:rPr>
        <w:t xml:space="preserve">SL L 153, 3.5.2021., str. 48., ELI: </w:t>
      </w:r>
      <w:hyperlink r:id="rId1" w:history="1">
        <w:r w:rsidRPr="0028767B">
          <w:rPr>
            <w:rStyle w:val="Hyperlink"/>
            <w:sz w:val="24"/>
            <w:lang w:val="hr-HR"/>
          </w:rPr>
          <w:t>http://data.europa.eu/eli/reg/2021/691/oj</w:t>
        </w:r>
      </w:hyperlink>
      <w:r w:rsidRPr="0028767B">
        <w:rPr>
          <w:sz w:val="24"/>
          <w:lang w:val="hr-HR"/>
        </w:rPr>
        <w:t>.</w:t>
      </w:r>
    </w:p>
  </w:footnote>
  <w:footnote w:id="2">
    <w:p w14:paraId="059D8ED3" w14:textId="5C9383D9" w:rsidR="00552075" w:rsidRPr="0028767B" w:rsidRDefault="00552075" w:rsidP="0028767B">
      <w:pPr>
        <w:pStyle w:val="FootnoteText"/>
        <w:ind w:left="567" w:hanging="567"/>
        <w:rPr>
          <w:sz w:val="24"/>
          <w:lang w:val="hr-HR"/>
        </w:rPr>
      </w:pPr>
      <w:r w:rsidRPr="0028767B">
        <w:rPr>
          <w:rStyle w:val="FootnoteReference"/>
          <w:sz w:val="24"/>
          <w:lang w:val="hr-HR"/>
        </w:rPr>
        <w:footnoteRef/>
      </w:r>
      <w:r w:rsidR="0028767B" w:rsidRPr="0028767B">
        <w:rPr>
          <w:sz w:val="24"/>
          <w:lang w:val="hr-HR"/>
        </w:rPr>
        <w:t xml:space="preserve"> </w:t>
      </w:r>
      <w:r w:rsidR="0028767B" w:rsidRPr="0028767B">
        <w:rPr>
          <w:sz w:val="24"/>
          <w:lang w:val="hr-HR"/>
        </w:rPr>
        <w:tab/>
      </w:r>
      <w:r w:rsidRPr="0028767B">
        <w:rPr>
          <w:sz w:val="24"/>
          <w:lang w:val="hr-HR"/>
        </w:rPr>
        <w:t xml:space="preserve">SL L 433 I, 22.12.2020., str. 11., ELI: </w:t>
      </w:r>
      <w:hyperlink r:id="rId2" w:history="1">
        <w:r w:rsidRPr="0028767B">
          <w:rPr>
            <w:rStyle w:val="Hyperlink"/>
            <w:sz w:val="24"/>
            <w:lang w:val="hr-HR"/>
          </w:rPr>
          <w:t>http://data.europa.eu/eli/reg/2020/2093/oj</w:t>
        </w:r>
      </w:hyperlink>
      <w:r w:rsidRPr="0028767B">
        <w:rPr>
          <w:sz w:val="24"/>
          <w:lang w:val="hr-HR"/>
        </w:rPr>
        <w:t>.</w:t>
      </w:r>
    </w:p>
  </w:footnote>
  <w:footnote w:id="3">
    <w:p w14:paraId="087CE9EE" w14:textId="0AD99C43" w:rsidR="00552075" w:rsidRPr="0028767B" w:rsidRDefault="00552075" w:rsidP="0028767B">
      <w:pPr>
        <w:pStyle w:val="FootnoteText"/>
        <w:ind w:left="567" w:hanging="567"/>
        <w:rPr>
          <w:sz w:val="24"/>
          <w:lang w:val="hr-HR"/>
        </w:rPr>
      </w:pPr>
      <w:r w:rsidRPr="0028767B">
        <w:rPr>
          <w:rStyle w:val="FootnoteReference"/>
          <w:sz w:val="24"/>
          <w:lang w:val="hr-HR"/>
        </w:rPr>
        <w:footnoteRef/>
      </w:r>
      <w:r w:rsidR="0028767B" w:rsidRPr="0028767B">
        <w:rPr>
          <w:sz w:val="24"/>
          <w:lang w:val="hr-HR"/>
        </w:rPr>
        <w:t xml:space="preserve"> </w:t>
      </w:r>
      <w:r w:rsidR="0028767B" w:rsidRPr="0028767B">
        <w:rPr>
          <w:sz w:val="24"/>
          <w:lang w:val="hr-HR"/>
        </w:rPr>
        <w:tab/>
      </w:r>
      <w:r w:rsidRPr="0028767B">
        <w:rPr>
          <w:sz w:val="24"/>
          <w:lang w:val="hr-HR"/>
        </w:rPr>
        <w:t>Uredba Vijeća (EU, Euratom) 2024/765 od 29. veljače 2024. o izmjeni Uredbe (EU, Euratom) 2020/2093 kojom se utvrđuje višegodišnji financijski okvir za razdoblje 2021. – 2027. (SL L, 2024/765, 29.2.2024., ELI: http://data.europa.eu/eli/reg/2024/765/oj).</w:t>
      </w:r>
    </w:p>
  </w:footnote>
  <w:footnote w:id="4">
    <w:p w14:paraId="3B27088F" w14:textId="66C5E317" w:rsidR="00552075" w:rsidRPr="0028767B" w:rsidRDefault="00552075" w:rsidP="0028767B">
      <w:pPr>
        <w:pStyle w:val="FootnoteText"/>
        <w:ind w:left="567" w:hanging="567"/>
        <w:rPr>
          <w:sz w:val="24"/>
          <w:lang w:val="hr-HR"/>
        </w:rPr>
      </w:pPr>
      <w:r w:rsidRPr="0028767B">
        <w:rPr>
          <w:rStyle w:val="FootnoteReference"/>
          <w:sz w:val="24"/>
          <w:lang w:val="hr-HR"/>
        </w:rPr>
        <w:footnoteRef/>
      </w:r>
      <w:r w:rsidR="0028767B" w:rsidRPr="0028767B">
        <w:rPr>
          <w:sz w:val="24"/>
          <w:lang w:val="hr-HR"/>
        </w:rPr>
        <w:t xml:space="preserve"> </w:t>
      </w:r>
      <w:r w:rsidR="0028767B" w:rsidRPr="0028767B">
        <w:rPr>
          <w:sz w:val="24"/>
          <w:lang w:val="hr-HR"/>
        </w:rPr>
        <w:tab/>
      </w:r>
      <w:r w:rsidRPr="0028767B">
        <w:rPr>
          <w:sz w:val="24"/>
          <w:lang w:val="hr-HR"/>
        </w:rPr>
        <w:t xml:space="preserve">SL L 433 I, 22.12.2020., str. 28., ELI: </w:t>
      </w:r>
      <w:hyperlink r:id="rId3" w:history="1">
        <w:r w:rsidRPr="0028767B">
          <w:rPr>
            <w:rStyle w:val="Hyperlink"/>
            <w:sz w:val="24"/>
            <w:lang w:val="hr-HR"/>
          </w:rPr>
          <w:t>http://data.europa.eu/eli/agree_interinstit/2020/1222/oj</w:t>
        </w:r>
      </w:hyperlink>
      <w:r w:rsidRPr="0028767B">
        <w:rPr>
          <w:sz w:val="24"/>
          <w:lang w:val="hr-HR"/>
        </w:rPr>
        <w:t>.</w:t>
      </w:r>
    </w:p>
  </w:footnote>
  <w:footnote w:id="5">
    <w:p w14:paraId="63801928" w14:textId="38180BC2" w:rsidR="00552075" w:rsidRPr="0028767B" w:rsidRDefault="00552075" w:rsidP="0028767B">
      <w:pPr>
        <w:pStyle w:val="FootnoteText"/>
        <w:ind w:left="567" w:hanging="567"/>
        <w:rPr>
          <w:sz w:val="24"/>
          <w:lang w:val="hr-HR"/>
        </w:rPr>
      </w:pPr>
      <w:r w:rsidRPr="0028767B">
        <w:rPr>
          <w:rStyle w:val="FootnoteReference"/>
          <w:sz w:val="24"/>
          <w:lang w:val="hr-HR"/>
        </w:rPr>
        <w:footnoteRef/>
      </w:r>
      <w:r w:rsidR="0028767B" w:rsidRPr="0028767B">
        <w:rPr>
          <w:sz w:val="24"/>
          <w:lang w:val="hr-HR"/>
        </w:rPr>
        <w:t xml:space="preserve"> </w:t>
      </w:r>
      <w:r w:rsidR="0028767B" w:rsidRPr="0028767B">
        <w:rPr>
          <w:sz w:val="24"/>
          <w:lang w:val="hr-HR"/>
        </w:rPr>
        <w:tab/>
      </w:r>
      <w:r w:rsidRPr="0028767B">
        <w:rPr>
          <w:sz w:val="24"/>
          <w:lang w:val="hr-HR"/>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44E90" w14:textId="77777777" w:rsidR="00064002" w:rsidRPr="002876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69F1" w14:textId="77777777" w:rsidR="00064002" w:rsidRPr="002876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C3E7" w14:textId="77777777" w:rsidR="00064002" w:rsidRPr="002876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3953549">
    <w:abstractNumId w:val="9"/>
  </w:num>
  <w:num w:numId="2" w16cid:durableId="765930369">
    <w:abstractNumId w:val="9"/>
  </w:num>
  <w:num w:numId="3" w16cid:durableId="1546261511">
    <w:abstractNumId w:val="7"/>
  </w:num>
  <w:num w:numId="4" w16cid:durableId="1901089036">
    <w:abstractNumId w:val="7"/>
  </w:num>
  <w:num w:numId="5" w16cid:durableId="102119071">
    <w:abstractNumId w:val="6"/>
  </w:num>
  <w:num w:numId="6" w16cid:durableId="1677340817">
    <w:abstractNumId w:val="6"/>
  </w:num>
  <w:num w:numId="7" w16cid:durableId="1321734112">
    <w:abstractNumId w:val="5"/>
  </w:num>
  <w:num w:numId="8" w16cid:durableId="942953569">
    <w:abstractNumId w:val="5"/>
  </w:num>
  <w:num w:numId="9" w16cid:durableId="1139420916">
    <w:abstractNumId w:val="4"/>
  </w:num>
  <w:num w:numId="10" w16cid:durableId="1029837890">
    <w:abstractNumId w:val="4"/>
  </w:num>
  <w:num w:numId="11" w16cid:durableId="177159230">
    <w:abstractNumId w:val="8"/>
  </w:num>
  <w:num w:numId="12" w16cid:durableId="196283953">
    <w:abstractNumId w:val="8"/>
  </w:num>
  <w:num w:numId="13" w16cid:durableId="1786146515">
    <w:abstractNumId w:val="3"/>
  </w:num>
  <w:num w:numId="14" w16cid:durableId="1140227655">
    <w:abstractNumId w:val="3"/>
  </w:num>
  <w:num w:numId="15" w16cid:durableId="1459953739">
    <w:abstractNumId w:val="2"/>
  </w:num>
  <w:num w:numId="16" w16cid:durableId="947807722">
    <w:abstractNumId w:val="2"/>
  </w:num>
  <w:num w:numId="17" w16cid:durableId="584532214">
    <w:abstractNumId w:val="1"/>
  </w:num>
  <w:num w:numId="18" w16cid:durableId="716512025">
    <w:abstractNumId w:val="1"/>
  </w:num>
  <w:num w:numId="19" w16cid:durableId="1734111209">
    <w:abstractNumId w:val="0"/>
  </w:num>
  <w:num w:numId="20" w16cid:durableId="1691681843">
    <w:abstractNumId w:val="0"/>
  </w:num>
  <w:num w:numId="21" w16cid:durableId="157158053">
    <w:abstractNumId w:val="9"/>
  </w:num>
  <w:num w:numId="22" w16cid:durableId="820661665">
    <w:abstractNumId w:val="7"/>
  </w:num>
  <w:num w:numId="23" w16cid:durableId="964656880">
    <w:abstractNumId w:val="6"/>
  </w:num>
  <w:num w:numId="24" w16cid:durableId="152764652">
    <w:abstractNumId w:val="5"/>
  </w:num>
  <w:num w:numId="25" w16cid:durableId="232663083">
    <w:abstractNumId w:val="4"/>
  </w:num>
  <w:num w:numId="26" w16cid:durableId="1283921443">
    <w:abstractNumId w:val="8"/>
  </w:num>
  <w:num w:numId="27" w16cid:durableId="1327246701">
    <w:abstractNumId w:val="3"/>
  </w:num>
  <w:num w:numId="28" w16cid:durableId="944456960">
    <w:abstractNumId w:val="2"/>
  </w:num>
  <w:num w:numId="29" w16cid:durableId="1660883870">
    <w:abstractNumId w:val="1"/>
  </w:num>
  <w:num w:numId="30" w16cid:durableId="677392129">
    <w:abstractNumId w:val="0"/>
  </w:num>
  <w:num w:numId="31" w16cid:durableId="773132301">
    <w:abstractNumId w:val="9"/>
  </w:num>
  <w:num w:numId="32" w16cid:durableId="889651303">
    <w:abstractNumId w:val="7"/>
  </w:num>
  <w:num w:numId="33" w16cid:durableId="907224618">
    <w:abstractNumId w:val="6"/>
  </w:num>
  <w:num w:numId="34" w16cid:durableId="1106539632">
    <w:abstractNumId w:val="5"/>
  </w:num>
  <w:num w:numId="35" w16cid:durableId="528106337">
    <w:abstractNumId w:val="4"/>
  </w:num>
  <w:num w:numId="36" w16cid:durableId="2022507860">
    <w:abstractNumId w:val="8"/>
  </w:num>
  <w:num w:numId="37" w16cid:durableId="1887646014">
    <w:abstractNumId w:val="3"/>
  </w:num>
  <w:num w:numId="38" w16cid:durableId="89619100">
    <w:abstractNumId w:val="2"/>
  </w:num>
  <w:num w:numId="39" w16cid:durableId="522784475">
    <w:abstractNumId w:val="1"/>
  </w:num>
  <w:num w:numId="40" w16cid:durableId="74132170">
    <w:abstractNumId w:val="0"/>
  </w:num>
  <w:num w:numId="41" w16cid:durableId="1366713212">
    <w:abstractNumId w:val="10"/>
  </w:num>
  <w:num w:numId="42" w16cid:durableId="1297564971">
    <w:abstractNumId w:val="10"/>
  </w:num>
  <w:num w:numId="43" w16cid:durableId="1844928536">
    <w:abstractNumId w:val="10"/>
  </w:num>
  <w:num w:numId="44" w16cid:durableId="1781142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HR"/>
    <w:docVar w:name="dvnumam" w:val="0"/>
    <w:docVar w:name="dvpe" w:val="776.825"/>
    <w:docVar w:name="dvrapporteur" w:val="Izvjestitelj: "/>
    <w:docVar w:name="dvtitre" w:val="Rezolucija Europskog parlamenta od .... 2025. o Prijedlogu odluke Europskog parlamenta i Vijeća o mobilizaciji Europskog fonda za prilagodbu globalizaciji za radnike koji su proglašeni viškom na temelju zahtjeva Belgije – EGF/2025/001 BE/BelGaN(COM(2025)0157 – C10-0188/2025 – 2025/0198(BUD))"/>
  </w:docVars>
  <w:rsids>
    <w:rsidRoot w:val="00A40BFC"/>
    <w:rsid w:val="00002272"/>
    <w:rsid w:val="00064002"/>
    <w:rsid w:val="000677B9"/>
    <w:rsid w:val="000831BA"/>
    <w:rsid w:val="000842D0"/>
    <w:rsid w:val="000A42CC"/>
    <w:rsid w:val="000E7DD9"/>
    <w:rsid w:val="0010095E"/>
    <w:rsid w:val="00125B37"/>
    <w:rsid w:val="00187494"/>
    <w:rsid w:val="001F32AE"/>
    <w:rsid w:val="002767FF"/>
    <w:rsid w:val="0028767B"/>
    <w:rsid w:val="002B18FE"/>
    <w:rsid w:val="002B5493"/>
    <w:rsid w:val="00343214"/>
    <w:rsid w:val="00361C00"/>
    <w:rsid w:val="00395FA1"/>
    <w:rsid w:val="003A6363"/>
    <w:rsid w:val="003C5DA6"/>
    <w:rsid w:val="003E15D4"/>
    <w:rsid w:val="00411CCE"/>
    <w:rsid w:val="0041666E"/>
    <w:rsid w:val="00421060"/>
    <w:rsid w:val="00471C19"/>
    <w:rsid w:val="004867E3"/>
    <w:rsid w:val="00494A28"/>
    <w:rsid w:val="004C0004"/>
    <w:rsid w:val="004C5D52"/>
    <w:rsid w:val="0050519A"/>
    <w:rsid w:val="005072A1"/>
    <w:rsid w:val="00514517"/>
    <w:rsid w:val="00545827"/>
    <w:rsid w:val="00552075"/>
    <w:rsid w:val="00560270"/>
    <w:rsid w:val="005C2568"/>
    <w:rsid w:val="005F1B17"/>
    <w:rsid w:val="006037C0"/>
    <w:rsid w:val="0066308C"/>
    <w:rsid w:val="006631B6"/>
    <w:rsid w:val="00680577"/>
    <w:rsid w:val="006F74FA"/>
    <w:rsid w:val="00731ADD"/>
    <w:rsid w:val="00734777"/>
    <w:rsid w:val="00747932"/>
    <w:rsid w:val="00751A4A"/>
    <w:rsid w:val="00753BA4"/>
    <w:rsid w:val="00756632"/>
    <w:rsid w:val="00762C74"/>
    <w:rsid w:val="00786EC0"/>
    <w:rsid w:val="007D1690"/>
    <w:rsid w:val="007E189B"/>
    <w:rsid w:val="007E22AD"/>
    <w:rsid w:val="00817416"/>
    <w:rsid w:val="00842779"/>
    <w:rsid w:val="00865F67"/>
    <w:rsid w:val="00881A7B"/>
    <w:rsid w:val="008840E5"/>
    <w:rsid w:val="00887B3E"/>
    <w:rsid w:val="008C2AC6"/>
    <w:rsid w:val="008F5039"/>
    <w:rsid w:val="00930C23"/>
    <w:rsid w:val="0093193B"/>
    <w:rsid w:val="009509D8"/>
    <w:rsid w:val="00950B64"/>
    <w:rsid w:val="00981893"/>
    <w:rsid w:val="009F59A9"/>
    <w:rsid w:val="00A1687D"/>
    <w:rsid w:val="00A40BFC"/>
    <w:rsid w:val="00A43E52"/>
    <w:rsid w:val="00A4678D"/>
    <w:rsid w:val="00A778C7"/>
    <w:rsid w:val="00AB441E"/>
    <w:rsid w:val="00AB6293"/>
    <w:rsid w:val="00AE0928"/>
    <w:rsid w:val="00AF3B82"/>
    <w:rsid w:val="00B12E95"/>
    <w:rsid w:val="00B22876"/>
    <w:rsid w:val="00B558F0"/>
    <w:rsid w:val="00B954CC"/>
    <w:rsid w:val="00BD48FE"/>
    <w:rsid w:val="00BD7BD8"/>
    <w:rsid w:val="00BE6ADC"/>
    <w:rsid w:val="00C05BFE"/>
    <w:rsid w:val="00C126E7"/>
    <w:rsid w:val="00C23CD4"/>
    <w:rsid w:val="00C61C0C"/>
    <w:rsid w:val="00C941CB"/>
    <w:rsid w:val="00CC2357"/>
    <w:rsid w:val="00CF071A"/>
    <w:rsid w:val="00CF2F27"/>
    <w:rsid w:val="00D058B8"/>
    <w:rsid w:val="00D362E5"/>
    <w:rsid w:val="00D376A3"/>
    <w:rsid w:val="00D56C11"/>
    <w:rsid w:val="00D6453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128"/>
    <w:rsid w:val="00F87713"/>
    <w:rsid w:val="00FB4360"/>
    <w:rsid w:val="00FD0C70"/>
    <w:rsid w:val="00FD2AC3"/>
    <w:rsid w:val="00FD2AE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F46A8"/>
  <w15:chartTrackingRefBased/>
  <w15:docId w15:val="{3E2061C3-7DC4-450D-B0E2-51CCB037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5207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52075"/>
    <w:pPr>
      <w:keepNext/>
      <w:spacing w:after="480"/>
      <w:jc w:val="center"/>
    </w:pPr>
    <w:rPr>
      <w:rFonts w:ascii="Arial" w:hAnsi="Arial" w:cs="Arial"/>
      <w:b/>
    </w:rPr>
  </w:style>
  <w:style w:type="paragraph" w:customStyle="1" w:styleId="NormalHanging12a">
    <w:name w:val="NormalHanging12a"/>
    <w:basedOn w:val="Normal"/>
    <w:link w:val="NormalHanging12aChar"/>
    <w:rsid w:val="00552075"/>
    <w:pPr>
      <w:spacing w:after="240"/>
      <w:ind w:left="567" w:hanging="567"/>
    </w:pPr>
  </w:style>
  <w:style w:type="paragraph" w:styleId="Header">
    <w:name w:val="header"/>
    <w:basedOn w:val="Normal"/>
    <w:link w:val="HeaderChar"/>
    <w:rsid w:val="00552075"/>
    <w:pPr>
      <w:tabs>
        <w:tab w:val="center" w:pos="4513"/>
        <w:tab w:val="right" w:pos="9026"/>
      </w:tabs>
    </w:pPr>
  </w:style>
  <w:style w:type="character" w:customStyle="1" w:styleId="HeaderChar">
    <w:name w:val="Header Char"/>
    <w:basedOn w:val="DefaultParagraphFont"/>
    <w:link w:val="Header"/>
    <w:rsid w:val="00552075"/>
    <w:rPr>
      <w:sz w:val="24"/>
      <w:lang w:val="hr-HR"/>
    </w:rPr>
  </w:style>
  <w:style w:type="paragraph" w:customStyle="1" w:styleId="NormalBold24a">
    <w:name w:val="NormalBold24a"/>
    <w:basedOn w:val="Normal"/>
    <w:rsid w:val="00552075"/>
    <w:pPr>
      <w:spacing w:after="480"/>
    </w:pPr>
    <w:rPr>
      <w:b/>
      <w:bCs/>
    </w:rPr>
  </w:style>
  <w:style w:type="paragraph" w:customStyle="1" w:styleId="EPFooter">
    <w:name w:val="EPFooter"/>
    <w:basedOn w:val="Normal"/>
    <w:rsid w:val="00552075"/>
    <w:pPr>
      <w:tabs>
        <w:tab w:val="center" w:pos="4535"/>
        <w:tab w:val="right" w:pos="9071"/>
      </w:tabs>
      <w:spacing w:before="240" w:after="240"/>
    </w:pPr>
    <w:rPr>
      <w:color w:val="010000"/>
      <w:sz w:val="22"/>
    </w:rPr>
  </w:style>
  <w:style w:type="paragraph" w:customStyle="1" w:styleId="EPComma">
    <w:name w:val="EPComma"/>
    <w:basedOn w:val="Normal"/>
    <w:rsid w:val="00552075"/>
    <w:pPr>
      <w:spacing w:before="480" w:after="240"/>
    </w:pPr>
  </w:style>
  <w:style w:type="character" w:styleId="Hyperlink">
    <w:name w:val="Hyperlink"/>
    <w:basedOn w:val="DefaultParagraphFont"/>
    <w:rsid w:val="00552075"/>
    <w:rPr>
      <w:color w:val="0563C1" w:themeColor="hyperlink"/>
      <w:u w:val="single"/>
    </w:rPr>
  </w:style>
  <w:style w:type="paragraph" w:customStyle="1" w:styleId="Institutionquiagit">
    <w:name w:val="Institution qui agit"/>
    <w:basedOn w:val="Normal"/>
    <w:next w:val="Normal"/>
    <w:rsid w:val="00552075"/>
    <w:pPr>
      <w:keepNext/>
      <w:snapToGrid w:val="0"/>
      <w:spacing w:after="240"/>
    </w:pPr>
    <w:rPr>
      <w:i/>
      <w:lang w:eastAsia="en-US"/>
    </w:rPr>
  </w:style>
  <w:style w:type="paragraph" w:customStyle="1" w:styleId="Institutionquisigne">
    <w:name w:val="Institution qui signe"/>
    <w:basedOn w:val="Normal"/>
    <w:next w:val="Normal"/>
    <w:rsid w:val="0055207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5207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5207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52075"/>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552075"/>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552075"/>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552075"/>
    <w:rPr>
      <w:sz w:val="24"/>
      <w:lang w:val="hr-HR"/>
    </w:rPr>
  </w:style>
  <w:style w:type="character" w:customStyle="1" w:styleId="PageHeadingChar">
    <w:name w:val="PageHeading Char"/>
    <w:basedOn w:val="DefaultParagraphFont"/>
    <w:link w:val="PageHeading"/>
    <w:rsid w:val="00552075"/>
    <w:rPr>
      <w:rFonts w:ascii="Arial" w:hAnsi="Arial" w:cs="Arial"/>
      <w:b/>
      <w:sz w:val="24"/>
      <w:lang w:val="hr-HR"/>
    </w:rPr>
  </w:style>
  <w:style w:type="paragraph" w:styleId="Footer">
    <w:name w:val="footer"/>
    <w:basedOn w:val="Normal"/>
    <w:link w:val="FooterChar"/>
    <w:rsid w:val="003A6363"/>
    <w:pPr>
      <w:tabs>
        <w:tab w:val="center" w:pos="4513"/>
        <w:tab w:val="right" w:pos="9026"/>
      </w:tabs>
    </w:pPr>
  </w:style>
  <w:style w:type="character" w:customStyle="1" w:styleId="FooterChar">
    <w:name w:val="Footer Char"/>
    <w:basedOn w:val="DefaultParagraphFont"/>
    <w:link w:val="Footer"/>
    <w:rsid w:val="003A6363"/>
    <w:rPr>
      <w:sz w:val="24"/>
      <w:lang w:val="hr-HR"/>
    </w:rPr>
  </w:style>
  <w:style w:type="paragraph" w:styleId="Revision">
    <w:name w:val="Revision"/>
    <w:hidden/>
    <w:uiPriority w:val="99"/>
    <w:semiHidden/>
    <w:rsid w:val="00F82128"/>
    <w:rPr>
      <w:sz w:val="24"/>
      <w:lang w:val="hr-HR"/>
    </w:rPr>
  </w:style>
  <w:style w:type="character" w:styleId="UnresolvedMention">
    <w:name w:val="Unresolved Mention"/>
    <w:basedOn w:val="DefaultParagraphFont"/>
    <w:uiPriority w:val="99"/>
    <w:semiHidden/>
    <w:unhideWhenUsed/>
    <w:rsid w:val="00CF2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1292</Words>
  <Characters>7792</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GOROPECNIK Tina</cp:lastModifiedBy>
  <cp:revision>2</cp:revision>
  <cp:lastPrinted>2004-11-19T15:42:00Z</cp:lastPrinted>
  <dcterms:created xsi:type="dcterms:W3CDTF">2026-01-15T10:49:00Z</dcterms:created>
  <dcterms:modified xsi:type="dcterms:W3CDTF">2026-01-15T10:49:00Z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P10_TA(2025)0220_</vt:lpwstr>
  </property>
  <property fmtid="{D5CDD505-2E9C-101B-9397-08002B2CF9AE}" pid="4" name="&lt;Type&gt;">
    <vt:lpwstr>RR</vt:lpwstr>
  </property>
</Properties>
</file>