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E334F" w14:paraId="44F5C160" w14:textId="77777777" w:rsidTr="0010095E">
        <w:trPr>
          <w:trHeight w:hRule="exact" w:val="1418"/>
        </w:trPr>
        <w:tc>
          <w:tcPr>
            <w:tcW w:w="6804" w:type="dxa"/>
            <w:shd w:val="clear" w:color="auto" w:fill="auto"/>
            <w:vAlign w:val="center"/>
          </w:tcPr>
          <w:p w14:paraId="122F08AB" w14:textId="77777777" w:rsidR="00751A4A" w:rsidRPr="004E334F" w:rsidRDefault="001F25A3" w:rsidP="0010095E">
            <w:pPr>
              <w:pStyle w:val="EPName"/>
            </w:pPr>
            <w:r w:rsidRPr="004E334F">
              <w:t>Europos Parlamentas</w:t>
            </w:r>
          </w:p>
          <w:p w14:paraId="316C389A" w14:textId="77777777" w:rsidR="00751A4A" w:rsidRPr="004E334F" w:rsidRDefault="005F1B17" w:rsidP="005F1B17">
            <w:pPr>
              <w:pStyle w:val="EPTerm"/>
              <w:rPr>
                <w:rStyle w:val="HideTWBExt"/>
                <w:noProof w:val="0"/>
                <w:vanish w:val="0"/>
                <w:color w:val="auto"/>
              </w:rPr>
            </w:pPr>
            <w:r w:rsidRPr="004E334F">
              <w:t>2024</w:t>
            </w:r>
            <w:r w:rsidR="00817416" w:rsidRPr="004E334F">
              <w:t>-202</w:t>
            </w:r>
            <w:r w:rsidRPr="004E334F">
              <w:t>9</w:t>
            </w:r>
          </w:p>
        </w:tc>
        <w:tc>
          <w:tcPr>
            <w:tcW w:w="2268" w:type="dxa"/>
            <w:shd w:val="clear" w:color="auto" w:fill="auto"/>
          </w:tcPr>
          <w:p w14:paraId="1FC4336E" w14:textId="77777777" w:rsidR="00751A4A" w:rsidRPr="004E334F" w:rsidRDefault="00187494" w:rsidP="0010095E">
            <w:pPr>
              <w:pStyle w:val="EPLogo"/>
            </w:pPr>
            <w:r w:rsidRPr="004E334F">
              <w:rPr>
                <w:noProof/>
                <w:lang w:eastAsia="ja-JP"/>
              </w:rPr>
              <w:drawing>
                <wp:inline distT="0" distB="0" distL="0" distR="0" wp14:anchorId="1D9A7D64" wp14:editId="4AC9318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308657B" w14:textId="77777777" w:rsidR="00D058B8" w:rsidRPr="004E334F" w:rsidRDefault="00D058B8" w:rsidP="004C5D52">
      <w:pPr>
        <w:pStyle w:val="LineTop"/>
      </w:pPr>
    </w:p>
    <w:p w14:paraId="1429DEDA" w14:textId="77777777" w:rsidR="00680577" w:rsidRPr="004E334F" w:rsidRDefault="001F25A3" w:rsidP="00680577">
      <w:pPr>
        <w:pStyle w:val="EPBodyTA1"/>
      </w:pPr>
      <w:r w:rsidRPr="004E334F">
        <w:t>PRIIMTI TEKSTAI</w:t>
      </w:r>
    </w:p>
    <w:p w14:paraId="25570965" w14:textId="77777777" w:rsidR="00D058B8" w:rsidRPr="004E334F" w:rsidRDefault="00D058B8" w:rsidP="00D058B8">
      <w:pPr>
        <w:pStyle w:val="LineBottom"/>
      </w:pPr>
    </w:p>
    <w:p w14:paraId="17102403" w14:textId="0FECC1CF" w:rsidR="001F25A3" w:rsidRPr="004E334F" w:rsidRDefault="001F25A3" w:rsidP="001F25A3">
      <w:pPr>
        <w:pStyle w:val="ATHeading1"/>
      </w:pPr>
      <w:bookmarkStart w:id="0" w:name="TANumber"/>
      <w:r w:rsidRPr="004E334F">
        <w:t>P10_TA(2025)0</w:t>
      </w:r>
      <w:r w:rsidR="00B200CE">
        <w:t>22</w:t>
      </w:r>
      <w:r w:rsidRPr="004E334F">
        <w:t>0</w:t>
      </w:r>
      <w:bookmarkEnd w:id="0"/>
    </w:p>
    <w:p w14:paraId="61424308" w14:textId="426042FF" w:rsidR="001F25A3" w:rsidRPr="004E334F" w:rsidRDefault="007A4B4E" w:rsidP="007A4B4E">
      <w:pPr>
        <w:pStyle w:val="ATHeading2"/>
      </w:pPr>
      <w:bookmarkStart w:id="1" w:name="title"/>
      <w:r>
        <w:t>Europos prisitaikymo prie globalizacijos padarinių fondo lėšų mobilizavimas: Belgijos paraiška „EGF/2025/001 BE/</w:t>
      </w:r>
      <w:proofErr w:type="spellStart"/>
      <w:r>
        <w:t>BelGaN</w:t>
      </w:r>
      <w:proofErr w:type="spellEnd"/>
      <w:r>
        <w:t>“</w:t>
      </w:r>
      <w:bookmarkEnd w:id="1"/>
    </w:p>
    <w:p w14:paraId="46126FBC" w14:textId="77777777" w:rsidR="001F25A3" w:rsidRPr="004E334F" w:rsidRDefault="001F25A3" w:rsidP="001F25A3">
      <w:pPr>
        <w:rPr>
          <w:i/>
          <w:vanish/>
        </w:rPr>
      </w:pPr>
      <w:r w:rsidRPr="004E334F">
        <w:rPr>
          <w:i/>
        </w:rPr>
        <w:fldChar w:fldCharType="begin"/>
      </w:r>
      <w:r w:rsidRPr="004E334F">
        <w:rPr>
          <w:i/>
        </w:rPr>
        <w:instrText xml:space="preserve"> TC"(</w:instrText>
      </w:r>
      <w:bookmarkStart w:id="2" w:name="DocNumber"/>
      <w:r w:rsidRPr="004E334F">
        <w:rPr>
          <w:i/>
        </w:rPr>
        <w:instrText>A10-0163/2025</w:instrText>
      </w:r>
      <w:bookmarkEnd w:id="2"/>
      <w:r w:rsidRPr="004E334F">
        <w:rPr>
          <w:i/>
        </w:rPr>
        <w:instrText xml:space="preserve"> - Pranešėjas: Bogdan Rzońca)"\l3 \n&gt; \* MERGEFORMAT </w:instrText>
      </w:r>
      <w:r w:rsidRPr="004E334F">
        <w:rPr>
          <w:i/>
        </w:rPr>
        <w:fldChar w:fldCharType="end"/>
      </w:r>
    </w:p>
    <w:p w14:paraId="4C55535E" w14:textId="77777777" w:rsidR="001F25A3" w:rsidRPr="004E334F" w:rsidRDefault="001F25A3" w:rsidP="001F25A3">
      <w:pPr>
        <w:rPr>
          <w:vanish/>
        </w:rPr>
      </w:pPr>
      <w:bookmarkStart w:id="3" w:name="Commission"/>
      <w:r w:rsidRPr="004E334F">
        <w:rPr>
          <w:vanish/>
        </w:rPr>
        <w:t>Biudžeto komitetas</w:t>
      </w:r>
      <w:bookmarkEnd w:id="3"/>
    </w:p>
    <w:p w14:paraId="006C0F59" w14:textId="77777777" w:rsidR="001F25A3" w:rsidRPr="004E334F" w:rsidRDefault="001F25A3" w:rsidP="001F25A3">
      <w:pPr>
        <w:rPr>
          <w:vanish/>
        </w:rPr>
      </w:pPr>
      <w:bookmarkStart w:id="4" w:name="PE"/>
      <w:r w:rsidRPr="004E334F">
        <w:rPr>
          <w:vanish/>
        </w:rPr>
        <w:t>PE776.825</w:t>
      </w:r>
      <w:bookmarkEnd w:id="4"/>
    </w:p>
    <w:p w14:paraId="4C9586C6" w14:textId="5F6B837C" w:rsidR="001F25A3" w:rsidRPr="004E334F" w:rsidRDefault="007A4B4E" w:rsidP="001F25A3">
      <w:pPr>
        <w:pStyle w:val="ATHeading3"/>
      </w:pPr>
      <w:bookmarkStart w:id="5" w:name="Sujet"/>
      <w:r>
        <w:t xml:space="preserve">2025 m. spalio 8 d. </w:t>
      </w:r>
      <w:r w:rsidR="001F25A3" w:rsidRPr="004E334F">
        <w:t>Europos Parlamento rezoliucija dėl pasiūlymo dėl Europos Parlamento ir Tarybos sprendimo dėl Europos prisitaikymo prie globalizacijos padarinių fondo atleistiems darbuotojams lėšų mobilizavimo pagal Belgijos paraišką „EGF/2025/001 BE/</w:t>
      </w:r>
      <w:proofErr w:type="spellStart"/>
      <w:r w:rsidR="001F25A3" w:rsidRPr="004E334F">
        <w:t>BelGaN</w:t>
      </w:r>
      <w:proofErr w:type="spellEnd"/>
      <w:r w:rsidR="001F25A3" w:rsidRPr="004E334F">
        <w:t>“</w:t>
      </w:r>
      <w:bookmarkEnd w:id="5"/>
      <w:r w:rsidR="001F25A3" w:rsidRPr="004E334F">
        <w:t xml:space="preserve"> </w:t>
      </w:r>
      <w:bookmarkStart w:id="6" w:name="References"/>
      <w:r w:rsidR="001F25A3" w:rsidRPr="004E334F">
        <w:t>(COM(2025)0157 – C10-0188/2025 – 2025/0198(BUD))</w:t>
      </w:r>
      <w:bookmarkEnd w:id="6"/>
    </w:p>
    <w:p w14:paraId="3CFEB3BD" w14:textId="77777777" w:rsidR="00F8329E" w:rsidRPr="004E334F" w:rsidRDefault="00F8329E" w:rsidP="00F8329E">
      <w:pPr>
        <w:pStyle w:val="EPComma"/>
        <w:rPr>
          <w:noProof/>
        </w:rPr>
      </w:pPr>
      <w:r w:rsidRPr="004E334F">
        <w:rPr>
          <w:i/>
        </w:rPr>
        <w:t>Europos Parlamentas</w:t>
      </w:r>
      <w:r w:rsidRPr="004E334F">
        <w:t>,</w:t>
      </w:r>
    </w:p>
    <w:p w14:paraId="12423873" w14:textId="77777777" w:rsidR="00F8329E" w:rsidRPr="004E334F" w:rsidRDefault="00F8329E" w:rsidP="00F8329E">
      <w:pPr>
        <w:pStyle w:val="NormalHanging12a"/>
        <w:rPr>
          <w:noProof/>
        </w:rPr>
      </w:pPr>
      <w:r w:rsidRPr="004E334F">
        <w:t>–</w:t>
      </w:r>
      <w:r w:rsidRPr="004E334F">
        <w:tab/>
        <w:t>atsižvelgdamas į Komisijos pasiūlymą Europos Parlamentui ir Tarybai (COM(2025)0157 – C10</w:t>
      </w:r>
      <w:r w:rsidRPr="004E334F">
        <w:noBreakHyphen/>
        <w:t>0188/2025),</w:t>
      </w:r>
    </w:p>
    <w:p w14:paraId="117C3EA4" w14:textId="77777777" w:rsidR="00F8329E" w:rsidRPr="004E334F" w:rsidRDefault="00F8329E" w:rsidP="00F8329E">
      <w:pPr>
        <w:pStyle w:val="NormalHanging12a"/>
        <w:rPr>
          <w:noProof/>
        </w:rPr>
      </w:pPr>
      <w:r w:rsidRPr="004E334F">
        <w:t>–</w:t>
      </w:r>
      <w:r w:rsidRPr="004E334F">
        <w:tab/>
        <w:t>atsižvelgdamas į 2021 m. balandžio 28 d. Europos Parlamento ir Tarybos reglamentą (ES) 2021/691 dėl Europos prisitaikymo prie globalizacijos padarinių fondo atleistiems darbuotojams (EGF), kuriuo panaikinamas Reglamentas (ES) Nr. 1309/2013</w:t>
      </w:r>
      <w:r w:rsidRPr="004E334F">
        <w:rPr>
          <w:rStyle w:val="FootnoteReference"/>
        </w:rPr>
        <w:footnoteReference w:id="1"/>
      </w:r>
      <w:r w:rsidRPr="004E334F">
        <w:t xml:space="preserve"> (toliau – EGF reglamentas),</w:t>
      </w:r>
    </w:p>
    <w:p w14:paraId="667BC928" w14:textId="77777777" w:rsidR="00F8329E" w:rsidRPr="004E334F" w:rsidRDefault="00F8329E" w:rsidP="00F8329E">
      <w:pPr>
        <w:pStyle w:val="NormalHanging12a"/>
        <w:rPr>
          <w:noProof/>
        </w:rPr>
      </w:pPr>
      <w:r w:rsidRPr="004E334F">
        <w:t>–</w:t>
      </w:r>
      <w:r w:rsidRPr="004E334F">
        <w:tab/>
        <w:t>atsižvelgdamas į 2020 m. gruodžio 17 d. Tarybos reglamentą (ES, Euratomas) 2020/2093, kuriuo nustatoma 2021–2027 m. daugiametė finansinė programa</w:t>
      </w:r>
      <w:r w:rsidRPr="004E334F">
        <w:rPr>
          <w:rStyle w:val="FootnoteReference"/>
          <w:noProof/>
        </w:rPr>
        <w:footnoteReference w:id="2"/>
      </w:r>
      <w:r w:rsidRPr="004E334F">
        <w:t>, su pakeitimais, padarytais Reglamentu (ES, Euratomas) 2024/765</w:t>
      </w:r>
      <w:r w:rsidRPr="004E334F">
        <w:rPr>
          <w:rStyle w:val="FootnoteReference"/>
          <w:noProof/>
        </w:rPr>
        <w:footnoteReference w:id="3"/>
      </w:r>
      <w:r w:rsidRPr="004E334F">
        <w:t>, ypač į jo 8 straipsnį,</w:t>
      </w:r>
    </w:p>
    <w:p w14:paraId="35E0EA7C" w14:textId="77777777" w:rsidR="00F8329E" w:rsidRPr="004E334F" w:rsidRDefault="00F8329E" w:rsidP="00F8329E">
      <w:pPr>
        <w:pStyle w:val="NormalHanging12a"/>
        <w:rPr>
          <w:noProof/>
        </w:rPr>
      </w:pPr>
      <w:r w:rsidRPr="004E334F">
        <w:t>–</w:t>
      </w:r>
      <w:r w:rsidRPr="004E334F">
        <w:tab/>
        <w:t>atsižvelgdamas į 2020 m. gruodžio 16 d. Europos Parlamento, Europos Sąjungos Tarybos ir Europos Komisijos tarpinstitucinį susitarimą dėl biudžetinės drausmės, bendradarbiavimo biudžeto klausimais ir patikimo finansų valdymo, taip pat dėl naujų nuosavų išteklių, įskaitant veiksmų gaires dėl naujų nuosavų išteklių nustatymo</w:t>
      </w:r>
      <w:r w:rsidRPr="004E334F">
        <w:rPr>
          <w:rStyle w:val="FootnoteReference"/>
          <w:noProof/>
        </w:rPr>
        <w:footnoteReference w:id="4"/>
      </w:r>
      <w:r w:rsidRPr="004E334F">
        <w:t>, ypač į jo 12 punktą,</w:t>
      </w:r>
    </w:p>
    <w:p w14:paraId="1090608E" w14:textId="77777777" w:rsidR="00F8329E" w:rsidRPr="004E334F" w:rsidRDefault="00F8329E" w:rsidP="00F8329E">
      <w:pPr>
        <w:pStyle w:val="NormalHanging12a"/>
        <w:rPr>
          <w:noProof/>
        </w:rPr>
      </w:pPr>
      <w:r w:rsidRPr="004E334F">
        <w:lastRenderedPageBreak/>
        <w:t>–</w:t>
      </w:r>
      <w:r w:rsidRPr="004E334F">
        <w:tab/>
        <w:t>atsižvelgdamas į Užimtumo ir socialinių reikalų komiteto nuomonę,</w:t>
      </w:r>
    </w:p>
    <w:p w14:paraId="0DD4E255" w14:textId="77777777" w:rsidR="00F8329E" w:rsidRPr="004E334F" w:rsidRDefault="00F8329E" w:rsidP="00F8329E">
      <w:pPr>
        <w:pStyle w:val="NormalHanging12a"/>
      </w:pPr>
      <w:r w:rsidRPr="004E334F">
        <w:t>–</w:t>
      </w:r>
      <w:r w:rsidRPr="004E334F">
        <w:tab/>
        <w:t>atsižvelgdamas į Biudžeto komiteto pranešimą (A10-0163/2025),</w:t>
      </w:r>
    </w:p>
    <w:p w14:paraId="3AFB99F1" w14:textId="77777777" w:rsidR="00F8329E" w:rsidRPr="004E334F" w:rsidRDefault="00F8329E" w:rsidP="00F8329E">
      <w:pPr>
        <w:pStyle w:val="NormalHanging12a"/>
        <w:rPr>
          <w:noProof/>
        </w:rPr>
      </w:pPr>
      <w:r w:rsidRPr="004E334F">
        <w:t>A.</w:t>
      </w:r>
      <w:r w:rsidRPr="004E334F">
        <w:tab/>
        <w:t>kadangi Sąjunga, siekdama teikti papildomą paramą darbuotojams, patiriantiems žalą dėl esminių struktūrinių pasaulio prekybos sistemos pokyčių ar pasaulinės finansų ir ekonomikos krizės, ir padėti jiems vėl integruotis į darbo rinką, nustatė teisėkūros ir biudžeto priemones; kadangi šią pagalbą sudaro finansinė parama, teikiama darbuotojams ir įmonėms, kuriose jie dirbo;</w:t>
      </w:r>
    </w:p>
    <w:p w14:paraId="614D7BD4" w14:textId="0975C7E7" w:rsidR="00F8329E" w:rsidRPr="004E334F" w:rsidRDefault="00F8329E" w:rsidP="00F8329E">
      <w:pPr>
        <w:pStyle w:val="NormalHanging12a"/>
        <w:rPr>
          <w:noProof/>
        </w:rPr>
      </w:pPr>
      <w:r w:rsidRPr="004E334F">
        <w:t xml:space="preserve">B. </w:t>
      </w:r>
      <w:r w:rsidRPr="004E334F">
        <w:tab/>
        <w:t>kadangi Belgija pateikė paraišką „EGF/2025/001 BE/</w:t>
      </w:r>
      <w:proofErr w:type="spellStart"/>
      <w:r w:rsidRPr="004E334F">
        <w:t>BelGaN</w:t>
      </w:r>
      <w:proofErr w:type="spellEnd"/>
      <w:r w:rsidRPr="004E334F">
        <w:t xml:space="preserve">“ dėl Europos prisitaikymo prie globalizacijos padarinių fondo (EGF) finansinio įnašo atleidus 417 darbuotojų ekonomikos sektoriuje, kuris priskiriamas NACE 2 red. 26 skyriui (Kompiuterinių, elektroninių ir optinių gaminių gamyba), Rytų Flandrijos provincijos (BE23) regione paraiškos ataskaitiniu </w:t>
      </w:r>
      <w:r w:rsidR="007A4B4E">
        <w:t>4</w:t>
      </w:r>
      <w:r w:rsidR="007A4B4E" w:rsidRPr="004E334F">
        <w:t xml:space="preserve"> </w:t>
      </w:r>
      <w:r w:rsidRPr="004E334F">
        <w:t xml:space="preserve">mėnesių laikotarpiu: 2024 m. liepos 31 d. – 2024 m. lapkričio 30 d.; </w:t>
      </w:r>
    </w:p>
    <w:p w14:paraId="74946694" w14:textId="068295BB" w:rsidR="00F8329E" w:rsidRPr="004E334F" w:rsidRDefault="00F8329E" w:rsidP="00F8329E">
      <w:pPr>
        <w:pStyle w:val="NormalHanging12a"/>
        <w:rPr>
          <w:noProof/>
        </w:rPr>
      </w:pPr>
      <w:r w:rsidRPr="004E334F">
        <w:t xml:space="preserve">C. </w:t>
      </w:r>
      <w:r w:rsidRPr="004E334F">
        <w:tab/>
        <w:t xml:space="preserve">kadangi paraiška yra paremta EGF reglamento 4 straipsnio 2 dalies a punkte nustatytais intervencijos kriterijais, pagal kuriuos per </w:t>
      </w:r>
      <w:r w:rsidR="00A426EC">
        <w:t>4</w:t>
      </w:r>
      <w:r w:rsidR="00A426EC" w:rsidRPr="004E334F">
        <w:t xml:space="preserve"> </w:t>
      </w:r>
      <w:r w:rsidRPr="004E334F">
        <w:t>mėnesių ataskaitinį laikotarpį turi būti sustabdyta ne mažiau kaip 200 valstybės narės įmonės atleistų darbuotojų ar savarankiškai dirbančių asmenų veikla, įskaitant tiekėjų ir tolesnės gamybos grandies įmonių atleistus darbuotojus;</w:t>
      </w:r>
    </w:p>
    <w:p w14:paraId="7C30318D" w14:textId="7B774911" w:rsidR="00F8329E" w:rsidRPr="004E334F" w:rsidRDefault="00F8329E" w:rsidP="00F8329E">
      <w:pPr>
        <w:pStyle w:val="NormalHanging12a"/>
        <w:rPr>
          <w:noProof/>
        </w:rPr>
      </w:pPr>
      <w:bookmarkStart w:id="7" w:name="_Hlk207698597"/>
      <w:r w:rsidRPr="004E334F">
        <w:t xml:space="preserve">D. </w:t>
      </w:r>
      <w:r w:rsidRPr="004E334F">
        <w:tab/>
        <w:t xml:space="preserve">kadangi Rusijos agresijos karas prieš Ukrainą ir didėjanti infliacija turėjo įtakos energijos, medžiagų ir darbo sąnaudoms ir padidino spaudimą įmonės </w:t>
      </w:r>
      <w:r w:rsidR="00AD7C62">
        <w:t>„</w:t>
      </w:r>
      <w:proofErr w:type="spellStart"/>
      <w:r w:rsidR="00AD7C62" w:rsidRPr="00AD7C62">
        <w:t>BelGaN</w:t>
      </w:r>
      <w:proofErr w:type="spellEnd"/>
      <w:r w:rsidR="00AD7C62">
        <w:t xml:space="preserve">“ </w:t>
      </w:r>
      <w:r w:rsidRPr="004E334F">
        <w:t xml:space="preserve">maržoms;  </w:t>
      </w:r>
    </w:p>
    <w:bookmarkEnd w:id="7"/>
    <w:p w14:paraId="5FE9DCBE" w14:textId="77777777" w:rsidR="00F8329E" w:rsidRPr="004E334F" w:rsidRDefault="00F8329E" w:rsidP="00F8329E">
      <w:pPr>
        <w:pStyle w:val="NormalHanging12a"/>
        <w:rPr>
          <w:noProof/>
        </w:rPr>
      </w:pPr>
      <w:r w:rsidRPr="004E334F">
        <w:t xml:space="preserve">E. </w:t>
      </w:r>
      <w:r w:rsidRPr="004E334F">
        <w:tab/>
        <w:t>kadangi įmonė „</w:t>
      </w:r>
      <w:proofErr w:type="spellStart"/>
      <w:r w:rsidRPr="004E334F">
        <w:t>BelGaN</w:t>
      </w:r>
      <w:proofErr w:type="spellEnd"/>
      <w:r w:rsidRPr="004E334F">
        <w:t>“ specializavosi automobilių sektoriui skirtų puslaidininkių gamybos srityje; kadangi Europos automobilių ir tiekėjų pramonė dėl išorės ir vidaus veiksnių, pvz., konkurencijos iškraipymo ir didelių energijos kainų, patiria precedento neturintį spaudimą;</w:t>
      </w:r>
    </w:p>
    <w:p w14:paraId="29C63BDE" w14:textId="77777777" w:rsidR="00F8329E" w:rsidRPr="004E334F" w:rsidRDefault="00F8329E" w:rsidP="00F8329E">
      <w:pPr>
        <w:pStyle w:val="NormalHanging12a"/>
        <w:rPr>
          <w:noProof/>
        </w:rPr>
      </w:pPr>
      <w:r w:rsidRPr="004E334F">
        <w:t>F.</w:t>
      </w:r>
      <w:r w:rsidRPr="004E334F">
        <w:tab/>
        <w:t>kadangi įmonės pelningumas labai sumažėjo dėl grynųjų pinigų srautų apribojimų, atsiradusių pereinant nuo silicio lustų prie galio nitrido (</w:t>
      </w:r>
      <w:proofErr w:type="spellStart"/>
      <w:r w:rsidRPr="004E334F">
        <w:t>GaN</w:t>
      </w:r>
      <w:proofErr w:type="spellEnd"/>
      <w:r w:rsidRPr="004E334F">
        <w:t xml:space="preserve">) technologijos, ir šį procesą apsunkino didelės gamybos sąnaudos ir nepakankamos investicijos pereinamuoju laikotarpiu; </w:t>
      </w:r>
    </w:p>
    <w:p w14:paraId="34F37B22" w14:textId="77777777" w:rsidR="00F8329E" w:rsidRPr="004E334F" w:rsidRDefault="00F8329E" w:rsidP="00F8329E">
      <w:pPr>
        <w:pStyle w:val="NormalHanging12a"/>
        <w:rPr>
          <w:noProof/>
        </w:rPr>
      </w:pPr>
      <w:r w:rsidRPr="004E334F">
        <w:t>G.</w:t>
      </w:r>
      <w:r w:rsidRPr="004E334F">
        <w:tab/>
        <w:t>kadangi 2024 m. liepos 30 d. įmonė „</w:t>
      </w:r>
      <w:proofErr w:type="spellStart"/>
      <w:r w:rsidRPr="004E334F">
        <w:t>BelGaN</w:t>
      </w:r>
      <w:proofErr w:type="spellEnd"/>
      <w:r w:rsidRPr="004E334F">
        <w:t>“ paskelbė bankrotą;</w:t>
      </w:r>
    </w:p>
    <w:p w14:paraId="7BC785C3" w14:textId="77777777" w:rsidR="00F8329E" w:rsidRPr="004E334F" w:rsidRDefault="00F8329E" w:rsidP="00F8329E">
      <w:pPr>
        <w:pStyle w:val="NormalHanging12a"/>
        <w:rPr>
          <w:noProof/>
        </w:rPr>
      </w:pPr>
      <w:r w:rsidRPr="004E334F">
        <w:t>H.</w:t>
      </w:r>
      <w:r w:rsidRPr="004E334F">
        <w:tab/>
        <w:t>kadangi Flandrijos užimtumo tarnybos (VDAB</w:t>
      </w:r>
      <w:r w:rsidRPr="004E334F">
        <w:rPr>
          <w:rStyle w:val="FootnoteReference"/>
          <w:noProof/>
        </w:rPr>
        <w:footnoteReference w:id="5"/>
      </w:r>
      <w:r w:rsidRPr="004E334F">
        <w:t>) teikia nacionalinį išankstinį ir bendrą priemonių finansavimą;</w:t>
      </w:r>
    </w:p>
    <w:p w14:paraId="306395CF" w14:textId="77777777" w:rsidR="00F8329E" w:rsidRPr="004E334F" w:rsidRDefault="00F8329E" w:rsidP="00F8329E">
      <w:pPr>
        <w:pStyle w:val="NormalHanging12a"/>
        <w:rPr>
          <w:noProof/>
        </w:rPr>
      </w:pPr>
      <w:r w:rsidRPr="004E334F">
        <w:t>I.</w:t>
      </w:r>
      <w:r w:rsidRPr="004E334F">
        <w:tab/>
        <w:t xml:space="preserve">kadangi įmonė, vadovaudamasi Belgijos teise, laikėsi privalomos darbuotojų atstovų informavimo ir konsultavimosi su jais tvarkos; kadangi reikalavimas įsteigti įdarbinimo padalinį, kurio tikslas – dėl kolektyvinio atleidimo atleistiems darbuotojams teikti įdarbinimo paslaugas, netaikomas bankroto atveju, todėl įdarbinimo paslaugas teikė VDAB; </w:t>
      </w:r>
    </w:p>
    <w:p w14:paraId="7776E55C" w14:textId="77777777" w:rsidR="00F8329E" w:rsidRPr="004E334F" w:rsidRDefault="00F8329E" w:rsidP="00F8329E">
      <w:pPr>
        <w:pStyle w:val="NormalHanging12a"/>
        <w:rPr>
          <w:noProof/>
        </w:rPr>
      </w:pPr>
      <w:r w:rsidRPr="004E334F">
        <w:t>J.</w:t>
      </w:r>
      <w:r w:rsidRPr="004E334F">
        <w:tab/>
        <w:t xml:space="preserve">kadangi EGF finansinis įnašas pirmiausia turėtų būti skiriamas aktyvios darbo rinkos politikos priemonėms ir prie individualių poreikių pritaikytoms paslaugoms, kuriomis siekiama greitai </w:t>
      </w:r>
      <w:proofErr w:type="spellStart"/>
      <w:r w:rsidRPr="004E334F">
        <w:t>reintegruoti</w:t>
      </w:r>
      <w:proofErr w:type="spellEnd"/>
      <w:r w:rsidRPr="004E334F">
        <w:t xml:space="preserve"> paramos gavėjus į darbo rinką padedant jiems gauti </w:t>
      </w:r>
      <w:r w:rsidRPr="004E334F">
        <w:lastRenderedPageBreak/>
        <w:t>deramas ir tvarias darbo vietas pradiniame jų veiklos ar kitame sektoriuje, kartu rengiant juos žalesnei ir labiau skaitmeninei Europos ekonomikai;</w:t>
      </w:r>
    </w:p>
    <w:p w14:paraId="2749FF59" w14:textId="77777777" w:rsidR="00F8329E" w:rsidRPr="004E334F" w:rsidRDefault="00F8329E" w:rsidP="00F8329E">
      <w:pPr>
        <w:pStyle w:val="NormalHanging12a"/>
        <w:rPr>
          <w:noProof/>
        </w:rPr>
      </w:pPr>
      <w:r w:rsidRPr="004E334F">
        <w:t>K.</w:t>
      </w:r>
      <w:r w:rsidRPr="004E334F">
        <w:tab/>
        <w:t>kadangi EGF didžiausia metinė suma neturi viršyti 30 mln. EUR (2018 m. kainomis), kaip nustatyta Reglamento (ES, Euratomas) 2020/2093 su pakeitimais, padarytais Reglamentu (ES, Euratomas) 2024/765, 8 straipsnyje;</w:t>
      </w:r>
    </w:p>
    <w:p w14:paraId="0DAC435B" w14:textId="77777777" w:rsidR="00F8329E" w:rsidRPr="004E334F" w:rsidRDefault="00F8329E" w:rsidP="00F8329E">
      <w:pPr>
        <w:pStyle w:val="NormalHanging12a"/>
        <w:rPr>
          <w:noProof/>
        </w:rPr>
      </w:pPr>
      <w:r w:rsidRPr="004E334F">
        <w:t>1.</w:t>
      </w:r>
      <w:r w:rsidRPr="004E334F">
        <w:tab/>
        <w:t>pritaria Komisijai, kad tenkinamos EGF reglamento 4 straipsnio 2 dalies a punkte nustatytos sąlygos ir kad Belgija turi teisę pagal šį reglamentą gauti finansinę 931 690 EUR paramą, kuri sudaro 85 proc. visų išlaidų, siekiančių 1 096 107 EUR ir apimančių prie individualių poreikių pritaikytų paslaugų išlaidas (1 052 607 EUR) ir parengiamosios, valdymo, informavimo ir viešinimo, kontrolės ir ataskaitų teikimo veiklos išlaidas (43 500 EUR);</w:t>
      </w:r>
    </w:p>
    <w:p w14:paraId="24A0B148" w14:textId="77777777" w:rsidR="00F8329E" w:rsidRPr="004E334F" w:rsidRDefault="00F8329E" w:rsidP="00F8329E">
      <w:pPr>
        <w:pStyle w:val="NormalHanging12a"/>
        <w:rPr>
          <w:noProof/>
        </w:rPr>
      </w:pPr>
      <w:r w:rsidRPr="004E334F">
        <w:t xml:space="preserve">2. </w:t>
      </w:r>
      <w:r w:rsidRPr="004E334F">
        <w:tab/>
        <w:t>pažymi, kad Belgijos valdžios institucijos paraišką pateikė 2025 m. vasario 21 d. ir kad, Belgijai pateikus papildomą informaciją, 2025 m. liepos 7 d., beveik po penkių mėnesių, Komisija baigė savo vertinimą ir 2025 m. rugpjūčio 26 d. informavo apie tai Parlamentą; pabrėžia, kad svarbu sutrumpinti laiką nuo paraiškos EGF paramai gauti pateikimo iki finansavimo sprendimo priėmimo; pabrėžia, kad reikia supaprastinti ir paspartinti vidaus procedūras nepakenkiant institucinei pusiausvyrai, visų pirma nepažeidžiant Europos Parlamento, kaip biudžeto valdymo institucijos, teisių;</w:t>
      </w:r>
    </w:p>
    <w:p w14:paraId="43BDEBFA" w14:textId="77777777" w:rsidR="00F8329E" w:rsidRPr="004E334F" w:rsidRDefault="00F8329E" w:rsidP="00F8329E">
      <w:pPr>
        <w:pStyle w:val="NormalHanging12a"/>
        <w:rPr>
          <w:noProof/>
        </w:rPr>
      </w:pPr>
      <w:r w:rsidRPr="004E334F">
        <w:t>3.</w:t>
      </w:r>
      <w:r w:rsidRPr="004E334F">
        <w:tab/>
        <w:t>pažymi, kad paraiška, susijusi su 417 tiksliniais paramos gavėjais – darbuotojais, kurie buvo atleisti iš įmonės „</w:t>
      </w:r>
      <w:proofErr w:type="spellStart"/>
      <w:r w:rsidRPr="004E334F">
        <w:t>BelGaN</w:t>
      </w:r>
      <w:proofErr w:type="spellEnd"/>
      <w:r w:rsidRPr="004E334F">
        <w:t>“;</w:t>
      </w:r>
    </w:p>
    <w:p w14:paraId="6812A0F9" w14:textId="77777777" w:rsidR="00F8329E" w:rsidRPr="004E334F" w:rsidRDefault="00F8329E" w:rsidP="00F8329E">
      <w:pPr>
        <w:pStyle w:val="NormalHanging12a"/>
        <w:rPr>
          <w:noProof/>
        </w:rPr>
      </w:pPr>
      <w:r w:rsidRPr="004E334F">
        <w:t>4.</w:t>
      </w:r>
      <w:r w:rsidRPr="004E334F">
        <w:tab/>
        <w:t>atkreipia dėmesį į tai, kad dėl darbuotojų atleidimo iš įmonės „</w:t>
      </w:r>
      <w:proofErr w:type="spellStart"/>
      <w:r w:rsidRPr="004E334F">
        <w:t>BelGaN</w:t>
      </w:r>
      <w:proofErr w:type="spellEnd"/>
      <w:r w:rsidRPr="004E334F">
        <w:t xml:space="preserve">“ metinis nedarbo lygis </w:t>
      </w:r>
      <w:proofErr w:type="spellStart"/>
      <w:r w:rsidRPr="004E334F">
        <w:t>Audenardės</w:t>
      </w:r>
      <w:proofErr w:type="spellEnd"/>
      <w:r w:rsidRPr="004E334F">
        <w:t xml:space="preserve"> teritorijoje padidėjo iki 9 proc. ir ypač padaugėjo aukštos kvalifikacijos ir vidutinės kvalifikacijos bedarbių; pažymi, kad tuo pat metu laisvų darbo vietų skaičius regione sumažėjo 22 proc., nes per pastaruosius trejus metus labai išaugo įmonių, kurios paskelbė bankrotą, skaičius;</w:t>
      </w:r>
    </w:p>
    <w:p w14:paraId="2DB6516A" w14:textId="77777777" w:rsidR="00F8329E" w:rsidRPr="004E334F" w:rsidRDefault="00F8329E" w:rsidP="00F8329E">
      <w:pPr>
        <w:pStyle w:val="NormalHanging12a"/>
        <w:rPr>
          <w:noProof/>
        </w:rPr>
      </w:pPr>
      <w:r w:rsidRPr="004E334F">
        <w:t>5.</w:t>
      </w:r>
      <w:r w:rsidRPr="004E334F">
        <w:tab/>
        <w:t>primena, kad prie individualių poreikių pritaikytas paslaugas, kurios turi būti teikiamos darbuotojams, sudaro šios priemonės: informacinės sesijos, perdarbinimas, mokymas ir perkvalifikavimas, mokymas darbo vietoje, darbo mugė, pagalba ieškant darbo, laisvų darbo vietų paieška ir darbo jėgos pasiūlos ir paklausos derinimas, siekiant sudaryti sąlygas darbuotojams kuo greičiau sugrįžti į darbo rinką, suteikiant jiems būsimiems šio sektoriaus darbdaviams aktualius aukštos kokybės įgūdžius ir mokymus, kartu skatinant jų gebėjimą plėtoti verslumo iniciatyvas ir naujus projektus; atsižvelgdamas į tai pabrėžia, kad gerai parengta darbo jėga yra itin svarbi perspektyviai Europos ekonomikai;</w:t>
      </w:r>
    </w:p>
    <w:p w14:paraId="465E2AFF" w14:textId="77777777" w:rsidR="00F8329E" w:rsidRPr="004E334F" w:rsidRDefault="00F8329E" w:rsidP="00F8329E">
      <w:pPr>
        <w:pStyle w:val="NormalHanging12a"/>
        <w:rPr>
          <w:bCs/>
          <w:iCs/>
          <w:noProof/>
        </w:rPr>
      </w:pPr>
      <w:r w:rsidRPr="004E334F">
        <w:t>6.</w:t>
      </w:r>
      <w:r w:rsidRPr="004E334F">
        <w:tab/>
        <w:t xml:space="preserve">ragina atlikti išsamius galutinius įgyvendintų priemonių vertinimus, įskaitant duomenis apie sėkmingai į darbo rinką </w:t>
      </w:r>
      <w:proofErr w:type="spellStart"/>
      <w:r w:rsidRPr="004E334F">
        <w:t>reintegruotų</w:t>
      </w:r>
      <w:proofErr w:type="spellEnd"/>
      <w:r w:rsidRPr="004E334F">
        <w:t xml:space="preserve"> darbuotojų skaičių ir paramos gavėjų grįžtamąją informaciją apie suteiktos paramos kokybę ir aktualumą;</w:t>
      </w:r>
    </w:p>
    <w:p w14:paraId="25A44A29" w14:textId="7A36AA83" w:rsidR="00F8329E" w:rsidRPr="004E334F" w:rsidRDefault="00F8329E" w:rsidP="00F8329E">
      <w:pPr>
        <w:pStyle w:val="NormalHanging12a"/>
        <w:rPr>
          <w:noProof/>
        </w:rPr>
      </w:pPr>
      <w:r w:rsidRPr="004E334F">
        <w:t>7.</w:t>
      </w:r>
      <w:r w:rsidRPr="004E334F">
        <w:tab/>
        <w:t>pažymi, kad Belgija tiksliniams paramos gavėjams prie individualių poreikių pritaikytas paslaugas pradėjo teikti 2024 m. rugpjūčio 8 d. ir todėl joms skirtos išlaidos bus laikomos tinkamomis finansuoti iš EGF finansinės paramos nuo tos dienos iki tada, kai sueis 24 mėnesiai nuo sprendimo</w:t>
      </w:r>
      <w:r w:rsidR="007A4B4E">
        <w:t>, pridėto prie šios rezoliucijos,</w:t>
      </w:r>
      <w:r w:rsidRPr="004E334F">
        <w:t xml:space="preserve"> įsigaliojimo dienos;</w:t>
      </w:r>
    </w:p>
    <w:p w14:paraId="2ABDD259" w14:textId="1E385183" w:rsidR="00F8329E" w:rsidRPr="004E334F" w:rsidRDefault="00F8329E" w:rsidP="00F8329E">
      <w:pPr>
        <w:pStyle w:val="NormalHanging12a"/>
        <w:rPr>
          <w:noProof/>
        </w:rPr>
      </w:pPr>
      <w:r w:rsidRPr="004E334F">
        <w:t>8.</w:t>
      </w:r>
      <w:r w:rsidRPr="004E334F">
        <w:tab/>
        <w:t xml:space="preserve">pažymi, kad pirmąsias administracines išlaidas, susijusias su EGF paramos naudojimu, Belgija patyrė 2024 m. liepos 31 d. ir todėl šios išlaidos bus laikomos tinkamomis </w:t>
      </w:r>
      <w:r w:rsidRPr="004E334F">
        <w:lastRenderedPageBreak/>
        <w:t>finansuoti iš EGF finansinės paramos nuo tos dienos iki tada, kai sueis 31 mėnuo nuo sprendimo</w:t>
      </w:r>
      <w:r w:rsidR="007A4B4E">
        <w:t>, pridėto prie šios rezoliucijos,</w:t>
      </w:r>
      <w:r w:rsidRPr="004E334F">
        <w:t xml:space="preserve"> įsigaliojimo dienos;</w:t>
      </w:r>
    </w:p>
    <w:p w14:paraId="4F3B76CC" w14:textId="77777777" w:rsidR="00F8329E" w:rsidRPr="004E334F" w:rsidRDefault="00F8329E" w:rsidP="00F8329E">
      <w:pPr>
        <w:pStyle w:val="NormalHanging12a"/>
        <w:rPr>
          <w:noProof/>
        </w:rPr>
      </w:pPr>
      <w:r w:rsidRPr="004E334F">
        <w:t>9.</w:t>
      </w:r>
      <w:r w:rsidRPr="004E334F">
        <w:tab/>
        <w:t>pabrėžia, kad Belgijos valdžios institucijos patvirtino, jog suteikiant galimybę naudotis siūlomais veiksmais ir juos įgyvendinant bus laikomasi vienodo požiūrio ir nediskriminavimo principų ir kad bus išvengta bet kokio dvigubo finansavimo;</w:t>
      </w:r>
    </w:p>
    <w:p w14:paraId="3749617A" w14:textId="77777777" w:rsidR="00F8329E" w:rsidRPr="004E334F" w:rsidRDefault="00F8329E" w:rsidP="00F8329E">
      <w:pPr>
        <w:pStyle w:val="NormalHanging12a"/>
        <w:rPr>
          <w:bCs/>
          <w:iCs/>
          <w:noProof/>
        </w:rPr>
      </w:pPr>
      <w:r w:rsidRPr="004E334F">
        <w:t>10.</w:t>
      </w:r>
      <w:r w:rsidRPr="004E334F">
        <w:tab/>
        <w:t>pabrėžia, kad reikia užtikrinti aiškų Sąjungos finansavimo pripažinimą ir matomumą, siekiant pabrėžti jo pridėtinę vertę; ragina nuosekliai ir tikslingai informuoti paramos gavėjus, regionų ir vietos valdžios institucijas, socialinius partnerius, žiniasklaidą ir plačiąją visuomenę;</w:t>
      </w:r>
    </w:p>
    <w:p w14:paraId="152D5858" w14:textId="77777777" w:rsidR="00F8329E" w:rsidRPr="004E334F" w:rsidRDefault="00F8329E" w:rsidP="00F8329E">
      <w:pPr>
        <w:pStyle w:val="NormalHanging12a"/>
        <w:rPr>
          <w:noProof/>
        </w:rPr>
      </w:pPr>
      <w:r w:rsidRPr="004E334F">
        <w:t>11.</w:t>
      </w:r>
      <w:r w:rsidRPr="004E334F">
        <w:tab/>
        <w:t>pakartoja, kad EGF pagalba neturi pakeisti veiksmų, už kuriuos bendrovės atsakingos pagal nacionalinę teisę ar kolektyvines sutartis;</w:t>
      </w:r>
    </w:p>
    <w:p w14:paraId="07A2E557" w14:textId="77777777" w:rsidR="00F8329E" w:rsidRPr="004E334F" w:rsidRDefault="00F8329E" w:rsidP="00F8329E">
      <w:pPr>
        <w:pStyle w:val="NormalHanging12a"/>
        <w:rPr>
          <w:noProof/>
        </w:rPr>
      </w:pPr>
      <w:r w:rsidRPr="004E334F">
        <w:t>12.</w:t>
      </w:r>
      <w:r w:rsidRPr="004E334F">
        <w:tab/>
        <w:t>pritaria prie šios rezoliucijos pridedamam sprendimui;</w:t>
      </w:r>
    </w:p>
    <w:p w14:paraId="0F44E505" w14:textId="77777777" w:rsidR="00F8329E" w:rsidRPr="004E334F" w:rsidRDefault="00F8329E" w:rsidP="00F8329E">
      <w:pPr>
        <w:pStyle w:val="NormalHanging12a"/>
        <w:rPr>
          <w:noProof/>
        </w:rPr>
      </w:pPr>
      <w:r w:rsidRPr="004E334F">
        <w:t>13.</w:t>
      </w:r>
      <w:r w:rsidRPr="004E334F">
        <w:tab/>
        <w:t xml:space="preserve">paveda Pirmininkei pasirašyti šį sprendimą su Tarybos pirmininku ir užtikrinti, kad jis būtų paskelbtas </w:t>
      </w:r>
      <w:r w:rsidRPr="004E334F">
        <w:rPr>
          <w:i/>
        </w:rPr>
        <w:t>Europos Sąjungos oficialiajame leidinyje</w:t>
      </w:r>
      <w:r w:rsidRPr="004E334F">
        <w:t>;</w:t>
      </w:r>
    </w:p>
    <w:p w14:paraId="61129CF3" w14:textId="77777777" w:rsidR="00F8329E" w:rsidRPr="004E334F" w:rsidRDefault="00F8329E" w:rsidP="00F8329E">
      <w:pPr>
        <w:pStyle w:val="NormalHanging12a"/>
        <w:rPr>
          <w:noProof/>
        </w:rPr>
      </w:pPr>
      <w:r w:rsidRPr="004E334F">
        <w:t>14.</w:t>
      </w:r>
      <w:r w:rsidRPr="004E334F">
        <w:tab/>
        <w:t>paveda Pirmininkei perduoti šią rezoliuciją ir jos priedą Tarybai ir Komisijai.</w:t>
      </w:r>
    </w:p>
    <w:p w14:paraId="221BEF98" w14:textId="77777777" w:rsidR="00F8329E" w:rsidRPr="004E334F" w:rsidRDefault="00F8329E" w:rsidP="00F8329E">
      <w:pPr>
        <w:rPr>
          <w:noProof/>
        </w:rPr>
      </w:pPr>
    </w:p>
    <w:p w14:paraId="24C3617A" w14:textId="77777777" w:rsidR="00F8329E" w:rsidRPr="004E334F" w:rsidRDefault="00F8329E" w:rsidP="00F8329E">
      <w:pPr>
        <w:widowControl/>
        <w:rPr>
          <w:rFonts w:ascii="Arial" w:hAnsi="Arial" w:cs="Arial"/>
          <w:b/>
          <w:noProof/>
        </w:rPr>
      </w:pPr>
      <w:r w:rsidRPr="004E334F">
        <w:br w:type="page"/>
      </w:r>
    </w:p>
    <w:p w14:paraId="767F5531" w14:textId="77777777" w:rsidR="00F8329E" w:rsidRPr="004E334F" w:rsidRDefault="00F8329E" w:rsidP="00F8329E">
      <w:pPr>
        <w:widowControl/>
        <w:rPr>
          <w:rFonts w:ascii="Arial" w:hAnsi="Arial" w:cs="Arial"/>
          <w:b/>
          <w:noProof/>
        </w:rPr>
        <w:sectPr w:rsidR="00F8329E" w:rsidRPr="004E334F" w:rsidSect="004E334F">
          <w:footerReference w:type="even" r:id="rId9"/>
          <w:footerReference w:type="default" r:id="rId10"/>
          <w:footerReference w:type="first" r:id="rId11"/>
          <w:footnotePr>
            <w:numRestart w:val="eachPage"/>
          </w:footnotePr>
          <w:endnotePr>
            <w:numFmt w:val="decimal"/>
          </w:endnotePr>
          <w:pgSz w:w="11906" w:h="16838"/>
          <w:pgMar w:top="1134" w:right="1418" w:bottom="1418" w:left="1418" w:header="1134" w:footer="567" w:gutter="0"/>
          <w:cols w:space="720"/>
          <w:docGrid w:linePitch="326"/>
        </w:sectPr>
      </w:pPr>
    </w:p>
    <w:p w14:paraId="247DE28F" w14:textId="77777777" w:rsidR="00821D4E" w:rsidRPr="00821D4E" w:rsidRDefault="00F8329E" w:rsidP="00F8329E">
      <w:pPr>
        <w:pStyle w:val="PageHeading"/>
        <w:rPr>
          <w:rFonts w:ascii="Times New Roman" w:hAnsi="Times New Roman" w:cs="Times New Roman"/>
        </w:rPr>
      </w:pPr>
      <w:bookmarkStart w:id="8" w:name="_Toc206749163"/>
      <w:bookmarkStart w:id="9" w:name="_Toc210377809"/>
      <w:r w:rsidRPr="00821D4E">
        <w:rPr>
          <w:rFonts w:ascii="Times New Roman" w:hAnsi="Times New Roman" w:cs="Times New Roman"/>
        </w:rPr>
        <w:lastRenderedPageBreak/>
        <w:t>PRIEDAS</w:t>
      </w:r>
    </w:p>
    <w:p w14:paraId="0DF42AC5" w14:textId="4C9FAB5D" w:rsidR="00F8329E" w:rsidRPr="00821D4E" w:rsidRDefault="00F8329E" w:rsidP="00F8329E">
      <w:pPr>
        <w:pStyle w:val="PageHeading"/>
        <w:rPr>
          <w:rFonts w:ascii="Times New Roman" w:hAnsi="Times New Roman" w:cs="Times New Roman"/>
          <w:noProof/>
        </w:rPr>
      </w:pPr>
      <w:r w:rsidRPr="00821D4E">
        <w:rPr>
          <w:rFonts w:ascii="Times New Roman" w:hAnsi="Times New Roman" w:cs="Times New Roman"/>
        </w:rPr>
        <w:t>EUROPOS PARLAMENTO IR TARYBOS SPRENDIMAS</w:t>
      </w:r>
      <w:bookmarkEnd w:id="8"/>
      <w:bookmarkEnd w:id="9"/>
    </w:p>
    <w:p w14:paraId="6B1985AE" w14:textId="77777777" w:rsidR="00F8329E" w:rsidRPr="004E334F" w:rsidRDefault="00F8329E" w:rsidP="00EC49E0">
      <w:pPr>
        <w:pStyle w:val="NormalBold24a"/>
        <w:jc w:val="center"/>
      </w:pPr>
      <w:r w:rsidRPr="004E334F">
        <w:t>dėl Europos prisitaikymo prie globalizacijos padarinių fondo atleistiems darbuotojams lėšų mobilizavimo pagal Belgijos paraišką „EGF/2025/001 BE/</w:t>
      </w:r>
      <w:proofErr w:type="spellStart"/>
      <w:r w:rsidRPr="004E334F">
        <w:t>BelGaN</w:t>
      </w:r>
      <w:proofErr w:type="spellEnd"/>
      <w:r w:rsidRPr="004E334F">
        <w:t>“</w:t>
      </w:r>
    </w:p>
    <w:p w14:paraId="6994DAD2" w14:textId="5D786EDB" w:rsidR="00E365E1" w:rsidRPr="00EC49E0" w:rsidRDefault="00821D4E" w:rsidP="00821D4E">
      <w:pPr>
        <w:pStyle w:val="Institutionquiagit"/>
        <w:widowControl/>
        <w:spacing w:after="0"/>
      </w:pPr>
      <w:r w:rsidRPr="00186FD8">
        <w:rPr>
          <w:rFonts w:eastAsiaTheme="minorHAnsi"/>
          <w:snapToGrid w:val="0"/>
          <w:szCs w:val="22"/>
          <w:lang w:val="en-GB"/>
        </w:rPr>
        <w:t>(</w:t>
      </w:r>
      <w:proofErr w:type="spellStart"/>
      <w:r w:rsidRPr="00186FD8">
        <w:rPr>
          <w:rFonts w:eastAsiaTheme="minorHAnsi"/>
          <w:snapToGrid w:val="0"/>
          <w:szCs w:val="22"/>
          <w:lang w:val="en-GB"/>
        </w:rPr>
        <w:t>Šio</w:t>
      </w:r>
      <w:proofErr w:type="spellEnd"/>
      <w:r w:rsidRPr="00186FD8">
        <w:rPr>
          <w:rFonts w:eastAsiaTheme="minorHAnsi"/>
          <w:snapToGrid w:val="0"/>
          <w:szCs w:val="22"/>
          <w:lang w:val="en-GB"/>
        </w:rPr>
        <w:t xml:space="preserve"> </w:t>
      </w:r>
      <w:proofErr w:type="spellStart"/>
      <w:r w:rsidRPr="00186FD8">
        <w:rPr>
          <w:rFonts w:eastAsiaTheme="minorHAnsi"/>
          <w:snapToGrid w:val="0"/>
          <w:szCs w:val="22"/>
          <w:lang w:val="en-GB"/>
        </w:rPr>
        <w:t>priedo</w:t>
      </w:r>
      <w:proofErr w:type="spellEnd"/>
      <w:r w:rsidRPr="00186FD8">
        <w:rPr>
          <w:rFonts w:eastAsiaTheme="minorHAnsi"/>
          <w:snapToGrid w:val="0"/>
          <w:szCs w:val="22"/>
          <w:lang w:val="en-GB"/>
        </w:rPr>
        <w:t xml:space="preserve"> </w:t>
      </w:r>
      <w:proofErr w:type="spellStart"/>
      <w:r w:rsidRPr="00186FD8">
        <w:rPr>
          <w:rFonts w:eastAsiaTheme="minorHAnsi"/>
          <w:snapToGrid w:val="0"/>
          <w:szCs w:val="22"/>
          <w:lang w:val="en-GB"/>
        </w:rPr>
        <w:t>tekstas</w:t>
      </w:r>
      <w:proofErr w:type="spellEnd"/>
      <w:r w:rsidRPr="00186FD8">
        <w:rPr>
          <w:rFonts w:eastAsiaTheme="minorHAnsi"/>
          <w:snapToGrid w:val="0"/>
          <w:szCs w:val="22"/>
          <w:lang w:val="en-GB"/>
        </w:rPr>
        <w:t xml:space="preserve"> </w:t>
      </w:r>
      <w:proofErr w:type="spellStart"/>
      <w:r w:rsidRPr="00186FD8">
        <w:rPr>
          <w:rFonts w:eastAsiaTheme="minorHAnsi"/>
          <w:snapToGrid w:val="0"/>
          <w:szCs w:val="22"/>
          <w:lang w:val="en-GB"/>
        </w:rPr>
        <w:t>čia</w:t>
      </w:r>
      <w:proofErr w:type="spellEnd"/>
      <w:r w:rsidRPr="00186FD8">
        <w:rPr>
          <w:rFonts w:eastAsiaTheme="minorHAnsi"/>
          <w:snapToGrid w:val="0"/>
          <w:szCs w:val="22"/>
          <w:lang w:val="en-GB"/>
        </w:rPr>
        <w:t xml:space="preserve"> </w:t>
      </w:r>
      <w:proofErr w:type="spellStart"/>
      <w:r w:rsidRPr="00186FD8">
        <w:rPr>
          <w:rFonts w:eastAsiaTheme="minorHAnsi"/>
          <w:snapToGrid w:val="0"/>
          <w:szCs w:val="22"/>
          <w:lang w:val="en-GB"/>
        </w:rPr>
        <w:t>nepateikiamas</w:t>
      </w:r>
      <w:proofErr w:type="spellEnd"/>
      <w:r w:rsidRPr="00186FD8">
        <w:rPr>
          <w:rFonts w:eastAsiaTheme="minorHAnsi"/>
          <w:snapToGrid w:val="0"/>
          <w:szCs w:val="22"/>
          <w:lang w:val="en-GB"/>
        </w:rPr>
        <w:t xml:space="preserve">, </w:t>
      </w:r>
      <w:proofErr w:type="spellStart"/>
      <w:r w:rsidRPr="00186FD8">
        <w:rPr>
          <w:rFonts w:eastAsiaTheme="minorHAnsi"/>
          <w:snapToGrid w:val="0"/>
          <w:szCs w:val="22"/>
          <w:lang w:val="en-GB"/>
        </w:rPr>
        <w:t>nes</w:t>
      </w:r>
      <w:proofErr w:type="spellEnd"/>
      <w:r w:rsidRPr="00186FD8">
        <w:rPr>
          <w:rFonts w:eastAsiaTheme="minorHAnsi"/>
          <w:snapToGrid w:val="0"/>
          <w:szCs w:val="22"/>
          <w:lang w:val="en-GB"/>
        </w:rPr>
        <w:t xml:space="preserve"> </w:t>
      </w:r>
      <w:proofErr w:type="spellStart"/>
      <w:r w:rsidRPr="00186FD8">
        <w:rPr>
          <w:rFonts w:eastAsiaTheme="minorHAnsi"/>
          <w:snapToGrid w:val="0"/>
          <w:szCs w:val="22"/>
          <w:lang w:val="en-GB"/>
        </w:rPr>
        <w:t>jis</w:t>
      </w:r>
      <w:proofErr w:type="spellEnd"/>
      <w:r w:rsidRPr="00186FD8">
        <w:rPr>
          <w:rFonts w:eastAsiaTheme="minorHAnsi"/>
          <w:snapToGrid w:val="0"/>
          <w:szCs w:val="22"/>
          <w:lang w:val="en-GB"/>
        </w:rPr>
        <w:t xml:space="preserve"> </w:t>
      </w:r>
      <w:proofErr w:type="spellStart"/>
      <w:r w:rsidRPr="00186FD8">
        <w:rPr>
          <w:rFonts w:eastAsiaTheme="minorHAnsi"/>
          <w:snapToGrid w:val="0"/>
          <w:szCs w:val="22"/>
          <w:lang w:val="en-GB"/>
        </w:rPr>
        <w:t>atitinka</w:t>
      </w:r>
      <w:proofErr w:type="spellEnd"/>
      <w:r w:rsidRPr="00186FD8">
        <w:rPr>
          <w:rFonts w:eastAsiaTheme="minorHAnsi"/>
          <w:snapToGrid w:val="0"/>
          <w:szCs w:val="22"/>
          <w:lang w:val="en-GB"/>
        </w:rPr>
        <w:t xml:space="preserve"> </w:t>
      </w:r>
      <w:proofErr w:type="spellStart"/>
      <w:r w:rsidRPr="00186FD8">
        <w:rPr>
          <w:rFonts w:eastAsiaTheme="minorHAnsi"/>
          <w:snapToGrid w:val="0"/>
          <w:szCs w:val="22"/>
          <w:lang w:val="en-GB"/>
        </w:rPr>
        <w:t>galutinį</w:t>
      </w:r>
      <w:proofErr w:type="spellEnd"/>
      <w:r w:rsidRPr="00186FD8">
        <w:rPr>
          <w:rFonts w:eastAsiaTheme="minorHAnsi"/>
          <w:snapToGrid w:val="0"/>
          <w:szCs w:val="22"/>
          <w:lang w:val="en-GB"/>
        </w:rPr>
        <w:t xml:space="preserve"> </w:t>
      </w:r>
      <w:proofErr w:type="spellStart"/>
      <w:r w:rsidRPr="00186FD8">
        <w:rPr>
          <w:rFonts w:eastAsiaTheme="minorHAnsi"/>
          <w:snapToGrid w:val="0"/>
          <w:szCs w:val="22"/>
          <w:lang w:val="en-GB"/>
        </w:rPr>
        <w:t>aktą</w:t>
      </w:r>
      <w:proofErr w:type="spellEnd"/>
      <w:r w:rsidRPr="00186FD8">
        <w:rPr>
          <w:rFonts w:eastAsiaTheme="minorHAnsi"/>
          <w:snapToGrid w:val="0"/>
          <w:szCs w:val="22"/>
          <w:lang w:val="en-GB"/>
        </w:rPr>
        <w:t xml:space="preserve"> – </w:t>
      </w:r>
      <w:proofErr w:type="spellStart"/>
      <w:r w:rsidRPr="00186FD8">
        <w:rPr>
          <w:rFonts w:eastAsiaTheme="minorHAnsi"/>
          <w:snapToGrid w:val="0"/>
          <w:szCs w:val="22"/>
          <w:lang w:val="en-GB"/>
        </w:rPr>
        <w:t>Sprendimą</w:t>
      </w:r>
      <w:proofErr w:type="spellEnd"/>
      <w:r w:rsidRPr="00186FD8">
        <w:rPr>
          <w:rFonts w:eastAsiaTheme="minorHAnsi"/>
          <w:snapToGrid w:val="0"/>
          <w:szCs w:val="22"/>
          <w:lang w:val="en-GB"/>
        </w:rPr>
        <w:t xml:space="preserve"> (ES) 20</w:t>
      </w:r>
      <w:r w:rsidRPr="00EC49E0">
        <w:rPr>
          <w:snapToGrid w:val="0"/>
          <w:lang w:val="en-GB"/>
        </w:rPr>
        <w:t>2</w:t>
      </w:r>
      <w:r w:rsidRPr="00186FD8">
        <w:rPr>
          <w:rFonts w:eastAsiaTheme="minorHAnsi"/>
          <w:snapToGrid w:val="0"/>
          <w:szCs w:val="22"/>
          <w:lang w:val="en-GB"/>
        </w:rPr>
        <w:t>5/</w:t>
      </w:r>
      <w:r w:rsidRPr="00EC49E0">
        <w:rPr>
          <w:snapToGrid w:val="0"/>
          <w:lang w:val="en-GB"/>
        </w:rPr>
        <w:t>213</w:t>
      </w:r>
      <w:r w:rsidRPr="00EC49E0">
        <w:rPr>
          <w:snapToGrid w:val="0"/>
          <w:lang w:val="en-GB"/>
        </w:rPr>
        <w:t>3</w:t>
      </w:r>
      <w:r w:rsidRPr="00186FD8">
        <w:rPr>
          <w:rFonts w:eastAsiaTheme="minorHAnsi"/>
          <w:snapToGrid w:val="0"/>
          <w:szCs w:val="22"/>
          <w:lang w:val="en-GB"/>
        </w:rPr>
        <w:t>.)</w:t>
      </w:r>
    </w:p>
    <w:sectPr w:rsidR="00E365E1" w:rsidRPr="00EC49E0" w:rsidSect="004E334F">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638756" w14:textId="77777777" w:rsidR="001F25A3" w:rsidRPr="004E334F" w:rsidRDefault="001F25A3">
      <w:r w:rsidRPr="004E334F">
        <w:separator/>
      </w:r>
    </w:p>
  </w:endnote>
  <w:endnote w:type="continuationSeparator" w:id="0">
    <w:p w14:paraId="1CCF6744" w14:textId="77777777" w:rsidR="001F25A3" w:rsidRPr="004E334F" w:rsidRDefault="001F25A3">
      <w:r w:rsidRPr="004E33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2A742" w14:textId="77777777" w:rsidR="00F8329E" w:rsidRPr="004E334F" w:rsidRDefault="00F8329E" w:rsidP="004971C8">
    <w:pPr>
      <w:pStyle w:val="EPFooter"/>
    </w:pPr>
    <w:r w:rsidRPr="004E334F">
      <w:t>PE</w:t>
    </w:r>
    <w:r w:rsidRPr="004E334F">
      <w:rPr>
        <w:rStyle w:val="HideTWBExt"/>
      </w:rPr>
      <w:t>&lt;NoPE&gt;</w:t>
    </w:r>
    <w:r w:rsidRPr="004E334F">
      <w:t>776.825</w:t>
    </w:r>
    <w:r w:rsidRPr="004E334F">
      <w:rPr>
        <w:rStyle w:val="HideTWBExt"/>
      </w:rPr>
      <w:t>&lt;/NoPE&gt;&lt;Version&gt;</w:t>
    </w:r>
    <w:r w:rsidRPr="004E334F">
      <w:t>v02-00</w:t>
    </w:r>
    <w:r w:rsidRPr="004E334F">
      <w:rPr>
        <w:rStyle w:val="HideTWBExt"/>
      </w:rPr>
      <w:t>&lt;/Version&gt;</w:t>
    </w:r>
    <w:r w:rsidRPr="004E334F">
      <w:tab/>
    </w:r>
    <w:r w:rsidRPr="004E334F">
      <w:fldChar w:fldCharType="begin"/>
    </w:r>
    <w:r w:rsidRPr="004E334F">
      <w:instrText xml:space="preserve"> PAGE  \* MERGEFORMAT </w:instrText>
    </w:r>
    <w:r w:rsidRPr="004E334F">
      <w:fldChar w:fldCharType="separate"/>
    </w:r>
    <w:r w:rsidRPr="004E334F">
      <w:rPr>
        <w:noProof/>
      </w:rPr>
      <w:t>2</w:t>
    </w:r>
    <w:r w:rsidRPr="004E334F">
      <w:fldChar w:fldCharType="end"/>
    </w:r>
    <w:r w:rsidRPr="004E334F">
      <w:t>/</w:t>
    </w:r>
    <w:r w:rsidR="00EC49E0">
      <w:fldChar w:fldCharType="begin"/>
    </w:r>
    <w:r w:rsidR="00EC49E0">
      <w:instrText xml:space="preserve"> NUMPAGES  \* MERGEFORMAT </w:instrText>
    </w:r>
    <w:r w:rsidR="00EC49E0">
      <w:fldChar w:fldCharType="separate"/>
    </w:r>
    <w:r w:rsidRPr="004E334F">
      <w:rPr>
        <w:noProof/>
      </w:rPr>
      <w:t>18</w:t>
    </w:r>
    <w:r w:rsidR="00EC49E0">
      <w:rPr>
        <w:noProof/>
      </w:rPr>
      <w:fldChar w:fldCharType="end"/>
    </w:r>
    <w:r w:rsidRPr="004E334F">
      <w:tab/>
    </w:r>
    <w:r w:rsidRPr="004E334F">
      <w:rPr>
        <w:rStyle w:val="HideTWBExt"/>
      </w:rPr>
      <w:t>&lt;PathFdR&gt;</w:t>
    </w:r>
    <w:r w:rsidRPr="004E334F">
      <w:t>RR\1328419LT.docx</w:t>
    </w:r>
    <w:r w:rsidRPr="004E334F">
      <w:rPr>
        <w:rStyle w:val="HideTWBExt"/>
      </w:rPr>
      <w:t>&lt;/PathFdR&gt;</w:t>
    </w:r>
  </w:p>
  <w:p w14:paraId="3017836B" w14:textId="77777777" w:rsidR="00F8329E" w:rsidRPr="004E334F" w:rsidRDefault="00F8329E" w:rsidP="004971C8">
    <w:pPr>
      <w:pStyle w:val="EPFooter2"/>
    </w:pPr>
    <w:r w:rsidRPr="004E334F">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89B72" w14:textId="2A916AA9" w:rsidR="00F8329E" w:rsidRPr="007A4B4E" w:rsidRDefault="00F8329E" w:rsidP="0048668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A918F" w14:textId="77777777" w:rsidR="00F8329E" w:rsidRPr="004E334F" w:rsidRDefault="00F8329E" w:rsidP="004971C8">
    <w:pPr>
      <w:pStyle w:val="EPFooter"/>
    </w:pPr>
    <w:r w:rsidRPr="004E334F">
      <w:rPr>
        <w:rStyle w:val="HideTWBExt"/>
      </w:rPr>
      <w:t>&lt;PathFdR&gt;</w:t>
    </w:r>
    <w:r w:rsidRPr="004E334F">
      <w:t>RR\1328419LT.docx</w:t>
    </w:r>
    <w:r w:rsidRPr="004E334F">
      <w:rPr>
        <w:rStyle w:val="HideTWBExt"/>
      </w:rPr>
      <w:t>&lt;/PathFdR&gt;</w:t>
    </w:r>
    <w:r w:rsidRPr="004E334F">
      <w:tab/>
    </w:r>
    <w:r w:rsidRPr="004E334F">
      <w:tab/>
      <w:t>PE</w:t>
    </w:r>
    <w:r w:rsidRPr="004E334F">
      <w:rPr>
        <w:rStyle w:val="HideTWBExt"/>
      </w:rPr>
      <w:t>&lt;NoPE&gt;</w:t>
    </w:r>
    <w:r w:rsidRPr="004E334F">
      <w:t>776.825</w:t>
    </w:r>
    <w:r w:rsidRPr="004E334F">
      <w:rPr>
        <w:rStyle w:val="HideTWBExt"/>
      </w:rPr>
      <w:t>&lt;/NoPE&gt;&lt;Version&gt;</w:t>
    </w:r>
    <w:r w:rsidRPr="004E334F">
      <w:t>v02-00</w:t>
    </w:r>
    <w:r w:rsidRPr="004E334F">
      <w:rPr>
        <w:rStyle w:val="HideTWBExt"/>
      </w:rPr>
      <w:t>&lt;/Version&gt;</w:t>
    </w:r>
  </w:p>
  <w:p w14:paraId="0BCF0BF2" w14:textId="77777777" w:rsidR="00F8329E" w:rsidRPr="004E334F" w:rsidRDefault="00F8329E" w:rsidP="004971C8">
    <w:pPr>
      <w:pStyle w:val="EPFooter2"/>
    </w:pPr>
    <w:r w:rsidRPr="004E334F">
      <w:t>LT</w:t>
    </w:r>
    <w:r w:rsidRPr="004E334F">
      <w:tab/>
    </w:r>
    <w:r w:rsidRPr="004E334F">
      <w:rPr>
        <w:b w:val="0"/>
        <w:i/>
        <w:color w:val="C0C0C0"/>
        <w:sz w:val="22"/>
      </w:rPr>
      <w:t>Suvienijusi įvairovę</w:t>
    </w:r>
    <w:r w:rsidRPr="004E334F">
      <w:tab/>
      <w:t>LT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72CAD" w14:textId="77777777" w:rsidR="00064002" w:rsidRPr="004E334F"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65EC4" w14:textId="77777777" w:rsidR="00064002" w:rsidRPr="004E334F"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744F9" w14:textId="77777777" w:rsidR="00064002" w:rsidRPr="004E334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7F9C89" w14:textId="77777777" w:rsidR="001F25A3" w:rsidRPr="004E334F" w:rsidRDefault="001F25A3">
      <w:r w:rsidRPr="004E334F">
        <w:separator/>
      </w:r>
    </w:p>
  </w:footnote>
  <w:footnote w:type="continuationSeparator" w:id="0">
    <w:p w14:paraId="739210A5" w14:textId="77777777" w:rsidR="001F25A3" w:rsidRPr="004E334F" w:rsidRDefault="001F25A3">
      <w:r w:rsidRPr="004E334F">
        <w:continuationSeparator/>
      </w:r>
    </w:p>
  </w:footnote>
  <w:footnote w:id="1">
    <w:p w14:paraId="6FD94524" w14:textId="7EC2F178" w:rsidR="00F8329E" w:rsidRPr="004E334F" w:rsidRDefault="00F8329E" w:rsidP="004E334F">
      <w:pPr>
        <w:pStyle w:val="FootnoteText"/>
        <w:ind w:left="567" w:hanging="567"/>
        <w:rPr>
          <w:sz w:val="24"/>
          <w:lang w:val="lt-LT"/>
        </w:rPr>
      </w:pPr>
      <w:r w:rsidRPr="004E334F">
        <w:rPr>
          <w:rStyle w:val="FootnoteReference"/>
          <w:sz w:val="24"/>
          <w:lang w:val="lt-LT"/>
        </w:rPr>
        <w:footnoteRef/>
      </w:r>
      <w:r w:rsidR="004E334F" w:rsidRPr="004E334F">
        <w:rPr>
          <w:sz w:val="24"/>
          <w:lang w:val="lt-LT"/>
        </w:rPr>
        <w:t xml:space="preserve"> </w:t>
      </w:r>
      <w:r w:rsidR="004E334F" w:rsidRPr="004E334F">
        <w:rPr>
          <w:sz w:val="24"/>
          <w:lang w:val="lt-LT"/>
        </w:rPr>
        <w:tab/>
      </w:r>
      <w:r w:rsidRPr="004E334F">
        <w:rPr>
          <w:sz w:val="24"/>
          <w:lang w:val="lt-LT"/>
        </w:rPr>
        <w:t xml:space="preserve">OL L 153, 2021 5 3, p. 48, ELI: </w:t>
      </w:r>
      <w:hyperlink r:id="rId1" w:history="1">
        <w:r w:rsidRPr="004E334F">
          <w:rPr>
            <w:rStyle w:val="Hyperlink"/>
            <w:sz w:val="24"/>
            <w:lang w:val="lt-LT"/>
          </w:rPr>
          <w:t>http://data.europa.eu/eli/reg/2021/691/oj</w:t>
        </w:r>
      </w:hyperlink>
      <w:r w:rsidRPr="004E334F">
        <w:rPr>
          <w:sz w:val="24"/>
          <w:lang w:val="lt-LT"/>
        </w:rPr>
        <w:t>.</w:t>
      </w:r>
    </w:p>
  </w:footnote>
  <w:footnote w:id="2">
    <w:p w14:paraId="7D3E60EC" w14:textId="4D803053" w:rsidR="00F8329E" w:rsidRPr="004E334F" w:rsidRDefault="00F8329E" w:rsidP="004E334F">
      <w:pPr>
        <w:pStyle w:val="FootnoteText"/>
        <w:ind w:left="567" w:hanging="567"/>
        <w:rPr>
          <w:sz w:val="24"/>
          <w:lang w:val="lt-LT"/>
        </w:rPr>
      </w:pPr>
      <w:r w:rsidRPr="004E334F">
        <w:rPr>
          <w:rStyle w:val="FootnoteReference"/>
          <w:sz w:val="24"/>
          <w:lang w:val="lt-LT"/>
        </w:rPr>
        <w:footnoteRef/>
      </w:r>
      <w:r w:rsidR="004E334F" w:rsidRPr="004E334F">
        <w:rPr>
          <w:sz w:val="24"/>
          <w:lang w:val="lt-LT"/>
        </w:rPr>
        <w:t xml:space="preserve"> </w:t>
      </w:r>
      <w:r w:rsidR="004E334F" w:rsidRPr="004E334F">
        <w:rPr>
          <w:sz w:val="24"/>
          <w:lang w:val="lt-LT"/>
        </w:rPr>
        <w:tab/>
      </w:r>
      <w:r w:rsidRPr="004E334F">
        <w:rPr>
          <w:sz w:val="24"/>
          <w:lang w:val="lt-LT"/>
        </w:rPr>
        <w:t xml:space="preserve">OL L 433 I, 2020 12 22, p. </w:t>
      </w:r>
      <w:r w:rsidRPr="004E334F">
        <w:rPr>
          <w:sz w:val="24"/>
          <w:lang w:val="lt-LT"/>
        </w:rPr>
        <w:t xml:space="preserve">11, ELI: </w:t>
      </w:r>
      <w:hyperlink r:id="rId2" w:history="1">
        <w:r w:rsidRPr="004E334F">
          <w:rPr>
            <w:rStyle w:val="Hyperlink"/>
            <w:sz w:val="24"/>
            <w:lang w:val="lt-LT"/>
          </w:rPr>
          <w:t>http://data.europa.eu/eli/reg/2020/2093/oj</w:t>
        </w:r>
      </w:hyperlink>
      <w:r w:rsidRPr="004E334F">
        <w:rPr>
          <w:sz w:val="24"/>
          <w:lang w:val="lt-LT"/>
        </w:rPr>
        <w:t>.</w:t>
      </w:r>
    </w:p>
  </w:footnote>
  <w:footnote w:id="3">
    <w:p w14:paraId="5D193ED6" w14:textId="03F7584D" w:rsidR="00F8329E" w:rsidRPr="004E334F" w:rsidRDefault="00F8329E" w:rsidP="004E334F">
      <w:pPr>
        <w:pStyle w:val="FootnoteText"/>
        <w:ind w:left="567" w:hanging="567"/>
        <w:rPr>
          <w:sz w:val="24"/>
          <w:lang w:val="lt-LT"/>
        </w:rPr>
      </w:pPr>
      <w:r w:rsidRPr="004E334F">
        <w:rPr>
          <w:rStyle w:val="FootnoteReference"/>
          <w:sz w:val="24"/>
          <w:lang w:val="lt-LT"/>
        </w:rPr>
        <w:footnoteRef/>
      </w:r>
      <w:r w:rsidR="004E334F" w:rsidRPr="004E334F">
        <w:rPr>
          <w:sz w:val="24"/>
          <w:lang w:val="lt-LT"/>
        </w:rPr>
        <w:t xml:space="preserve"> </w:t>
      </w:r>
      <w:r w:rsidR="004E334F" w:rsidRPr="004E334F">
        <w:rPr>
          <w:sz w:val="24"/>
          <w:lang w:val="lt-LT"/>
        </w:rPr>
        <w:tab/>
      </w:r>
      <w:r w:rsidRPr="004E334F">
        <w:rPr>
          <w:sz w:val="24"/>
          <w:lang w:val="lt-LT"/>
        </w:rPr>
        <w:t xml:space="preserve">2024 m. vasario 29 d. Tarybos reglamentas (ES, Euratomas) 2024/765, kuriuo iš dalies keičiamas Reglamentas (ES, Euratomas) 2020/2093, kuriuo nustatoma 2021–2027 m. </w:t>
      </w:r>
      <w:r w:rsidRPr="004E334F">
        <w:rPr>
          <w:sz w:val="24"/>
          <w:lang w:val="lt-LT"/>
        </w:rPr>
        <w:t xml:space="preserve">daugiametė finansinė programa (OL L, 2024/765, 2024 2 29, ELI: </w:t>
      </w:r>
      <w:hyperlink r:id="rId3" w:history="1">
        <w:r w:rsidRPr="004E334F">
          <w:rPr>
            <w:rStyle w:val="Hyperlink"/>
            <w:sz w:val="24"/>
            <w:lang w:val="lt-LT"/>
          </w:rPr>
          <w:t>http://data.europa.eu/eli/reg/2024/765/oj</w:t>
        </w:r>
      </w:hyperlink>
      <w:r w:rsidRPr="004E334F">
        <w:rPr>
          <w:sz w:val="24"/>
          <w:lang w:val="lt-LT"/>
        </w:rPr>
        <w:t>).</w:t>
      </w:r>
    </w:p>
  </w:footnote>
  <w:footnote w:id="4">
    <w:p w14:paraId="2C8C7062" w14:textId="6A718D9D" w:rsidR="00F8329E" w:rsidRPr="004E334F" w:rsidRDefault="00F8329E" w:rsidP="004E334F">
      <w:pPr>
        <w:pStyle w:val="FootnoteText"/>
        <w:ind w:left="567" w:hanging="567"/>
        <w:rPr>
          <w:sz w:val="24"/>
          <w:lang w:val="lt-LT"/>
        </w:rPr>
      </w:pPr>
      <w:r w:rsidRPr="004E334F">
        <w:rPr>
          <w:rStyle w:val="FootnoteReference"/>
          <w:sz w:val="24"/>
          <w:lang w:val="lt-LT"/>
        </w:rPr>
        <w:footnoteRef/>
      </w:r>
      <w:r w:rsidR="004E334F" w:rsidRPr="004E334F">
        <w:rPr>
          <w:sz w:val="24"/>
          <w:lang w:val="lt-LT"/>
        </w:rPr>
        <w:t xml:space="preserve"> </w:t>
      </w:r>
      <w:r w:rsidR="004E334F" w:rsidRPr="004E334F">
        <w:rPr>
          <w:sz w:val="24"/>
          <w:lang w:val="lt-LT"/>
        </w:rPr>
        <w:tab/>
      </w:r>
      <w:r w:rsidRPr="004E334F">
        <w:rPr>
          <w:sz w:val="24"/>
          <w:lang w:val="lt-LT"/>
        </w:rPr>
        <w:t xml:space="preserve">OL L 433 I, 2020 12 22, p. </w:t>
      </w:r>
      <w:r w:rsidRPr="004E334F">
        <w:rPr>
          <w:sz w:val="24"/>
          <w:lang w:val="lt-LT"/>
        </w:rPr>
        <w:t xml:space="preserve">28, ELI: </w:t>
      </w:r>
      <w:hyperlink r:id="rId4" w:history="1">
        <w:r w:rsidRPr="004E334F">
          <w:rPr>
            <w:rStyle w:val="Hyperlink"/>
            <w:sz w:val="24"/>
            <w:lang w:val="lt-LT"/>
          </w:rPr>
          <w:t>http://data.europa.eu/eli/agree_interinstit/2020/1222/oj</w:t>
        </w:r>
      </w:hyperlink>
      <w:r w:rsidRPr="004E334F">
        <w:rPr>
          <w:sz w:val="24"/>
          <w:lang w:val="lt-LT"/>
        </w:rPr>
        <w:t>.</w:t>
      </w:r>
    </w:p>
  </w:footnote>
  <w:footnote w:id="5">
    <w:p w14:paraId="22C034DF" w14:textId="2BF1F039" w:rsidR="00F8329E" w:rsidRPr="004E334F" w:rsidRDefault="00F8329E" w:rsidP="004E334F">
      <w:pPr>
        <w:pStyle w:val="FootnoteText"/>
        <w:ind w:left="567" w:hanging="567"/>
        <w:rPr>
          <w:sz w:val="24"/>
          <w:lang w:val="lt-LT"/>
        </w:rPr>
      </w:pPr>
      <w:r w:rsidRPr="004E334F">
        <w:rPr>
          <w:rStyle w:val="FootnoteReference"/>
          <w:sz w:val="24"/>
          <w:lang w:val="lt-LT"/>
        </w:rPr>
        <w:footnoteRef/>
      </w:r>
      <w:r w:rsidR="004E334F" w:rsidRPr="004E334F">
        <w:rPr>
          <w:sz w:val="24"/>
          <w:lang w:val="lt-LT"/>
        </w:rPr>
        <w:t xml:space="preserve"> </w:t>
      </w:r>
      <w:r w:rsidR="004E334F" w:rsidRPr="004E334F">
        <w:rPr>
          <w:sz w:val="24"/>
          <w:lang w:val="lt-LT"/>
        </w:rPr>
        <w:tab/>
      </w:r>
      <w:proofErr w:type="spellStart"/>
      <w:r w:rsidRPr="004E334F">
        <w:rPr>
          <w:sz w:val="24"/>
          <w:lang w:val="lt-LT"/>
        </w:rPr>
        <w:t>Vlaamse</w:t>
      </w:r>
      <w:proofErr w:type="spellEnd"/>
      <w:r w:rsidRPr="004E334F">
        <w:rPr>
          <w:sz w:val="24"/>
          <w:lang w:val="lt-LT"/>
        </w:rPr>
        <w:t xml:space="preserve"> </w:t>
      </w:r>
      <w:proofErr w:type="spellStart"/>
      <w:r w:rsidRPr="004E334F">
        <w:rPr>
          <w:sz w:val="24"/>
          <w:lang w:val="lt-LT"/>
        </w:rPr>
        <w:t>Dienst</w:t>
      </w:r>
      <w:proofErr w:type="spellEnd"/>
      <w:r w:rsidRPr="004E334F">
        <w:rPr>
          <w:sz w:val="24"/>
          <w:lang w:val="lt-LT"/>
        </w:rPr>
        <w:t xml:space="preserve"> </w:t>
      </w:r>
      <w:proofErr w:type="spellStart"/>
      <w:r w:rsidRPr="004E334F">
        <w:rPr>
          <w:sz w:val="24"/>
          <w:lang w:val="lt-LT"/>
        </w:rPr>
        <w:t>voor</w:t>
      </w:r>
      <w:proofErr w:type="spellEnd"/>
      <w:r w:rsidRPr="004E334F">
        <w:rPr>
          <w:sz w:val="24"/>
          <w:lang w:val="lt-LT"/>
        </w:rPr>
        <w:t xml:space="preserve"> </w:t>
      </w:r>
      <w:proofErr w:type="spellStart"/>
      <w:r w:rsidRPr="004E334F">
        <w:rPr>
          <w:sz w:val="24"/>
          <w:lang w:val="lt-LT"/>
        </w:rPr>
        <w:t>Arbeidsbemiddeling</w:t>
      </w:r>
      <w:proofErr w:type="spellEnd"/>
      <w:r w:rsidRPr="004E334F">
        <w:rPr>
          <w:sz w:val="24"/>
          <w:lang w:val="lt-LT"/>
        </w:rPr>
        <w:t xml:space="preserve"> </w:t>
      </w:r>
      <w:proofErr w:type="spellStart"/>
      <w:r w:rsidRPr="004E334F">
        <w:rPr>
          <w:sz w:val="24"/>
          <w:lang w:val="lt-LT"/>
        </w:rPr>
        <w:t>en</w:t>
      </w:r>
      <w:proofErr w:type="spellEnd"/>
      <w:r w:rsidRPr="004E334F">
        <w:rPr>
          <w:sz w:val="24"/>
          <w:lang w:val="lt-LT"/>
        </w:rPr>
        <w:t xml:space="preserve"> </w:t>
      </w:r>
      <w:proofErr w:type="spellStart"/>
      <w:r w:rsidRPr="004E334F">
        <w:rPr>
          <w:sz w:val="24"/>
          <w:lang w:val="lt-LT"/>
        </w:rPr>
        <w:t>Beroepsopleiding</w:t>
      </w:r>
      <w:proofErr w:type="spellEnd"/>
      <w:r w:rsidRPr="004E334F">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ABD5A" w14:textId="77777777" w:rsidR="00064002" w:rsidRPr="004E334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ADA82" w14:textId="77777777" w:rsidR="00064002" w:rsidRPr="004E334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A16AA" w14:textId="77777777" w:rsidR="00064002" w:rsidRPr="004E334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91762868">
    <w:abstractNumId w:val="9"/>
  </w:num>
  <w:num w:numId="2" w16cid:durableId="822891728">
    <w:abstractNumId w:val="9"/>
  </w:num>
  <w:num w:numId="3" w16cid:durableId="1154683502">
    <w:abstractNumId w:val="7"/>
  </w:num>
  <w:num w:numId="4" w16cid:durableId="1059591183">
    <w:abstractNumId w:val="7"/>
  </w:num>
  <w:num w:numId="5" w16cid:durableId="131289876">
    <w:abstractNumId w:val="6"/>
  </w:num>
  <w:num w:numId="6" w16cid:durableId="1837302967">
    <w:abstractNumId w:val="6"/>
  </w:num>
  <w:num w:numId="7" w16cid:durableId="1882864078">
    <w:abstractNumId w:val="5"/>
  </w:num>
  <w:num w:numId="8" w16cid:durableId="1465583196">
    <w:abstractNumId w:val="5"/>
  </w:num>
  <w:num w:numId="9" w16cid:durableId="1756173393">
    <w:abstractNumId w:val="4"/>
  </w:num>
  <w:num w:numId="10" w16cid:durableId="466436241">
    <w:abstractNumId w:val="4"/>
  </w:num>
  <w:num w:numId="11" w16cid:durableId="697465805">
    <w:abstractNumId w:val="8"/>
  </w:num>
  <w:num w:numId="12" w16cid:durableId="2042511736">
    <w:abstractNumId w:val="8"/>
  </w:num>
  <w:num w:numId="13" w16cid:durableId="110054890">
    <w:abstractNumId w:val="3"/>
  </w:num>
  <w:num w:numId="14" w16cid:durableId="819686507">
    <w:abstractNumId w:val="3"/>
  </w:num>
  <w:num w:numId="15" w16cid:durableId="710424697">
    <w:abstractNumId w:val="2"/>
  </w:num>
  <w:num w:numId="16" w16cid:durableId="944263680">
    <w:abstractNumId w:val="2"/>
  </w:num>
  <w:num w:numId="17" w16cid:durableId="1093621500">
    <w:abstractNumId w:val="1"/>
  </w:num>
  <w:num w:numId="18" w16cid:durableId="231477321">
    <w:abstractNumId w:val="1"/>
  </w:num>
  <w:num w:numId="19" w16cid:durableId="843784376">
    <w:abstractNumId w:val="0"/>
  </w:num>
  <w:num w:numId="20" w16cid:durableId="17389033">
    <w:abstractNumId w:val="0"/>
  </w:num>
  <w:num w:numId="21" w16cid:durableId="1976520634">
    <w:abstractNumId w:val="9"/>
  </w:num>
  <w:num w:numId="22" w16cid:durableId="67578301">
    <w:abstractNumId w:val="7"/>
  </w:num>
  <w:num w:numId="23" w16cid:durableId="962419883">
    <w:abstractNumId w:val="6"/>
  </w:num>
  <w:num w:numId="24" w16cid:durableId="761224179">
    <w:abstractNumId w:val="5"/>
  </w:num>
  <w:num w:numId="25" w16cid:durableId="1142045629">
    <w:abstractNumId w:val="4"/>
  </w:num>
  <w:num w:numId="26" w16cid:durableId="374933929">
    <w:abstractNumId w:val="8"/>
  </w:num>
  <w:num w:numId="27" w16cid:durableId="587538096">
    <w:abstractNumId w:val="3"/>
  </w:num>
  <w:num w:numId="28" w16cid:durableId="889075940">
    <w:abstractNumId w:val="2"/>
  </w:num>
  <w:num w:numId="29" w16cid:durableId="1911184774">
    <w:abstractNumId w:val="1"/>
  </w:num>
  <w:num w:numId="30" w16cid:durableId="1810435114">
    <w:abstractNumId w:val="0"/>
  </w:num>
  <w:num w:numId="31" w16cid:durableId="982464536">
    <w:abstractNumId w:val="9"/>
  </w:num>
  <w:num w:numId="32" w16cid:durableId="937256134">
    <w:abstractNumId w:val="7"/>
  </w:num>
  <w:num w:numId="33" w16cid:durableId="519049305">
    <w:abstractNumId w:val="6"/>
  </w:num>
  <w:num w:numId="34" w16cid:durableId="347607256">
    <w:abstractNumId w:val="5"/>
  </w:num>
  <w:num w:numId="35" w16cid:durableId="938754043">
    <w:abstractNumId w:val="4"/>
  </w:num>
  <w:num w:numId="36" w16cid:durableId="1436945462">
    <w:abstractNumId w:val="8"/>
  </w:num>
  <w:num w:numId="37" w16cid:durableId="1345286646">
    <w:abstractNumId w:val="3"/>
  </w:num>
  <w:num w:numId="38" w16cid:durableId="1788232715">
    <w:abstractNumId w:val="2"/>
  </w:num>
  <w:num w:numId="39" w16cid:durableId="225452906">
    <w:abstractNumId w:val="1"/>
  </w:num>
  <w:num w:numId="40" w16cid:durableId="1941181615">
    <w:abstractNumId w:val="0"/>
  </w:num>
  <w:num w:numId="41" w16cid:durableId="1503624562">
    <w:abstractNumId w:val="10"/>
  </w:num>
  <w:num w:numId="42" w16cid:durableId="1987395248">
    <w:abstractNumId w:val="10"/>
  </w:num>
  <w:num w:numId="43" w16cid:durableId="103428456">
    <w:abstractNumId w:val="10"/>
  </w:num>
  <w:num w:numId="44" w16cid:durableId="20997858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3/2025"/>
    <w:docVar w:name="dvlangue" w:val="LT"/>
    <w:docVar w:name="dvnumam" w:val="0"/>
    <w:docVar w:name="dvpe" w:val="776.825"/>
    <w:docVar w:name="dvrapporteur" w:val="Pranešėjas: "/>
    <w:docVar w:name="dvtitre" w:val="Europos Parlamento rezoliucija dėl pasiūlymo dėl Europos Parlamento ir Tarybos sprendimo dėl Europos prisitaikymo prie globalizacijos padarinių fondo atleistiems darbuotojams lėšų mobilizavimo pagal Belgijos paraišką „EGF/2025/001 BE/BelGaN“(COM(2025)0157 – C10-0188/2025 – 2025/0198(BUD))"/>
  </w:docVars>
  <w:rsids>
    <w:rsidRoot w:val="001F25A3"/>
    <w:rsid w:val="00002272"/>
    <w:rsid w:val="00064002"/>
    <w:rsid w:val="000677B9"/>
    <w:rsid w:val="000831BA"/>
    <w:rsid w:val="000A42CC"/>
    <w:rsid w:val="000E7DD9"/>
    <w:rsid w:val="0010095E"/>
    <w:rsid w:val="00125B37"/>
    <w:rsid w:val="00187494"/>
    <w:rsid w:val="001B1717"/>
    <w:rsid w:val="001F25A3"/>
    <w:rsid w:val="001F32AE"/>
    <w:rsid w:val="002767FF"/>
    <w:rsid w:val="002B18FE"/>
    <w:rsid w:val="002B5493"/>
    <w:rsid w:val="002F44E2"/>
    <w:rsid w:val="00343214"/>
    <w:rsid w:val="00361C00"/>
    <w:rsid w:val="00392525"/>
    <w:rsid w:val="00395FA1"/>
    <w:rsid w:val="003E15D4"/>
    <w:rsid w:val="00411CCE"/>
    <w:rsid w:val="0041666E"/>
    <w:rsid w:val="00421060"/>
    <w:rsid w:val="00471C19"/>
    <w:rsid w:val="00486684"/>
    <w:rsid w:val="004867E3"/>
    <w:rsid w:val="00494A28"/>
    <w:rsid w:val="004C0004"/>
    <w:rsid w:val="004C5D52"/>
    <w:rsid w:val="004E334F"/>
    <w:rsid w:val="0050519A"/>
    <w:rsid w:val="005072A1"/>
    <w:rsid w:val="00514517"/>
    <w:rsid w:val="00545827"/>
    <w:rsid w:val="00560270"/>
    <w:rsid w:val="005C2568"/>
    <w:rsid w:val="005D4463"/>
    <w:rsid w:val="005F1B17"/>
    <w:rsid w:val="006037C0"/>
    <w:rsid w:val="006631B6"/>
    <w:rsid w:val="00680577"/>
    <w:rsid w:val="006F74FA"/>
    <w:rsid w:val="00714064"/>
    <w:rsid w:val="00731ADD"/>
    <w:rsid w:val="00734777"/>
    <w:rsid w:val="00747932"/>
    <w:rsid w:val="00751A4A"/>
    <w:rsid w:val="00756632"/>
    <w:rsid w:val="00762C74"/>
    <w:rsid w:val="00786EC0"/>
    <w:rsid w:val="007A4B4E"/>
    <w:rsid w:val="007B70D4"/>
    <w:rsid w:val="007D1690"/>
    <w:rsid w:val="007E22AD"/>
    <w:rsid w:val="00817416"/>
    <w:rsid w:val="00821D4E"/>
    <w:rsid w:val="00842779"/>
    <w:rsid w:val="00865F67"/>
    <w:rsid w:val="00881A7B"/>
    <w:rsid w:val="008840E5"/>
    <w:rsid w:val="00887B3E"/>
    <w:rsid w:val="008C2AC6"/>
    <w:rsid w:val="008E16E1"/>
    <w:rsid w:val="00930C23"/>
    <w:rsid w:val="0093193B"/>
    <w:rsid w:val="009509D8"/>
    <w:rsid w:val="00950B64"/>
    <w:rsid w:val="00981893"/>
    <w:rsid w:val="00A1687D"/>
    <w:rsid w:val="00A426EC"/>
    <w:rsid w:val="00A43E52"/>
    <w:rsid w:val="00A4678D"/>
    <w:rsid w:val="00A778C7"/>
    <w:rsid w:val="00AB441E"/>
    <w:rsid w:val="00AB6293"/>
    <w:rsid w:val="00AD7C62"/>
    <w:rsid w:val="00AE0928"/>
    <w:rsid w:val="00AF3B82"/>
    <w:rsid w:val="00B12E95"/>
    <w:rsid w:val="00B200CE"/>
    <w:rsid w:val="00B22876"/>
    <w:rsid w:val="00B5387D"/>
    <w:rsid w:val="00B558F0"/>
    <w:rsid w:val="00BD48FE"/>
    <w:rsid w:val="00BD7BD8"/>
    <w:rsid w:val="00BE6ADC"/>
    <w:rsid w:val="00C05BFE"/>
    <w:rsid w:val="00C23CD4"/>
    <w:rsid w:val="00C61C0C"/>
    <w:rsid w:val="00C941CB"/>
    <w:rsid w:val="00CC2357"/>
    <w:rsid w:val="00CF071A"/>
    <w:rsid w:val="00D058B8"/>
    <w:rsid w:val="00D45A2F"/>
    <w:rsid w:val="00D56C11"/>
    <w:rsid w:val="00D834A0"/>
    <w:rsid w:val="00D872DF"/>
    <w:rsid w:val="00D91E21"/>
    <w:rsid w:val="00DA7FCD"/>
    <w:rsid w:val="00DC4EA2"/>
    <w:rsid w:val="00E365E1"/>
    <w:rsid w:val="00E820A4"/>
    <w:rsid w:val="00EA5E0D"/>
    <w:rsid w:val="00EB006A"/>
    <w:rsid w:val="00EB4772"/>
    <w:rsid w:val="00EC49E0"/>
    <w:rsid w:val="00ED169E"/>
    <w:rsid w:val="00ED4235"/>
    <w:rsid w:val="00F04346"/>
    <w:rsid w:val="00F075DC"/>
    <w:rsid w:val="00F149E9"/>
    <w:rsid w:val="00F5134D"/>
    <w:rsid w:val="00F74202"/>
    <w:rsid w:val="00F8329E"/>
    <w:rsid w:val="00F87713"/>
    <w:rsid w:val="00FB4360"/>
    <w:rsid w:val="00FC1F4F"/>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2FAC83"/>
  <w15:chartTrackingRefBased/>
  <w15:docId w15:val="{4EC2932F-0DA4-4634-9A3E-88F27241D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8329E"/>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F8329E"/>
    <w:pPr>
      <w:keepNext/>
      <w:spacing w:after="480"/>
      <w:jc w:val="center"/>
    </w:pPr>
    <w:rPr>
      <w:rFonts w:ascii="Arial" w:hAnsi="Arial" w:cs="Arial"/>
      <w:b/>
    </w:rPr>
  </w:style>
  <w:style w:type="paragraph" w:customStyle="1" w:styleId="NormalHanging12a">
    <w:name w:val="NormalHanging12a"/>
    <w:basedOn w:val="Normal"/>
    <w:link w:val="NormalHanging12aChar"/>
    <w:rsid w:val="00F8329E"/>
    <w:pPr>
      <w:spacing w:after="240"/>
      <w:ind w:left="567" w:hanging="567"/>
    </w:pPr>
  </w:style>
  <w:style w:type="paragraph" w:styleId="Header">
    <w:name w:val="header"/>
    <w:basedOn w:val="Normal"/>
    <w:link w:val="HeaderChar"/>
    <w:rsid w:val="00F8329E"/>
    <w:pPr>
      <w:tabs>
        <w:tab w:val="center" w:pos="4513"/>
        <w:tab w:val="right" w:pos="9026"/>
      </w:tabs>
    </w:pPr>
  </w:style>
  <w:style w:type="character" w:customStyle="1" w:styleId="HeaderChar">
    <w:name w:val="Header Char"/>
    <w:basedOn w:val="DefaultParagraphFont"/>
    <w:link w:val="Header"/>
    <w:rsid w:val="00F8329E"/>
    <w:rPr>
      <w:sz w:val="24"/>
      <w:lang w:val="lt-LT"/>
    </w:rPr>
  </w:style>
  <w:style w:type="paragraph" w:customStyle="1" w:styleId="NormalBold24a">
    <w:name w:val="NormalBold24a"/>
    <w:basedOn w:val="Normal"/>
    <w:rsid w:val="00F8329E"/>
    <w:pPr>
      <w:spacing w:after="480"/>
    </w:pPr>
    <w:rPr>
      <w:b/>
      <w:bCs/>
    </w:rPr>
  </w:style>
  <w:style w:type="paragraph" w:customStyle="1" w:styleId="EPFooter">
    <w:name w:val="EPFooter"/>
    <w:basedOn w:val="Normal"/>
    <w:rsid w:val="00F8329E"/>
    <w:pPr>
      <w:tabs>
        <w:tab w:val="center" w:pos="4535"/>
        <w:tab w:val="right" w:pos="9071"/>
      </w:tabs>
      <w:spacing w:before="240" w:after="240"/>
    </w:pPr>
    <w:rPr>
      <w:color w:val="010000"/>
      <w:sz w:val="22"/>
    </w:rPr>
  </w:style>
  <w:style w:type="paragraph" w:customStyle="1" w:styleId="EPComma">
    <w:name w:val="EPComma"/>
    <w:basedOn w:val="Normal"/>
    <w:rsid w:val="00F8329E"/>
    <w:pPr>
      <w:spacing w:before="480" w:after="240"/>
    </w:pPr>
  </w:style>
  <w:style w:type="character" w:styleId="Hyperlink">
    <w:name w:val="Hyperlink"/>
    <w:basedOn w:val="DefaultParagraphFont"/>
    <w:rsid w:val="00F8329E"/>
    <w:rPr>
      <w:color w:val="0563C1" w:themeColor="hyperlink"/>
      <w:u w:val="single"/>
    </w:rPr>
  </w:style>
  <w:style w:type="paragraph" w:customStyle="1" w:styleId="Institutionquiagit">
    <w:name w:val="Institution qui agit"/>
    <w:basedOn w:val="Normal"/>
    <w:next w:val="Normal"/>
    <w:rsid w:val="00F8329E"/>
    <w:pPr>
      <w:keepNext/>
      <w:snapToGrid w:val="0"/>
      <w:spacing w:after="240"/>
    </w:pPr>
    <w:rPr>
      <w:i/>
      <w:lang w:eastAsia="en-US"/>
    </w:rPr>
  </w:style>
  <w:style w:type="paragraph" w:customStyle="1" w:styleId="Institutionquisigne">
    <w:name w:val="Institution qui signe"/>
    <w:basedOn w:val="Normal"/>
    <w:next w:val="Normal"/>
    <w:rsid w:val="00F8329E"/>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F8329E"/>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F8329E"/>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F8329E"/>
    <w:pPr>
      <w:keepNext/>
      <w:widowControl/>
      <w:spacing w:before="120" w:after="120"/>
      <w:jc w:val="both"/>
    </w:pPr>
    <w:rPr>
      <w:rFonts w:eastAsiaTheme="minorHAnsi"/>
      <w:szCs w:val="22"/>
      <w:lang w:eastAsia="en-US"/>
    </w:rPr>
  </w:style>
  <w:style w:type="paragraph" w:customStyle="1" w:styleId="ManualConsidrant">
    <w:name w:val="Manual Considérant"/>
    <w:basedOn w:val="Normal"/>
    <w:rsid w:val="00F8329E"/>
    <w:pPr>
      <w:widowControl/>
      <w:spacing w:before="120" w:after="120"/>
      <w:ind w:left="709" w:hanging="709"/>
      <w:jc w:val="both"/>
    </w:pPr>
    <w:rPr>
      <w:rFonts w:eastAsiaTheme="minorEastAsia"/>
      <w:szCs w:val="22"/>
      <w:lang w:eastAsia="en-US"/>
    </w:rPr>
  </w:style>
  <w:style w:type="paragraph" w:customStyle="1" w:styleId="Personnequisigne">
    <w:name w:val="Personne qui signe"/>
    <w:basedOn w:val="Normal"/>
    <w:next w:val="Institutionquisigne"/>
    <w:rsid w:val="00F8329E"/>
    <w:pPr>
      <w:widowControl/>
      <w:tabs>
        <w:tab w:val="left" w:pos="4252"/>
      </w:tabs>
    </w:pPr>
    <w:rPr>
      <w:rFonts w:eastAsiaTheme="minorHAnsi"/>
      <w:i/>
      <w:szCs w:val="22"/>
      <w:lang w:eastAsia="en-US"/>
    </w:rPr>
  </w:style>
  <w:style w:type="character" w:customStyle="1" w:styleId="NormalHanging12aChar">
    <w:name w:val="NormalHanging12a Char"/>
    <w:basedOn w:val="DefaultParagraphFont"/>
    <w:link w:val="NormalHanging12a"/>
    <w:locked/>
    <w:rsid w:val="00F8329E"/>
    <w:rPr>
      <w:sz w:val="24"/>
      <w:lang w:val="lt-LT"/>
    </w:rPr>
  </w:style>
  <w:style w:type="character" w:customStyle="1" w:styleId="PageHeadingChar">
    <w:name w:val="PageHeading Char"/>
    <w:basedOn w:val="DefaultParagraphFont"/>
    <w:link w:val="PageHeading"/>
    <w:rsid w:val="00F8329E"/>
    <w:rPr>
      <w:rFonts w:ascii="Arial" w:hAnsi="Arial" w:cs="Arial"/>
      <w:b/>
      <w:sz w:val="24"/>
      <w:lang w:val="lt-LT"/>
    </w:rPr>
  </w:style>
  <w:style w:type="paragraph" w:styleId="Revision">
    <w:name w:val="Revision"/>
    <w:hidden/>
    <w:uiPriority w:val="99"/>
    <w:semiHidden/>
    <w:rsid w:val="007A4B4E"/>
    <w:rPr>
      <w:sz w:val="24"/>
      <w:lang w:val="lt-LT"/>
    </w:rPr>
  </w:style>
  <w:style w:type="paragraph" w:styleId="Footer">
    <w:name w:val="footer"/>
    <w:basedOn w:val="Normal"/>
    <w:link w:val="FooterChar"/>
    <w:rsid w:val="007A4B4E"/>
    <w:pPr>
      <w:tabs>
        <w:tab w:val="center" w:pos="4513"/>
        <w:tab w:val="right" w:pos="9026"/>
      </w:tabs>
    </w:pPr>
  </w:style>
  <w:style w:type="character" w:customStyle="1" w:styleId="FooterChar">
    <w:name w:val="Footer Char"/>
    <w:basedOn w:val="DefaultParagraphFont"/>
    <w:link w:val="Footer"/>
    <w:rsid w:val="007A4B4E"/>
    <w:rPr>
      <w:sz w:val="24"/>
      <w:lang w:val="lt-LT"/>
    </w:rPr>
  </w:style>
  <w:style w:type="character" w:styleId="FollowedHyperlink">
    <w:name w:val="FollowedHyperlink"/>
    <w:basedOn w:val="DefaultParagraphFont"/>
    <w:rsid w:val="0071406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1166</Words>
  <Characters>8009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2025-10-06T12:18:00Z</cp:lastPrinted>
  <dcterms:created xsi:type="dcterms:W3CDTF">2025-12-15T09:06:00Z</dcterms:created>
  <dcterms:modified xsi:type="dcterms:W3CDTF">2025-12-15T09:06:00Z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P10_TA(2025)0220_</vt:lpwstr>
  </property>
  <property fmtid="{D5CDD505-2E9C-101B-9397-08002B2CF9AE}" pid="4" name="&lt;Type&gt;">
    <vt:lpwstr>RR</vt:lpwstr>
  </property>
</Properties>
</file>