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4AAF" w14:paraId="668E4FF5" w14:textId="77777777" w:rsidTr="0010095E">
        <w:trPr>
          <w:trHeight w:hRule="exact" w:val="1418"/>
        </w:trPr>
        <w:tc>
          <w:tcPr>
            <w:tcW w:w="6804" w:type="dxa"/>
            <w:shd w:val="clear" w:color="auto" w:fill="auto"/>
            <w:vAlign w:val="center"/>
          </w:tcPr>
          <w:p w14:paraId="49CE06B3" w14:textId="77777777" w:rsidR="00751A4A" w:rsidRPr="00F14AAF" w:rsidRDefault="00C456F5" w:rsidP="0010095E">
            <w:pPr>
              <w:pStyle w:val="EPName"/>
            </w:pPr>
            <w:r w:rsidRPr="00F14AAF">
              <w:t>Eiropas Parlaments</w:t>
            </w:r>
          </w:p>
          <w:p w14:paraId="7FE3E2A8" w14:textId="77777777" w:rsidR="00751A4A" w:rsidRPr="00F14AAF" w:rsidRDefault="005F1B17" w:rsidP="005F1B17">
            <w:pPr>
              <w:pStyle w:val="EPTerm"/>
              <w:rPr>
                <w:rStyle w:val="HideTWBExt"/>
                <w:noProof w:val="0"/>
                <w:vanish w:val="0"/>
                <w:color w:val="auto"/>
              </w:rPr>
            </w:pPr>
            <w:r w:rsidRPr="00F14AAF">
              <w:t>2024</w:t>
            </w:r>
            <w:r w:rsidR="00817416" w:rsidRPr="00F14AAF">
              <w:t>-202</w:t>
            </w:r>
            <w:r w:rsidRPr="00F14AAF">
              <w:t>9</w:t>
            </w:r>
          </w:p>
        </w:tc>
        <w:tc>
          <w:tcPr>
            <w:tcW w:w="2268" w:type="dxa"/>
            <w:shd w:val="clear" w:color="auto" w:fill="auto"/>
          </w:tcPr>
          <w:p w14:paraId="647B3ADE" w14:textId="77777777" w:rsidR="00751A4A" w:rsidRPr="00F14AAF" w:rsidRDefault="00187494" w:rsidP="0010095E">
            <w:pPr>
              <w:pStyle w:val="EPLogo"/>
            </w:pPr>
            <w:r w:rsidRPr="00F14AAF">
              <w:rPr>
                <w:noProof/>
                <w:lang w:eastAsia="ja-JP"/>
              </w:rPr>
              <w:drawing>
                <wp:inline distT="0" distB="0" distL="0" distR="0" wp14:anchorId="3CE478DB" wp14:editId="23FD32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9E46C3" w14:textId="77777777" w:rsidR="00D058B8" w:rsidRPr="00F14AAF" w:rsidRDefault="00D058B8" w:rsidP="004C5D52">
      <w:pPr>
        <w:pStyle w:val="LineTop"/>
      </w:pPr>
    </w:p>
    <w:p w14:paraId="5F0DA218" w14:textId="77777777" w:rsidR="00680577" w:rsidRPr="00F14AAF" w:rsidRDefault="00C456F5" w:rsidP="00680577">
      <w:pPr>
        <w:pStyle w:val="EPBodyTA1"/>
      </w:pPr>
      <w:r w:rsidRPr="00F14AAF">
        <w:t>PIEŅEMTIE TEKSTI</w:t>
      </w:r>
    </w:p>
    <w:p w14:paraId="29106B48" w14:textId="77777777" w:rsidR="00D058B8" w:rsidRPr="00F14AAF" w:rsidRDefault="00D058B8" w:rsidP="00D058B8">
      <w:pPr>
        <w:pStyle w:val="LineBottom"/>
      </w:pPr>
    </w:p>
    <w:p w14:paraId="75F06698" w14:textId="56650823" w:rsidR="00C456F5" w:rsidRPr="00F14AAF" w:rsidRDefault="00C456F5" w:rsidP="00C456F5">
      <w:pPr>
        <w:pStyle w:val="ATHeading1"/>
      </w:pPr>
      <w:bookmarkStart w:id="0" w:name="TANumber"/>
      <w:r w:rsidRPr="00F14AAF">
        <w:t>P10_TA(2025)</w:t>
      </w:r>
      <w:bookmarkEnd w:id="0"/>
      <w:r w:rsidR="00F14AAF" w:rsidRPr="00F14AAF">
        <w:t>0220</w:t>
      </w:r>
    </w:p>
    <w:p w14:paraId="229CD353" w14:textId="77777777" w:rsidR="00C456F5" w:rsidRPr="00F14AAF" w:rsidRDefault="00C456F5" w:rsidP="00C456F5">
      <w:pPr>
        <w:pStyle w:val="ATHeading2"/>
      </w:pPr>
      <w:bookmarkStart w:id="1" w:name="title"/>
      <w:r w:rsidRPr="00F14AAF">
        <w:t>Eiropas Globalizācijas pielāgošanās fonda izmantošana: Beļģijas pieteikums EGF/2025/001 BE/</w:t>
      </w:r>
      <w:proofErr w:type="spellStart"/>
      <w:r w:rsidRPr="00F14AAF">
        <w:rPr>
          <w:i/>
          <w:iCs/>
        </w:rPr>
        <w:t>BelGaN</w:t>
      </w:r>
      <w:bookmarkEnd w:id="1"/>
      <w:proofErr w:type="spellEnd"/>
    </w:p>
    <w:p w14:paraId="7563E599" w14:textId="77777777" w:rsidR="00C456F5" w:rsidRPr="00F14AAF" w:rsidRDefault="00C456F5" w:rsidP="00C456F5">
      <w:pPr>
        <w:rPr>
          <w:i/>
          <w:vanish/>
        </w:rPr>
      </w:pPr>
      <w:r w:rsidRPr="00F14AAF">
        <w:rPr>
          <w:i/>
        </w:rPr>
        <w:fldChar w:fldCharType="begin"/>
      </w:r>
      <w:r w:rsidRPr="00F14AAF">
        <w:rPr>
          <w:i/>
        </w:rPr>
        <w:instrText xml:space="preserve"> TC"(</w:instrText>
      </w:r>
      <w:bookmarkStart w:id="2" w:name="DocNumber"/>
      <w:r w:rsidRPr="00F14AAF">
        <w:rPr>
          <w:i/>
        </w:rPr>
        <w:instrText>A10-0163/2025</w:instrText>
      </w:r>
      <w:bookmarkEnd w:id="2"/>
      <w:r w:rsidRPr="00F14AAF">
        <w:rPr>
          <w:i/>
        </w:rPr>
        <w:instrText xml:space="preserve"> - Referents: Bogdan Rzońca)"\l3 \n&gt; \* MERGEFORMAT </w:instrText>
      </w:r>
      <w:r w:rsidRPr="00F14AAF">
        <w:rPr>
          <w:i/>
        </w:rPr>
        <w:fldChar w:fldCharType="end"/>
      </w:r>
    </w:p>
    <w:p w14:paraId="146C259B" w14:textId="77777777" w:rsidR="00C456F5" w:rsidRPr="00F14AAF" w:rsidRDefault="00C456F5" w:rsidP="00C456F5">
      <w:pPr>
        <w:rPr>
          <w:vanish/>
        </w:rPr>
      </w:pPr>
      <w:bookmarkStart w:id="3" w:name="Commission"/>
      <w:r w:rsidRPr="00F14AAF">
        <w:rPr>
          <w:vanish/>
        </w:rPr>
        <w:t>Budžeta komiteja</w:t>
      </w:r>
      <w:bookmarkEnd w:id="3"/>
    </w:p>
    <w:p w14:paraId="13EB6B13" w14:textId="77777777" w:rsidR="00C456F5" w:rsidRPr="00F14AAF" w:rsidRDefault="00C456F5" w:rsidP="00C456F5">
      <w:pPr>
        <w:rPr>
          <w:vanish/>
        </w:rPr>
      </w:pPr>
      <w:bookmarkStart w:id="4" w:name="PE"/>
      <w:r w:rsidRPr="00F14AAF">
        <w:rPr>
          <w:vanish/>
        </w:rPr>
        <w:t>PE776.825</w:t>
      </w:r>
      <w:bookmarkEnd w:id="4"/>
    </w:p>
    <w:p w14:paraId="4977817B" w14:textId="5D4FC000" w:rsidR="00C456F5" w:rsidRPr="00F14AAF" w:rsidRDefault="00C456F5" w:rsidP="00C456F5">
      <w:pPr>
        <w:pStyle w:val="ATHeading3"/>
      </w:pPr>
      <w:bookmarkStart w:id="5" w:name="Sujet"/>
      <w:r w:rsidRPr="00F14AAF">
        <w:t xml:space="preserve">Eiropas Parlamenta 2025. gada </w:t>
      </w:r>
      <w:r w:rsidR="0036641D" w:rsidRPr="00F14AAF">
        <w:t>8</w:t>
      </w:r>
      <w:r w:rsidRPr="00F14AAF">
        <w:t xml:space="preserve">. </w:t>
      </w:r>
      <w:r w:rsidR="0036641D" w:rsidRPr="00F14AAF">
        <w:t>oktobra</w:t>
      </w:r>
      <w:r w:rsidRPr="00F14AAF">
        <w:t xml:space="preserve"> rezolūcija par priekšlikumu Eiropas Parlamenta un Padomes lēmumam par Eiropas Globalizācijas pielāgošanās fonda darbu zaudējušiem darba ņēmējiem izmantošanu saistībā ar Beļģijas iesniegto pieteikumu (EGF/2025/001 BE/</w:t>
      </w:r>
      <w:proofErr w:type="spellStart"/>
      <w:r w:rsidRPr="00F14AAF">
        <w:rPr>
          <w:i/>
          <w:iCs/>
        </w:rPr>
        <w:t>BelGaN</w:t>
      </w:r>
      <w:proofErr w:type="spellEnd"/>
      <w:r w:rsidRPr="00F14AAF">
        <w:t>)</w:t>
      </w:r>
      <w:bookmarkEnd w:id="5"/>
      <w:r w:rsidRPr="00F14AAF">
        <w:t xml:space="preserve"> </w:t>
      </w:r>
      <w:bookmarkStart w:id="6" w:name="References"/>
      <w:r w:rsidRPr="00F14AAF">
        <w:t>(COM(2025)0157 – C10-0188/2025 – 2025/0198(BUD))</w:t>
      </w:r>
      <w:bookmarkEnd w:id="6"/>
    </w:p>
    <w:p w14:paraId="3940D7D8" w14:textId="77777777" w:rsidR="00FC1A51" w:rsidRPr="00F14AAF" w:rsidRDefault="00FC1A51" w:rsidP="00FC1A51">
      <w:pPr>
        <w:pStyle w:val="EPComma"/>
        <w:rPr>
          <w:noProof/>
        </w:rPr>
      </w:pPr>
      <w:r w:rsidRPr="00F14AAF">
        <w:rPr>
          <w:i/>
        </w:rPr>
        <w:t>Eiropas Parlaments</w:t>
      </w:r>
      <w:r w:rsidRPr="00F14AAF">
        <w:t>,</w:t>
      </w:r>
    </w:p>
    <w:p w14:paraId="07A55AE1" w14:textId="77777777" w:rsidR="00FC1A51" w:rsidRPr="00F14AAF" w:rsidRDefault="00FC1A51" w:rsidP="00FC1A51">
      <w:pPr>
        <w:pStyle w:val="NormalHanging12a"/>
        <w:rPr>
          <w:noProof/>
        </w:rPr>
      </w:pPr>
      <w:r w:rsidRPr="00F14AAF">
        <w:t>–</w:t>
      </w:r>
      <w:r w:rsidRPr="00F14AAF">
        <w:tab/>
        <w:t>ņemot vērā Komisijas priekšlikumu Eiropas Parlamentam un Padomei (COM(2025)0157 – C10</w:t>
      </w:r>
      <w:r w:rsidRPr="00F14AAF">
        <w:noBreakHyphen/>
        <w:t>0188/2025),</w:t>
      </w:r>
    </w:p>
    <w:p w14:paraId="6D9C224F" w14:textId="77777777" w:rsidR="00FC1A51" w:rsidRPr="00F14AAF" w:rsidRDefault="00FC1A51" w:rsidP="00FC1A51">
      <w:pPr>
        <w:pStyle w:val="NormalHanging12a"/>
        <w:rPr>
          <w:noProof/>
        </w:rPr>
      </w:pPr>
      <w:r w:rsidRPr="00F14AAF">
        <w:t>–</w:t>
      </w:r>
      <w:r w:rsidRPr="00F14AAF">
        <w:tab/>
        <w:t>ņemot vērā Eiropas Parlamenta un Padomes 2021. gada 28. aprīļa Regulu (ES) 2021/691 par Eiropas Globalizācijas pielāgošanās fondu darbu zaudējušiem darba ņēmējiem (EGF) un ar ko atceļ Regulu (ES) Nr. 1309/2013</w:t>
      </w:r>
      <w:r w:rsidRPr="00F14AAF">
        <w:rPr>
          <w:rStyle w:val="FootnoteReference"/>
        </w:rPr>
        <w:footnoteReference w:id="1"/>
      </w:r>
      <w:r w:rsidRPr="00F14AAF">
        <w:t xml:space="preserve"> (“EGF regula”),</w:t>
      </w:r>
    </w:p>
    <w:p w14:paraId="19DD0FDC" w14:textId="77777777" w:rsidR="00FC1A51" w:rsidRPr="00F14AAF" w:rsidRDefault="00FC1A51" w:rsidP="00FC1A51">
      <w:pPr>
        <w:pStyle w:val="NormalHanging12a"/>
        <w:rPr>
          <w:noProof/>
        </w:rPr>
      </w:pPr>
      <w:r w:rsidRPr="00F14AAF">
        <w:t>–</w:t>
      </w:r>
      <w:r w:rsidRPr="00F14AAF">
        <w:tab/>
        <w:t xml:space="preserve">ņemot vērā Padomes 2020. gada 17. decembra Regulu (ES, </w:t>
      </w:r>
      <w:r w:rsidRPr="00F14AAF">
        <w:rPr>
          <w:i/>
        </w:rPr>
        <w:t>Euratom</w:t>
      </w:r>
      <w:r w:rsidRPr="00F14AAF">
        <w:t>) 2020/2093, ar ko nosaka daudzgadu finanšu shēmu 2021.–2027. gadam</w:t>
      </w:r>
      <w:r w:rsidRPr="00F14AAF">
        <w:rPr>
          <w:rStyle w:val="FootnoteReference"/>
          <w:noProof/>
        </w:rPr>
        <w:footnoteReference w:id="2"/>
      </w:r>
      <w:r w:rsidRPr="00F14AAF">
        <w:t xml:space="preserve">, kurā izdarīti grozījumi ar Regulu (ES, </w:t>
      </w:r>
      <w:r w:rsidRPr="00F14AAF">
        <w:rPr>
          <w:i/>
        </w:rPr>
        <w:t>Euratom</w:t>
      </w:r>
      <w:r w:rsidRPr="00F14AAF">
        <w:t>) 2024/765</w:t>
      </w:r>
      <w:r w:rsidRPr="00F14AAF">
        <w:rPr>
          <w:rStyle w:val="FootnoteReference"/>
          <w:noProof/>
        </w:rPr>
        <w:footnoteReference w:id="3"/>
      </w:r>
      <w:r w:rsidRPr="00F14AAF">
        <w:t>, un jo īpaši tās 8. pantu,</w:t>
      </w:r>
    </w:p>
    <w:p w14:paraId="50B638C6" w14:textId="77777777" w:rsidR="00FC1A51" w:rsidRPr="00F14AAF" w:rsidRDefault="00FC1A51" w:rsidP="00FC1A51">
      <w:pPr>
        <w:pStyle w:val="NormalHanging12a"/>
        <w:rPr>
          <w:noProof/>
        </w:rPr>
      </w:pPr>
      <w:r w:rsidRPr="00F14AAF">
        <w:t>–</w:t>
      </w:r>
      <w:r w:rsidRPr="00F14AAF">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F14AAF">
        <w:rPr>
          <w:rStyle w:val="FootnoteReference"/>
          <w:noProof/>
        </w:rPr>
        <w:footnoteReference w:id="4"/>
      </w:r>
      <w:r w:rsidRPr="00F14AAF">
        <w:t>, un jo īpaši tā 12. punktu,</w:t>
      </w:r>
    </w:p>
    <w:p w14:paraId="79ACD333" w14:textId="77777777" w:rsidR="00FC1A51" w:rsidRPr="00F14AAF" w:rsidRDefault="00FC1A51" w:rsidP="00FC1A51">
      <w:pPr>
        <w:pStyle w:val="NormalHanging12a"/>
        <w:rPr>
          <w:noProof/>
        </w:rPr>
      </w:pPr>
      <w:r w:rsidRPr="00F14AAF">
        <w:t>–</w:t>
      </w:r>
      <w:r w:rsidRPr="00F14AAF">
        <w:tab/>
        <w:t>ņemot vērā Nodarbinātības un sociālo lietu komitejas atzinumu,</w:t>
      </w:r>
    </w:p>
    <w:p w14:paraId="762F5278" w14:textId="77777777" w:rsidR="00FC1A51" w:rsidRPr="00F14AAF" w:rsidRDefault="00FC1A51" w:rsidP="00FC1A51">
      <w:pPr>
        <w:pStyle w:val="NormalHanging12a"/>
      </w:pPr>
      <w:r w:rsidRPr="00F14AAF">
        <w:t>–</w:t>
      </w:r>
      <w:r w:rsidRPr="00F14AAF">
        <w:tab/>
        <w:t>ņemot vērā Budžeta komitejas ziņojumu (A10-0163/2025),</w:t>
      </w:r>
    </w:p>
    <w:p w14:paraId="107BCB0B" w14:textId="77777777" w:rsidR="00FC1A51" w:rsidRPr="00F14AAF" w:rsidRDefault="00FC1A51" w:rsidP="00FC1A51">
      <w:pPr>
        <w:pStyle w:val="NormalHanging12a"/>
        <w:rPr>
          <w:noProof/>
        </w:rPr>
      </w:pPr>
      <w:r w:rsidRPr="00F14AAF">
        <w:lastRenderedPageBreak/>
        <w:t>A.</w:t>
      </w:r>
      <w:r w:rsidRPr="00F14AAF">
        <w:tab/>
        <w:t>tā kā Savienība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14:paraId="78292BCD" w14:textId="437FD6B3" w:rsidR="00FC1A51" w:rsidRPr="00F14AAF" w:rsidRDefault="00FC1A51" w:rsidP="00FC1A51">
      <w:pPr>
        <w:pStyle w:val="NormalHanging12a"/>
        <w:rPr>
          <w:noProof/>
        </w:rPr>
      </w:pPr>
      <w:r w:rsidRPr="00F14AAF">
        <w:t>B.</w:t>
      </w:r>
      <w:r w:rsidRPr="00F14AAF">
        <w:tab/>
        <w:t>tā kā Beļģija ir iesniegusi pieteikumu EGF/2025/001 BE/</w:t>
      </w:r>
      <w:proofErr w:type="spellStart"/>
      <w:r w:rsidRPr="00F14AAF">
        <w:rPr>
          <w:i/>
        </w:rPr>
        <w:t>BelGaN</w:t>
      </w:r>
      <w:proofErr w:type="spellEnd"/>
      <w:r w:rsidRPr="00F14AAF">
        <w:t>, lai saņemtu finansiālu iemaksu no Eiropas Globalizācijas pielāgošanās fonda (EGF) saistībā ar to, ka četru</w:t>
      </w:r>
      <w:r w:rsidR="0036641D" w:rsidRPr="00F14AAF">
        <w:t> </w:t>
      </w:r>
      <w:r w:rsidRPr="00F14AAF">
        <w:t xml:space="preserve">mēnešu atsauces periodā, kas attiecas uz pieteikumu, no 2024. gada 31. jūlija līdz 2024. gada 30. novembrim </w:t>
      </w:r>
      <w:proofErr w:type="spellStart"/>
      <w:r w:rsidRPr="00F14AAF">
        <w:t>Austrumflandrijas</w:t>
      </w:r>
      <w:proofErr w:type="spellEnd"/>
      <w:r w:rsidRPr="00F14AAF">
        <w:t xml:space="preserve"> provinces reģionā (BE23) darbu ir zaudējuši 417 darba ņēmēji saimnieciskās darbības nozarē, kas klasificēta NACE 2. redakcijas 26. nodaļā (Datoru, elektronisko un optisko iekārtu ražošana); </w:t>
      </w:r>
    </w:p>
    <w:p w14:paraId="5E824A43" w14:textId="6EA497D5" w:rsidR="00FC1A51" w:rsidRPr="00F14AAF" w:rsidRDefault="00FC1A51" w:rsidP="00FC1A51">
      <w:pPr>
        <w:pStyle w:val="NormalHanging12a"/>
        <w:rPr>
          <w:noProof/>
        </w:rPr>
      </w:pPr>
      <w:r w:rsidRPr="00F14AAF">
        <w:t>C.</w:t>
      </w:r>
      <w:r w:rsidRPr="00F14AAF">
        <w:tab/>
        <w:t>tā kā pieteikums pamatojas uz intervences kritērijiem EGF regulas 4. panta 2. punkta a) apakšpunktā, kurā paredzēts nosacījums, ka četru</w:t>
      </w:r>
      <w:r w:rsidR="0036641D" w:rsidRPr="00F14AAF">
        <w:t xml:space="preserve"> </w:t>
      </w:r>
      <w:r w:rsidRPr="00F14AAF">
        <w:t xml:space="preserve">mēnešu atsauces periodā darbu ir zaudējuši vismaz 200 darba ņēmējiem kādā dalībvalsts uzņēmumā vai </w:t>
      </w:r>
      <w:proofErr w:type="spellStart"/>
      <w:r w:rsidRPr="00F14AAF">
        <w:t>pašnodarbinātas</w:t>
      </w:r>
      <w:proofErr w:type="spellEnd"/>
      <w:r w:rsidRPr="00F14AAF">
        <w:t xml:space="preserve"> personas, ieskaitot darbu zaudējušus darba ņēmējus attiecīgajos piegādes uzņēmumos un pakārtotās ražošanas uzņēmumos;</w:t>
      </w:r>
    </w:p>
    <w:p w14:paraId="4767D0AB" w14:textId="2F6E2680" w:rsidR="00FC1A51" w:rsidRPr="00F14AAF" w:rsidRDefault="00FC1A51" w:rsidP="00FC1A51">
      <w:pPr>
        <w:pStyle w:val="NormalHanging12a"/>
        <w:rPr>
          <w:noProof/>
        </w:rPr>
      </w:pPr>
      <w:bookmarkStart w:id="7" w:name="_Hlk207698597"/>
      <w:r w:rsidRPr="00F14AAF">
        <w:t>D.</w:t>
      </w:r>
      <w:r w:rsidRPr="00F14AAF">
        <w:tab/>
        <w:t xml:space="preserve">tā kā Krievijas agresijas karš pret Ukrainu un pieaugošā inflācija ir ietekmējuši enerģijas, materiālu un darbaspēka izmaksas, palielinot spiedienu uz </w:t>
      </w:r>
      <w:proofErr w:type="spellStart"/>
      <w:r w:rsidR="0036641D" w:rsidRPr="00F14AAF">
        <w:rPr>
          <w:i/>
        </w:rPr>
        <w:t>BelGaN</w:t>
      </w:r>
      <w:proofErr w:type="spellEnd"/>
      <w:r w:rsidRPr="00F14AAF">
        <w:t xml:space="preserve"> peļņu;</w:t>
      </w:r>
    </w:p>
    <w:bookmarkEnd w:id="7"/>
    <w:p w14:paraId="74BD1246" w14:textId="3A73B41B" w:rsidR="00FC1A51" w:rsidRPr="00F14AAF" w:rsidRDefault="00FC1A51" w:rsidP="00FC1A51">
      <w:pPr>
        <w:pStyle w:val="NormalHanging12a"/>
        <w:rPr>
          <w:noProof/>
        </w:rPr>
      </w:pPr>
      <w:r w:rsidRPr="00F14AAF">
        <w:t>E.</w:t>
      </w:r>
      <w:r w:rsidRPr="00F14AAF">
        <w:tab/>
        <w:t xml:space="preserve">tā kā </w:t>
      </w:r>
      <w:proofErr w:type="spellStart"/>
      <w:r w:rsidRPr="00F14AAF">
        <w:rPr>
          <w:i/>
        </w:rPr>
        <w:t>BelGaN</w:t>
      </w:r>
      <w:proofErr w:type="spellEnd"/>
      <w:r w:rsidRPr="00F14AAF">
        <w:t xml:space="preserve"> specializējās pusvadītāju ražošanā autobūves nozarei; tā kā Eiropas autobūves un piegādes nozare saskaras ar līdz šim nepieredzētu spiedienu, ko rada gan ārēji, gan iekšēji pārbaudījumi, piemēram, konkurences izkropļojumi un augsta enerģijas cena;</w:t>
      </w:r>
    </w:p>
    <w:p w14:paraId="147305B0" w14:textId="77777777" w:rsidR="00FC1A51" w:rsidRPr="00F14AAF" w:rsidRDefault="00FC1A51" w:rsidP="00FC1A51">
      <w:pPr>
        <w:pStyle w:val="NormalHanging12a"/>
        <w:rPr>
          <w:noProof/>
        </w:rPr>
      </w:pPr>
      <w:r w:rsidRPr="00F14AAF">
        <w:t>F.</w:t>
      </w:r>
      <w:r w:rsidRPr="00F14AAF">
        <w:tab/>
        <w:t>tā kā uzņēmuma rentabilitāte ievērojami kritās ierobežotās naudas plūsmas dēļ, ko izraisīja pāreja no silīcija mikroshēmām uz gallija nitrīda (</w:t>
      </w:r>
      <w:proofErr w:type="spellStart"/>
      <w:r w:rsidRPr="00F14AAF">
        <w:t>GaN</w:t>
      </w:r>
      <w:proofErr w:type="spellEnd"/>
      <w:r w:rsidRPr="00F14AAF">
        <w:t xml:space="preserve">) tehnoloģiju, kuru kavēja augstās ražošanas izmaksas un nepietiekamas investīcijas pārejas periodā; </w:t>
      </w:r>
    </w:p>
    <w:p w14:paraId="1BADE6F7" w14:textId="77777777" w:rsidR="00FC1A51" w:rsidRPr="00F14AAF" w:rsidRDefault="00FC1A51" w:rsidP="00FC1A51">
      <w:pPr>
        <w:pStyle w:val="NormalHanging12a"/>
        <w:rPr>
          <w:noProof/>
        </w:rPr>
      </w:pPr>
      <w:r w:rsidRPr="00F14AAF">
        <w:t>G.</w:t>
      </w:r>
      <w:r w:rsidRPr="00F14AAF">
        <w:tab/>
        <w:t xml:space="preserve">tā kā </w:t>
      </w:r>
      <w:proofErr w:type="spellStart"/>
      <w:r w:rsidRPr="00F14AAF">
        <w:rPr>
          <w:i/>
        </w:rPr>
        <w:t>BelGaN</w:t>
      </w:r>
      <w:proofErr w:type="spellEnd"/>
      <w:r w:rsidRPr="00F14AAF">
        <w:t xml:space="preserve"> 2024. gada 30. jūlijā iesniedza bankrota pieteikumu;</w:t>
      </w:r>
    </w:p>
    <w:p w14:paraId="798243C8" w14:textId="77777777" w:rsidR="00FC1A51" w:rsidRPr="00F14AAF" w:rsidRDefault="00FC1A51" w:rsidP="00FC1A51">
      <w:pPr>
        <w:pStyle w:val="NormalHanging12a"/>
        <w:rPr>
          <w:noProof/>
        </w:rPr>
      </w:pPr>
      <w:r w:rsidRPr="00F14AAF">
        <w:t>H.</w:t>
      </w:r>
      <w:r w:rsidRPr="00F14AAF">
        <w:tab/>
        <w:t>tā kā Flandrijas nodarbinātības dienesti (</w:t>
      </w:r>
      <w:r w:rsidRPr="00F14AAF">
        <w:rPr>
          <w:i/>
        </w:rPr>
        <w:t>VDAB</w:t>
      </w:r>
      <w:r w:rsidRPr="00F14AAF">
        <w:rPr>
          <w:rStyle w:val="FootnoteReference"/>
          <w:noProof/>
        </w:rPr>
        <w:footnoteReference w:id="5"/>
      </w:r>
      <w:r w:rsidRPr="00F14AAF">
        <w:t xml:space="preserve">) nodrošina valsts </w:t>
      </w:r>
      <w:proofErr w:type="spellStart"/>
      <w:r w:rsidRPr="00F14AAF">
        <w:t>priekšfinansējumu</w:t>
      </w:r>
      <w:proofErr w:type="spellEnd"/>
      <w:r w:rsidRPr="00F14AAF">
        <w:t xml:space="preserve"> un līdzfinansējumu pasākumiem;</w:t>
      </w:r>
    </w:p>
    <w:p w14:paraId="156F3663" w14:textId="77777777" w:rsidR="00FC1A51" w:rsidRPr="00F14AAF" w:rsidRDefault="00FC1A51" w:rsidP="00FC1A51">
      <w:pPr>
        <w:pStyle w:val="NormalHanging12a"/>
        <w:rPr>
          <w:noProof/>
        </w:rPr>
      </w:pPr>
      <w:r w:rsidRPr="00F14AAF">
        <w:t>I.</w:t>
      </w:r>
      <w:r w:rsidRPr="00F14AAF">
        <w:tab/>
        <w:t xml:space="preserve">tā kā uzņēmums saskaņā ar Beļģijas tiesību aktiem ievēroja obligāto procedūru darbinieku pārstāvju informēšanai un konsultēšanai; tā kā prasība izveidot nodarbinātības vienību, kuras mērķis ir kolektīvās atlaišanas gadījumā atlaistajiem darbiniekiem sniegt profesionālās pārejas pakalpojumus, nav piemērojama bankrota gadījumā, tādēļ pārcelšanas pakalpojumus sniedza </w:t>
      </w:r>
      <w:r w:rsidRPr="00F14AAF">
        <w:rPr>
          <w:i/>
        </w:rPr>
        <w:t>VDAB</w:t>
      </w:r>
      <w:r w:rsidRPr="00F14AAF">
        <w:t xml:space="preserve">; </w:t>
      </w:r>
    </w:p>
    <w:p w14:paraId="668628A3" w14:textId="77777777" w:rsidR="00FC1A51" w:rsidRPr="00F14AAF" w:rsidRDefault="00FC1A51" w:rsidP="00FC1A51">
      <w:pPr>
        <w:pStyle w:val="NormalHanging12a"/>
        <w:rPr>
          <w:noProof/>
        </w:rPr>
      </w:pPr>
      <w:r w:rsidRPr="00F14AAF">
        <w:t>J.</w:t>
      </w:r>
      <w:r w:rsidRPr="00F14AAF">
        <w:tab/>
        <w:t>tā kā EGF finansiālās iemaksas galvenokārt būtu jānovirza aktīviem darba tirgus politikas pasākumiem un individualizētiem pakalpojumiem, kuru mērķis ir ātri no jauna integrēt atbalsta saņēmējus pienācīgā un ilgtspējīgā nodarbinātībā viņu sākotnējās nodarbinātības nozarē vai ārpus tās, vienlaikus sagatavojot tos zaļākai un digitālākai Eiropas ekonomikai;</w:t>
      </w:r>
    </w:p>
    <w:p w14:paraId="43D1E9A7" w14:textId="77777777" w:rsidR="00FC1A51" w:rsidRPr="00F14AAF" w:rsidRDefault="00FC1A51" w:rsidP="00FC1A51">
      <w:pPr>
        <w:pStyle w:val="NormalHanging12a"/>
        <w:rPr>
          <w:noProof/>
        </w:rPr>
      </w:pPr>
      <w:r w:rsidRPr="00F14AAF">
        <w:t>K.</w:t>
      </w:r>
      <w:r w:rsidRPr="00F14AAF">
        <w:tab/>
        <w:t xml:space="preserve">tā kā EGF maksimālais gada apjoms nedrīkst pārsniegt 30 miljonus EUR (2018. gada cenās), kā noteikts 8. pantā Regulā (ES, </w:t>
      </w:r>
      <w:r w:rsidRPr="00F14AAF">
        <w:rPr>
          <w:i/>
        </w:rPr>
        <w:t>Euratom</w:t>
      </w:r>
      <w:r w:rsidRPr="00F14AAF">
        <w:t xml:space="preserve">) 2020/2093, kas grozīta ar Regulu </w:t>
      </w:r>
      <w:r w:rsidRPr="00F14AAF">
        <w:lastRenderedPageBreak/>
        <w:t xml:space="preserve">(ES, </w:t>
      </w:r>
      <w:r w:rsidRPr="00F14AAF">
        <w:rPr>
          <w:i/>
        </w:rPr>
        <w:t>Euratom</w:t>
      </w:r>
      <w:r w:rsidRPr="00F14AAF">
        <w:t>) 2024/765;</w:t>
      </w:r>
    </w:p>
    <w:p w14:paraId="28844C0E" w14:textId="77777777" w:rsidR="00FC1A51" w:rsidRPr="00F14AAF" w:rsidRDefault="00FC1A51" w:rsidP="00FC1A51">
      <w:pPr>
        <w:pStyle w:val="NormalHanging12a"/>
        <w:rPr>
          <w:noProof/>
        </w:rPr>
      </w:pPr>
      <w:r w:rsidRPr="00F14AAF">
        <w:t>1.</w:t>
      </w:r>
      <w:r w:rsidRPr="00F14AAF">
        <w:tab/>
        <w:t>piekrīt Komisijai, ka EGF regulas 4. panta 2. punkta a) apakšpunktā paredzētie nosacījumi ir ievēroti un ka Beļģija saskaņā ar minēto regulu ir tiesīga saņemt finansiālu iemaksu 931 690 EUR apmērā, kas ir 85 % no kopējām izmaksām, proti, 1 096 107 EUR, kuras aptver izdevumus par individualizētajiem pakalpojumiem 1 052 607 EUR apmērā un izdevumus par sagatavošanās, pārvaldības, informācijas un reklāmas, kontroles un ziņošanas pasākumiem 43 500 EUR apmērā;</w:t>
      </w:r>
    </w:p>
    <w:p w14:paraId="76666EDA" w14:textId="77777777" w:rsidR="00FC1A51" w:rsidRPr="00F14AAF" w:rsidRDefault="00FC1A51" w:rsidP="00FC1A51">
      <w:pPr>
        <w:pStyle w:val="NormalHanging12a"/>
        <w:rPr>
          <w:noProof/>
        </w:rPr>
      </w:pPr>
      <w:r w:rsidRPr="00F14AAF">
        <w:t xml:space="preserve">2. </w:t>
      </w:r>
      <w:r w:rsidRPr="00F14AAF">
        <w:tab/>
        <w:t>norāda, ka Beļģijas iestādes pieteikumu iesniedza 2025. gada 21. februārī un pēc tam, kad Beļģija bija sniegusi papildu informāciju, Komisija pieteikuma novērtēšanu pabeidza 2025. gada 7. jūlijā – gandrīz piecus mēnešus vēlāk – un 2025. gada 26. augustā par to paziņoja Parlamentam; uzsver, ka ir svarīgi samazināt laiku starp EGF atbalsta pieteikuma iesniegšanu un finansēšanas lēmumu; uzsver nepieciešamību vienkāršot un paātrināt iekšējās procedūras, neapdraudot institucionālo līdzsvaru, jo īpaši Eiropas Parlamenta kā budžeta lēmējinstitūcijas tiesības;</w:t>
      </w:r>
    </w:p>
    <w:p w14:paraId="52B7A31F" w14:textId="77777777" w:rsidR="00FC1A51" w:rsidRPr="00F14AAF" w:rsidRDefault="00FC1A51" w:rsidP="00FC1A51">
      <w:pPr>
        <w:pStyle w:val="NormalHanging12a"/>
        <w:rPr>
          <w:noProof/>
        </w:rPr>
      </w:pPr>
      <w:r w:rsidRPr="00F14AAF">
        <w:t>3.</w:t>
      </w:r>
      <w:r w:rsidRPr="00F14AAF">
        <w:tab/>
        <w:t xml:space="preserve">norāda, ka pieteikums attiecas uz 417 labuma guvējiem, kurus uzņēmums </w:t>
      </w:r>
      <w:proofErr w:type="spellStart"/>
      <w:r w:rsidRPr="00F14AAF">
        <w:rPr>
          <w:i/>
        </w:rPr>
        <w:t>BelGaN</w:t>
      </w:r>
      <w:proofErr w:type="spellEnd"/>
      <w:r w:rsidRPr="00F14AAF">
        <w:t xml:space="preserve"> atlaida;</w:t>
      </w:r>
    </w:p>
    <w:p w14:paraId="69F9B4E6" w14:textId="77777777" w:rsidR="00FC1A51" w:rsidRPr="00F14AAF" w:rsidRDefault="00FC1A51" w:rsidP="00FC1A51">
      <w:pPr>
        <w:pStyle w:val="NormalHanging12a"/>
        <w:rPr>
          <w:noProof/>
        </w:rPr>
      </w:pPr>
      <w:r w:rsidRPr="00F14AAF">
        <w:t>4.</w:t>
      </w:r>
      <w:r w:rsidRPr="00F14AAF">
        <w:tab/>
        <w:t xml:space="preserve">norāda, ka </w:t>
      </w:r>
      <w:proofErr w:type="spellStart"/>
      <w:r w:rsidRPr="00F14AAF">
        <w:rPr>
          <w:i/>
        </w:rPr>
        <w:t>BelGaN</w:t>
      </w:r>
      <w:proofErr w:type="spellEnd"/>
      <w:r w:rsidRPr="00F14AAF">
        <w:t xml:space="preserve"> atlaišanas dēļ ikgadējais bezdarba līmenis </w:t>
      </w:r>
      <w:proofErr w:type="spellStart"/>
      <w:r w:rsidRPr="00F14AAF">
        <w:t>Audenārdes</w:t>
      </w:r>
      <w:proofErr w:type="spellEnd"/>
      <w:r w:rsidRPr="00F14AAF">
        <w:t xml:space="preserve"> teritorijā palielinājās par 9 %, jo īpaši augsti un vidēji kvalificētu bezdarbnieku vidū; norāda, ka tajā pašā laikā darba piedāvājumu skaits šajā apgabalā samazinājās par 22 %, jo pēdējo trīs gadu laikā ir ievērojami pieaudzis to uzņēmumu skaits, kuri iesnieguši bankrota pieteikumu;</w:t>
      </w:r>
    </w:p>
    <w:p w14:paraId="2B9DD730" w14:textId="77777777" w:rsidR="00FC1A51" w:rsidRPr="00F14AAF" w:rsidRDefault="00FC1A51" w:rsidP="00FC1A51">
      <w:pPr>
        <w:pStyle w:val="NormalHanging12a"/>
        <w:rPr>
          <w:noProof/>
        </w:rPr>
      </w:pPr>
      <w:r w:rsidRPr="00F14AAF">
        <w:t>5.</w:t>
      </w:r>
      <w:r w:rsidRPr="00F14AAF">
        <w:tab/>
        <w:t xml:space="preserve">atgādina, ka atlaistajiem darba ņēmējiem sniedzamie individualizētie pakalpojumi ietver šādas darbības: informatīvas sanāksmes, pārcelšanu citā darbā, apmācību un </w:t>
      </w:r>
      <w:proofErr w:type="spellStart"/>
      <w:r w:rsidRPr="00F14AAF">
        <w:t>pārkvalifikāciju</w:t>
      </w:r>
      <w:proofErr w:type="spellEnd"/>
      <w:r w:rsidRPr="00F14AAF">
        <w:t>, apmācību darbavietā, darbvietu gadatirgus, palīdzību darba meklēšanā, darbvietu apzināšanu un darba piemeklēšanu, lai sniegtu iespēju darba ņēmējiem pēc iespējas ātrāk atgriezties darba tirgū, nodrošinot viņiem augstas kvalitātes prasmes un apmācību, kas pielāgota potenciālajiem darba devējiem šajā nozarē, vienlaikus veicinot viņu spēju izstrādāt uzņēmējdarbības iniciatīvas un jaunus projektus; šajā kontekstā uzsver, ka labi apmācīts darbaspēks ir būtisks nākotnes prasībām atbilstošas Eiropas ekonomikas priekšnoteikums;</w:t>
      </w:r>
    </w:p>
    <w:p w14:paraId="61551B09" w14:textId="77777777" w:rsidR="00FC1A51" w:rsidRPr="00F14AAF" w:rsidRDefault="00FC1A51" w:rsidP="00FC1A51">
      <w:pPr>
        <w:pStyle w:val="NormalHanging12a"/>
        <w:rPr>
          <w:bCs/>
          <w:iCs/>
          <w:noProof/>
        </w:rPr>
      </w:pPr>
      <w:r w:rsidRPr="00F14AAF">
        <w:t>6.</w:t>
      </w:r>
      <w:r w:rsidRPr="00F14AAF">
        <w:tab/>
        <w:t xml:space="preserve">prasa veikt visaptverošus galīgos novērtējumus par īstenotajiem pasākumiem, tostarp attiecībā uz datiem par to darba ņēmēju skaitu, kuri veiksmīgi </w:t>
      </w:r>
      <w:proofErr w:type="spellStart"/>
      <w:r w:rsidRPr="00F14AAF">
        <w:t>reintegrēti</w:t>
      </w:r>
      <w:proofErr w:type="spellEnd"/>
      <w:r w:rsidRPr="00F14AAF">
        <w:t xml:space="preserve"> darba tirgū, un par atbalsta saņēmēju atgriezenisko saiti par sniegtā atbalsta kvalitāti un atbilstību;</w:t>
      </w:r>
    </w:p>
    <w:p w14:paraId="18FB16DE" w14:textId="03D15305" w:rsidR="00FC1A51" w:rsidRPr="00F14AAF" w:rsidRDefault="00FC1A51" w:rsidP="00FC1A51">
      <w:pPr>
        <w:pStyle w:val="NormalHanging12a"/>
        <w:rPr>
          <w:noProof/>
        </w:rPr>
      </w:pPr>
      <w:r w:rsidRPr="00F14AAF">
        <w:t>7.</w:t>
      </w:r>
      <w:r w:rsidRPr="00F14AAF">
        <w:tab/>
        <w:t xml:space="preserve">pieņem zināšanai to, ka Beļģija sāka sniegt individualizētus pakalpojumus paredzētajiem atbalsta saņēmējiem 2024. gada 8. augustā un ka tāpēc tiesības saņemt finansiālu iemaksu no EGF tiks nodrošinātas laikposmā, kas sākas minētajā datumā un beidzas 24 mēnešus pēc </w:t>
      </w:r>
      <w:r w:rsidR="0036641D" w:rsidRPr="00F14AAF">
        <w:t>šai rezolūcijai pievienotā lēmuma</w:t>
      </w:r>
      <w:r w:rsidRPr="00F14AAF">
        <w:t xml:space="preserve"> spēkā stāšanās dienas;</w:t>
      </w:r>
    </w:p>
    <w:p w14:paraId="73A8FA05" w14:textId="106A86D0" w:rsidR="00FC1A51" w:rsidRPr="00F14AAF" w:rsidRDefault="00FC1A51" w:rsidP="00FC1A51">
      <w:pPr>
        <w:pStyle w:val="NormalHanging12a"/>
        <w:rPr>
          <w:noProof/>
        </w:rPr>
      </w:pPr>
      <w:r w:rsidRPr="00F14AAF">
        <w:t>8.</w:t>
      </w:r>
      <w:r w:rsidRPr="00F14AAF">
        <w:tab/>
        <w:t xml:space="preserve">norāda, ka administratīvie izdevumi saistībā ar EGF īstenošanu Beļģijai sāka rasties 2024. gada 31. jūlijā un tāpēc par šādiem izdevumiem ir tiesības saņemt finansiālu iemaksu no EGF par laikposmu, kas sākas minētajā datumā un beidzas 31 mēnesi pēc </w:t>
      </w:r>
      <w:r w:rsidR="0036641D" w:rsidRPr="00F14AAF">
        <w:t xml:space="preserve">šai rezolūcijai pievienotā lēmuma </w:t>
      </w:r>
      <w:r w:rsidRPr="00F14AAF">
        <w:t>spēkā stāšanās dienas;</w:t>
      </w:r>
    </w:p>
    <w:p w14:paraId="348C7493" w14:textId="77777777" w:rsidR="00FC1A51" w:rsidRPr="00F14AAF" w:rsidRDefault="00FC1A51" w:rsidP="00FC1A51">
      <w:pPr>
        <w:pStyle w:val="NormalHanging12a"/>
        <w:rPr>
          <w:noProof/>
        </w:rPr>
      </w:pPr>
      <w:r w:rsidRPr="00F14AAF">
        <w:t>9.</w:t>
      </w:r>
      <w:r w:rsidRPr="00F14AAF">
        <w:tab/>
        <w:t xml:space="preserve">uzsver, ka Beļģijas iestādes sniedz apstiprinājumu tam, ka attiecībā uz piekļuvi </w:t>
      </w:r>
      <w:r w:rsidRPr="00F14AAF">
        <w:lastRenderedPageBreak/>
        <w:t xml:space="preserve">ierosinātajām darbībām un to īstenošanu tiks ievēroti vienlīdzīgas attieksmes un </w:t>
      </w:r>
      <w:proofErr w:type="spellStart"/>
      <w:r w:rsidRPr="00F14AAF">
        <w:t>nediskriminācijas</w:t>
      </w:r>
      <w:proofErr w:type="spellEnd"/>
      <w:r w:rsidRPr="00F14AAF">
        <w:t xml:space="preserve"> principi un ka tiks novērsta jebkāda dubulta finansēšana;</w:t>
      </w:r>
    </w:p>
    <w:p w14:paraId="0B60EE77" w14:textId="77777777" w:rsidR="00FC1A51" w:rsidRPr="00F14AAF" w:rsidRDefault="00FC1A51" w:rsidP="00FC1A51">
      <w:pPr>
        <w:pStyle w:val="NormalHanging12a"/>
        <w:rPr>
          <w:bCs/>
          <w:iCs/>
          <w:noProof/>
        </w:rPr>
      </w:pPr>
      <w:r w:rsidRPr="00F14AAF">
        <w:t>10.</w:t>
      </w:r>
      <w:r w:rsidRPr="00F14AAF">
        <w:tab/>
        <w:t xml:space="preserve">uzsver, ka ir jānodrošina Savienības finansējuma skaidra atzīšana un </w:t>
      </w:r>
      <w:proofErr w:type="spellStart"/>
      <w:r w:rsidRPr="00F14AAF">
        <w:t>pamanāmība</w:t>
      </w:r>
      <w:proofErr w:type="spellEnd"/>
      <w:r w:rsidRPr="00F14AAF">
        <w:t>, lai uzsvērtu tā pievienoto vērtību; aicina nodrošināt konsekventu un mērķtiecīgu saziņu ar saņēmējiem, reģionālajām un vietējām iestādēm, sociālajiem partneriem, medijiem un plašāku sabiedrību;</w:t>
      </w:r>
    </w:p>
    <w:p w14:paraId="20A91483" w14:textId="77777777" w:rsidR="00FC1A51" w:rsidRPr="00F14AAF" w:rsidRDefault="00FC1A51" w:rsidP="00FC1A51">
      <w:pPr>
        <w:pStyle w:val="NormalHanging12a"/>
        <w:rPr>
          <w:noProof/>
        </w:rPr>
      </w:pPr>
      <w:r w:rsidRPr="00F14AAF">
        <w:t>11.</w:t>
      </w:r>
      <w:r w:rsidRPr="00F14AAF">
        <w:tab/>
        <w:t>atkārtoti norāda, ka palīdzība no EGF nedrīkst aizstāt darbības, par kurām saskaņā ar attiecīgās valsts tiesību aktiem vai koplīgumiem ir atbildīgi uzņēmumi;</w:t>
      </w:r>
    </w:p>
    <w:p w14:paraId="1184B1CC" w14:textId="77777777" w:rsidR="00FC1A51" w:rsidRPr="00F14AAF" w:rsidRDefault="00FC1A51" w:rsidP="00FC1A51">
      <w:pPr>
        <w:pStyle w:val="NormalHanging12a"/>
        <w:rPr>
          <w:noProof/>
        </w:rPr>
      </w:pPr>
      <w:r w:rsidRPr="00F14AAF">
        <w:t>12.</w:t>
      </w:r>
      <w:r w:rsidRPr="00F14AAF">
        <w:tab/>
        <w:t>apstiprina šai rezolūcijai pievienoto lēmumu;</w:t>
      </w:r>
    </w:p>
    <w:p w14:paraId="2AA5882C" w14:textId="77777777" w:rsidR="00FC1A51" w:rsidRPr="00F14AAF" w:rsidRDefault="00FC1A51" w:rsidP="00FC1A51">
      <w:pPr>
        <w:pStyle w:val="NormalHanging12a"/>
        <w:rPr>
          <w:noProof/>
        </w:rPr>
      </w:pPr>
      <w:r w:rsidRPr="00F14AAF">
        <w:t>13.</w:t>
      </w:r>
      <w:r w:rsidRPr="00F14AAF">
        <w:tab/>
        <w:t xml:space="preserve">uzdod priekšsēdētājai parakstīt šo lēmumu kopā ar Padomes priekšsēdētāju un nodrošināt tā publicēšanu </w:t>
      </w:r>
      <w:r w:rsidRPr="00F14AAF">
        <w:rPr>
          <w:i/>
        </w:rPr>
        <w:t>Eiropas Savienības Oficiālajā Vēstnesī</w:t>
      </w:r>
      <w:r w:rsidRPr="00F14AAF">
        <w:t>;</w:t>
      </w:r>
    </w:p>
    <w:p w14:paraId="2B65C824" w14:textId="77777777" w:rsidR="00FC1A51" w:rsidRPr="00F14AAF" w:rsidRDefault="00FC1A51" w:rsidP="00FC1A51">
      <w:pPr>
        <w:pStyle w:val="NormalHanging12a"/>
        <w:rPr>
          <w:noProof/>
        </w:rPr>
      </w:pPr>
      <w:r w:rsidRPr="00F14AAF">
        <w:t>14.</w:t>
      </w:r>
      <w:r w:rsidRPr="00F14AAF">
        <w:tab/>
        <w:t>uzdod priekšsēdētājai šo rezolūciju, kā arī tās pielikumu nosūtīt Padomei un Komisijai.</w:t>
      </w:r>
    </w:p>
    <w:p w14:paraId="7ABBE3D8" w14:textId="77777777" w:rsidR="00FC1A51" w:rsidRPr="00F14AAF" w:rsidRDefault="00FC1A51" w:rsidP="00FC1A51">
      <w:pPr>
        <w:rPr>
          <w:noProof/>
        </w:rPr>
      </w:pPr>
    </w:p>
    <w:p w14:paraId="1520BC59" w14:textId="77777777" w:rsidR="00FC1A51" w:rsidRPr="00F14AAF" w:rsidRDefault="00FC1A51" w:rsidP="00FC1A51">
      <w:pPr>
        <w:widowControl/>
        <w:rPr>
          <w:rFonts w:ascii="Arial" w:hAnsi="Arial" w:cs="Arial"/>
          <w:b/>
          <w:noProof/>
        </w:rPr>
        <w:sectPr w:rsidR="00FC1A51" w:rsidRPr="00F14AAF" w:rsidSect="008E2A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4767A760" w14:textId="77777777" w:rsidR="00277A6F" w:rsidRPr="00277A6F" w:rsidRDefault="00FC1A51" w:rsidP="00FC1A51">
      <w:pPr>
        <w:pStyle w:val="PageHeading"/>
      </w:pPr>
      <w:bookmarkStart w:id="8" w:name="_Toc210268441"/>
      <w:r w:rsidRPr="00277A6F">
        <w:lastRenderedPageBreak/>
        <w:t>PIELIKUMS</w:t>
      </w:r>
    </w:p>
    <w:p w14:paraId="23E664F2" w14:textId="588D7FAB" w:rsidR="00FC1A51" w:rsidRPr="00277A6F" w:rsidRDefault="00FC1A51" w:rsidP="00FC1A51">
      <w:pPr>
        <w:pStyle w:val="PageHeading"/>
      </w:pPr>
      <w:r w:rsidRPr="00277A6F">
        <w:t>EIROPAS PARLAMENTA UN PADOMES LĒMUMS</w:t>
      </w:r>
      <w:bookmarkEnd w:id="8"/>
    </w:p>
    <w:p w14:paraId="58BB5DBF" w14:textId="77777777" w:rsidR="00FC1A51" w:rsidRDefault="00FC1A51" w:rsidP="00FC1A51">
      <w:pPr>
        <w:pStyle w:val="NormalBold24a"/>
      </w:pPr>
      <w:r w:rsidRPr="00F14AAF">
        <w:t>par Eiropas Globalizācijas pielāgošanās fonda darbu zaudējušiem darba ņēmējiem izmantošanu saistībā ar Beļģijas iesniegto pieteikumu (EGF/2025/001 BE/</w:t>
      </w:r>
      <w:proofErr w:type="spellStart"/>
      <w:r w:rsidRPr="00F14AAF">
        <w:rPr>
          <w:i/>
          <w:iCs/>
        </w:rPr>
        <w:t>BelGaN</w:t>
      </w:r>
      <w:proofErr w:type="spellEnd"/>
      <w:r w:rsidRPr="00F14AAF">
        <w:t>)</w:t>
      </w:r>
    </w:p>
    <w:p w14:paraId="4337A457" w14:textId="302C2AEF" w:rsidR="00277A6F" w:rsidRDefault="00277A6F" w:rsidP="00277A6F">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2133</w:t>
      </w:r>
      <w:r w:rsidRPr="00981C8E">
        <w:rPr>
          <w:b w:val="0"/>
          <w:i/>
          <w:iCs/>
          <w:noProof/>
        </w:rPr>
        <w:t>.</w:t>
      </w:r>
      <w:r w:rsidRPr="00EB02AD">
        <w:rPr>
          <w:b w:val="0"/>
          <w:i/>
          <w:iCs/>
          <w:noProof/>
        </w:rPr>
        <w:t>)</w:t>
      </w:r>
    </w:p>
    <w:p w14:paraId="29768777" w14:textId="77777777" w:rsidR="00277A6F" w:rsidRPr="00F14AAF" w:rsidRDefault="00277A6F" w:rsidP="00FC1A51">
      <w:pPr>
        <w:pStyle w:val="NormalBold24a"/>
      </w:pPr>
    </w:p>
    <w:sectPr w:rsidR="00277A6F" w:rsidRPr="00F14AAF" w:rsidSect="008E2A9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15960" w14:textId="77777777" w:rsidR="00C456F5" w:rsidRPr="008E2A9E" w:rsidRDefault="00C456F5">
      <w:r w:rsidRPr="008E2A9E">
        <w:separator/>
      </w:r>
    </w:p>
  </w:endnote>
  <w:endnote w:type="continuationSeparator" w:id="0">
    <w:p w14:paraId="7575F679" w14:textId="77777777" w:rsidR="00C456F5" w:rsidRPr="008E2A9E" w:rsidRDefault="00C456F5">
      <w:r w:rsidRPr="008E2A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F0242" w14:textId="77777777" w:rsidR="008E2A9E" w:rsidRPr="008E2A9E" w:rsidRDefault="008E2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CF6DA" w14:textId="77777777" w:rsidR="008E2A9E" w:rsidRPr="008E2A9E" w:rsidRDefault="008E2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AD31" w14:textId="77777777" w:rsidR="008E2A9E" w:rsidRPr="008E2A9E" w:rsidRDefault="008E2A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1F1C" w14:textId="77777777" w:rsidR="00064002" w:rsidRPr="008E2A9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FBC9" w14:textId="77777777" w:rsidR="00064002" w:rsidRPr="008E2A9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D611" w14:textId="77777777" w:rsidR="00064002" w:rsidRPr="008E2A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ACF53" w14:textId="77777777" w:rsidR="00C456F5" w:rsidRPr="008E2A9E" w:rsidRDefault="00C456F5">
      <w:r w:rsidRPr="008E2A9E">
        <w:separator/>
      </w:r>
    </w:p>
  </w:footnote>
  <w:footnote w:type="continuationSeparator" w:id="0">
    <w:p w14:paraId="1633315E" w14:textId="77777777" w:rsidR="00C456F5" w:rsidRPr="008E2A9E" w:rsidRDefault="00C456F5">
      <w:r w:rsidRPr="008E2A9E">
        <w:continuationSeparator/>
      </w:r>
    </w:p>
  </w:footnote>
  <w:footnote w:id="1">
    <w:p w14:paraId="5BEA07B4" w14:textId="59D18ADF" w:rsidR="00FC1A51" w:rsidRPr="008E2A9E" w:rsidRDefault="00FC1A51" w:rsidP="008E2A9E">
      <w:pPr>
        <w:pStyle w:val="FootnoteText"/>
        <w:ind w:left="567" w:hanging="567"/>
        <w:rPr>
          <w:sz w:val="24"/>
          <w:lang w:val="lv-LV"/>
        </w:rPr>
      </w:pPr>
      <w:r w:rsidRPr="008E2A9E">
        <w:rPr>
          <w:rStyle w:val="FootnoteReference"/>
          <w:sz w:val="24"/>
          <w:lang w:val="lv-LV"/>
        </w:rPr>
        <w:footnoteRef/>
      </w:r>
      <w:r w:rsidR="008E2A9E" w:rsidRPr="008E2A9E">
        <w:rPr>
          <w:sz w:val="24"/>
          <w:lang w:val="lv-LV"/>
        </w:rPr>
        <w:t xml:space="preserve"> </w:t>
      </w:r>
      <w:r w:rsidR="008E2A9E" w:rsidRPr="008E2A9E">
        <w:rPr>
          <w:sz w:val="24"/>
          <w:lang w:val="lv-LV"/>
        </w:rPr>
        <w:tab/>
      </w:r>
      <w:r w:rsidRPr="008E2A9E">
        <w:rPr>
          <w:sz w:val="24"/>
          <w:lang w:val="lv-LV"/>
        </w:rPr>
        <w:t xml:space="preserve">OV L 153, 3.5.2021., 48. lpp., ELI: </w:t>
      </w:r>
      <w:hyperlink r:id="rId1" w:history="1">
        <w:r w:rsidRPr="008E2A9E">
          <w:rPr>
            <w:rStyle w:val="Hyperlink"/>
            <w:sz w:val="24"/>
            <w:lang w:val="lv-LV"/>
          </w:rPr>
          <w:t>http://data.europa.eu/eli/reg/2021/691/oj</w:t>
        </w:r>
      </w:hyperlink>
      <w:r w:rsidRPr="008E2A9E">
        <w:rPr>
          <w:sz w:val="24"/>
          <w:lang w:val="lv-LV"/>
        </w:rPr>
        <w:t>.</w:t>
      </w:r>
    </w:p>
  </w:footnote>
  <w:footnote w:id="2">
    <w:p w14:paraId="3C367023" w14:textId="0775CB21" w:rsidR="00FC1A51" w:rsidRPr="008E2A9E" w:rsidRDefault="00FC1A51" w:rsidP="008E2A9E">
      <w:pPr>
        <w:pStyle w:val="FootnoteText"/>
        <w:ind w:left="567" w:hanging="567"/>
        <w:rPr>
          <w:sz w:val="24"/>
          <w:lang w:val="lv-LV"/>
        </w:rPr>
      </w:pPr>
      <w:r w:rsidRPr="008E2A9E">
        <w:rPr>
          <w:rStyle w:val="FootnoteReference"/>
          <w:sz w:val="24"/>
          <w:lang w:val="lv-LV"/>
        </w:rPr>
        <w:footnoteRef/>
      </w:r>
      <w:r w:rsidR="008E2A9E" w:rsidRPr="008E2A9E">
        <w:rPr>
          <w:sz w:val="24"/>
          <w:lang w:val="lv-LV"/>
        </w:rPr>
        <w:t xml:space="preserve"> </w:t>
      </w:r>
      <w:r w:rsidR="008E2A9E" w:rsidRPr="008E2A9E">
        <w:rPr>
          <w:sz w:val="24"/>
          <w:lang w:val="lv-LV"/>
        </w:rPr>
        <w:tab/>
      </w:r>
      <w:r w:rsidRPr="008E2A9E">
        <w:rPr>
          <w:sz w:val="24"/>
          <w:lang w:val="lv-LV"/>
        </w:rPr>
        <w:t>OV L 433 I, 22.12.2020., 11. </w:t>
      </w:r>
      <w:r w:rsidRPr="008E2A9E">
        <w:rPr>
          <w:sz w:val="24"/>
          <w:lang w:val="lv-LV"/>
        </w:rPr>
        <w:t xml:space="preserve">lpp., ELI: </w:t>
      </w:r>
      <w:hyperlink r:id="rId2" w:history="1">
        <w:r w:rsidRPr="008E2A9E">
          <w:rPr>
            <w:rStyle w:val="Hyperlink"/>
            <w:sz w:val="24"/>
            <w:lang w:val="lv-LV"/>
          </w:rPr>
          <w:t>http://data.europa.eu/eli/reg/2020/2093/oj</w:t>
        </w:r>
      </w:hyperlink>
      <w:r w:rsidRPr="008E2A9E">
        <w:rPr>
          <w:sz w:val="24"/>
          <w:lang w:val="lv-LV"/>
        </w:rPr>
        <w:t>.</w:t>
      </w:r>
    </w:p>
  </w:footnote>
  <w:footnote w:id="3">
    <w:p w14:paraId="0F78D033" w14:textId="578BED74" w:rsidR="00FC1A51" w:rsidRPr="008E2A9E" w:rsidRDefault="00FC1A51" w:rsidP="008E2A9E">
      <w:pPr>
        <w:pStyle w:val="FootnoteText"/>
        <w:ind w:left="567" w:hanging="567"/>
        <w:rPr>
          <w:sz w:val="24"/>
          <w:lang w:val="lv-LV"/>
        </w:rPr>
      </w:pPr>
      <w:r w:rsidRPr="008E2A9E">
        <w:rPr>
          <w:rStyle w:val="FootnoteReference"/>
          <w:sz w:val="24"/>
          <w:lang w:val="lv-LV"/>
        </w:rPr>
        <w:footnoteRef/>
      </w:r>
      <w:r w:rsidR="008E2A9E" w:rsidRPr="008E2A9E">
        <w:rPr>
          <w:sz w:val="24"/>
          <w:lang w:val="lv-LV"/>
        </w:rPr>
        <w:t xml:space="preserve"> </w:t>
      </w:r>
      <w:r w:rsidR="008E2A9E" w:rsidRPr="008E2A9E">
        <w:rPr>
          <w:sz w:val="24"/>
          <w:lang w:val="lv-LV"/>
        </w:rPr>
        <w:tab/>
      </w:r>
      <w:r w:rsidRPr="008E2A9E">
        <w:rPr>
          <w:sz w:val="24"/>
          <w:lang w:val="lv-LV"/>
        </w:rPr>
        <w:t xml:space="preserve">Padomes Regula (ES, </w:t>
      </w:r>
      <w:r w:rsidRPr="008E2A9E">
        <w:rPr>
          <w:i/>
          <w:sz w:val="24"/>
          <w:lang w:val="lv-LV"/>
        </w:rPr>
        <w:t>Euratom</w:t>
      </w:r>
      <w:r w:rsidRPr="008E2A9E">
        <w:rPr>
          <w:sz w:val="24"/>
          <w:lang w:val="lv-LV"/>
        </w:rPr>
        <w:t xml:space="preserve">) 2024/765 (2024. gada 29. februāris), ar kuru groza Regulu (ES, </w:t>
      </w:r>
      <w:r w:rsidRPr="008E2A9E">
        <w:rPr>
          <w:i/>
          <w:sz w:val="24"/>
          <w:lang w:val="lv-LV"/>
        </w:rPr>
        <w:t>Euratom</w:t>
      </w:r>
      <w:r w:rsidRPr="008E2A9E">
        <w:rPr>
          <w:sz w:val="24"/>
          <w:lang w:val="lv-LV"/>
        </w:rPr>
        <w:t>) 2020/2093, ar ko nosaka daudzgadu finanšu shēmu 2021.–2027. </w:t>
      </w:r>
      <w:r w:rsidRPr="008E2A9E">
        <w:rPr>
          <w:sz w:val="24"/>
          <w:lang w:val="lv-LV"/>
        </w:rPr>
        <w:t xml:space="preserve">gadam (OV L, 2024/765, 29.2.2024., ELI: </w:t>
      </w:r>
      <w:hyperlink r:id="rId3" w:history="1">
        <w:r w:rsidRPr="008E2A9E">
          <w:rPr>
            <w:rStyle w:val="Hyperlink"/>
            <w:sz w:val="24"/>
            <w:lang w:val="lv-LV"/>
          </w:rPr>
          <w:t>http://data.europa.eu/eli/reg/2024/765/oj</w:t>
        </w:r>
      </w:hyperlink>
      <w:r w:rsidRPr="008E2A9E">
        <w:rPr>
          <w:sz w:val="24"/>
          <w:lang w:val="lv-LV"/>
        </w:rPr>
        <w:t>).</w:t>
      </w:r>
    </w:p>
  </w:footnote>
  <w:footnote w:id="4">
    <w:p w14:paraId="28D7F411" w14:textId="4EB7BF03" w:rsidR="00FC1A51" w:rsidRPr="008E2A9E" w:rsidRDefault="00FC1A51" w:rsidP="008E2A9E">
      <w:pPr>
        <w:pStyle w:val="FootnoteText"/>
        <w:ind w:left="567" w:hanging="567"/>
        <w:rPr>
          <w:sz w:val="24"/>
          <w:lang w:val="lv-LV"/>
        </w:rPr>
      </w:pPr>
      <w:r w:rsidRPr="008E2A9E">
        <w:rPr>
          <w:rStyle w:val="FootnoteReference"/>
          <w:sz w:val="24"/>
          <w:lang w:val="lv-LV"/>
        </w:rPr>
        <w:footnoteRef/>
      </w:r>
      <w:r w:rsidR="008E2A9E" w:rsidRPr="008E2A9E">
        <w:rPr>
          <w:sz w:val="24"/>
          <w:lang w:val="lv-LV"/>
        </w:rPr>
        <w:t xml:space="preserve"> </w:t>
      </w:r>
      <w:r w:rsidR="008E2A9E" w:rsidRPr="008E2A9E">
        <w:rPr>
          <w:sz w:val="24"/>
          <w:lang w:val="lv-LV"/>
        </w:rPr>
        <w:tab/>
      </w:r>
      <w:r w:rsidRPr="008E2A9E">
        <w:rPr>
          <w:sz w:val="24"/>
          <w:lang w:val="lv-LV"/>
        </w:rPr>
        <w:t>OV L 433 I, 22.12.2020., 28. </w:t>
      </w:r>
      <w:r w:rsidRPr="008E2A9E">
        <w:rPr>
          <w:sz w:val="24"/>
          <w:lang w:val="lv-LV"/>
        </w:rPr>
        <w:t xml:space="preserve">lpp., ELI: </w:t>
      </w:r>
      <w:hyperlink r:id="rId4" w:history="1">
        <w:r w:rsidRPr="008E2A9E">
          <w:rPr>
            <w:rStyle w:val="Hyperlink"/>
            <w:sz w:val="24"/>
            <w:lang w:val="lv-LV"/>
          </w:rPr>
          <w:t>http://data.europa.eu/eli/agree_interinstit/2020/1222/oj</w:t>
        </w:r>
      </w:hyperlink>
      <w:r w:rsidRPr="008E2A9E">
        <w:rPr>
          <w:sz w:val="24"/>
          <w:lang w:val="lv-LV"/>
        </w:rPr>
        <w:t>.</w:t>
      </w:r>
    </w:p>
  </w:footnote>
  <w:footnote w:id="5">
    <w:p w14:paraId="7FBB0B36" w14:textId="26F5B6FE" w:rsidR="00FC1A51" w:rsidRPr="008E2A9E" w:rsidRDefault="00FC1A51" w:rsidP="008E2A9E">
      <w:pPr>
        <w:pStyle w:val="FootnoteText"/>
        <w:ind w:left="567" w:hanging="567"/>
        <w:rPr>
          <w:sz w:val="24"/>
          <w:lang w:val="lv-LV"/>
        </w:rPr>
      </w:pPr>
      <w:r w:rsidRPr="008E2A9E">
        <w:rPr>
          <w:rStyle w:val="FootnoteReference"/>
          <w:sz w:val="24"/>
          <w:lang w:val="lv-LV"/>
        </w:rPr>
        <w:footnoteRef/>
      </w:r>
      <w:r w:rsidR="008E2A9E" w:rsidRPr="008E2A9E">
        <w:rPr>
          <w:i/>
          <w:sz w:val="24"/>
          <w:lang w:val="lv-LV"/>
        </w:rPr>
        <w:t xml:space="preserve"> </w:t>
      </w:r>
      <w:r w:rsidR="008E2A9E" w:rsidRPr="008E2A9E">
        <w:rPr>
          <w:i/>
          <w:sz w:val="24"/>
          <w:lang w:val="lv-LV"/>
        </w:rPr>
        <w:tab/>
      </w:r>
      <w:proofErr w:type="spellStart"/>
      <w:r w:rsidRPr="008E2A9E">
        <w:rPr>
          <w:i/>
          <w:sz w:val="24"/>
          <w:lang w:val="lv-LV"/>
        </w:rPr>
        <w:t>Vlaamse</w:t>
      </w:r>
      <w:proofErr w:type="spellEnd"/>
      <w:r w:rsidRPr="008E2A9E">
        <w:rPr>
          <w:i/>
          <w:sz w:val="24"/>
          <w:lang w:val="lv-LV"/>
        </w:rPr>
        <w:t xml:space="preserve"> </w:t>
      </w:r>
      <w:proofErr w:type="spellStart"/>
      <w:r w:rsidRPr="008E2A9E">
        <w:rPr>
          <w:i/>
          <w:sz w:val="24"/>
          <w:lang w:val="lv-LV"/>
        </w:rPr>
        <w:t>Dienst</w:t>
      </w:r>
      <w:proofErr w:type="spellEnd"/>
      <w:r w:rsidRPr="008E2A9E">
        <w:rPr>
          <w:i/>
          <w:sz w:val="24"/>
          <w:lang w:val="lv-LV"/>
        </w:rPr>
        <w:t xml:space="preserve"> </w:t>
      </w:r>
      <w:proofErr w:type="spellStart"/>
      <w:r w:rsidRPr="008E2A9E">
        <w:rPr>
          <w:i/>
          <w:sz w:val="24"/>
          <w:lang w:val="lv-LV"/>
        </w:rPr>
        <w:t>voor</w:t>
      </w:r>
      <w:proofErr w:type="spellEnd"/>
      <w:r w:rsidRPr="008E2A9E">
        <w:rPr>
          <w:i/>
          <w:sz w:val="24"/>
          <w:lang w:val="lv-LV"/>
        </w:rPr>
        <w:t xml:space="preserve"> </w:t>
      </w:r>
      <w:proofErr w:type="spellStart"/>
      <w:r w:rsidRPr="008E2A9E">
        <w:rPr>
          <w:i/>
          <w:sz w:val="24"/>
          <w:lang w:val="lv-LV"/>
        </w:rPr>
        <w:t>Arbeidsbemiddeling</w:t>
      </w:r>
      <w:proofErr w:type="spellEnd"/>
      <w:r w:rsidRPr="008E2A9E">
        <w:rPr>
          <w:i/>
          <w:sz w:val="24"/>
          <w:lang w:val="lv-LV"/>
        </w:rPr>
        <w:t xml:space="preserve"> </w:t>
      </w:r>
      <w:proofErr w:type="spellStart"/>
      <w:r w:rsidRPr="008E2A9E">
        <w:rPr>
          <w:i/>
          <w:sz w:val="24"/>
          <w:lang w:val="lv-LV"/>
        </w:rPr>
        <w:t>en</w:t>
      </w:r>
      <w:proofErr w:type="spellEnd"/>
      <w:r w:rsidRPr="008E2A9E">
        <w:rPr>
          <w:i/>
          <w:sz w:val="24"/>
          <w:lang w:val="lv-LV"/>
        </w:rPr>
        <w:t xml:space="preserve"> </w:t>
      </w:r>
      <w:proofErr w:type="spellStart"/>
      <w:r w:rsidRPr="008E2A9E">
        <w:rPr>
          <w:i/>
          <w:sz w:val="24"/>
          <w:lang w:val="lv-LV"/>
        </w:rPr>
        <w:t>Beroepsopleiding</w:t>
      </w:r>
      <w:proofErr w:type="spellEnd"/>
      <w:r w:rsidRPr="008E2A9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AFEB9" w14:textId="77777777" w:rsidR="008E2A9E" w:rsidRPr="008E2A9E" w:rsidRDefault="008E2A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19FF" w14:textId="77777777" w:rsidR="008E2A9E" w:rsidRPr="008E2A9E" w:rsidRDefault="008E2A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F927A" w14:textId="77777777" w:rsidR="008E2A9E" w:rsidRPr="008E2A9E" w:rsidRDefault="008E2A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7F831" w14:textId="77777777" w:rsidR="00064002" w:rsidRPr="008E2A9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E6C03" w14:textId="77777777" w:rsidR="00064002" w:rsidRPr="008E2A9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05400" w14:textId="77777777" w:rsidR="00064002" w:rsidRPr="008E2A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3287021">
    <w:abstractNumId w:val="9"/>
  </w:num>
  <w:num w:numId="2" w16cid:durableId="312222058">
    <w:abstractNumId w:val="9"/>
  </w:num>
  <w:num w:numId="3" w16cid:durableId="557477186">
    <w:abstractNumId w:val="7"/>
  </w:num>
  <w:num w:numId="4" w16cid:durableId="1427461403">
    <w:abstractNumId w:val="7"/>
  </w:num>
  <w:num w:numId="5" w16cid:durableId="2137066632">
    <w:abstractNumId w:val="6"/>
  </w:num>
  <w:num w:numId="6" w16cid:durableId="2047485159">
    <w:abstractNumId w:val="6"/>
  </w:num>
  <w:num w:numId="7" w16cid:durableId="986209356">
    <w:abstractNumId w:val="5"/>
  </w:num>
  <w:num w:numId="8" w16cid:durableId="1455370794">
    <w:abstractNumId w:val="5"/>
  </w:num>
  <w:num w:numId="9" w16cid:durableId="2130393419">
    <w:abstractNumId w:val="4"/>
  </w:num>
  <w:num w:numId="10" w16cid:durableId="1001158428">
    <w:abstractNumId w:val="4"/>
  </w:num>
  <w:num w:numId="11" w16cid:durableId="410002878">
    <w:abstractNumId w:val="8"/>
  </w:num>
  <w:num w:numId="12" w16cid:durableId="449933833">
    <w:abstractNumId w:val="8"/>
  </w:num>
  <w:num w:numId="13" w16cid:durableId="2094348760">
    <w:abstractNumId w:val="3"/>
  </w:num>
  <w:num w:numId="14" w16cid:durableId="1881086934">
    <w:abstractNumId w:val="3"/>
  </w:num>
  <w:num w:numId="15" w16cid:durableId="1029645684">
    <w:abstractNumId w:val="2"/>
  </w:num>
  <w:num w:numId="16" w16cid:durableId="493306235">
    <w:abstractNumId w:val="2"/>
  </w:num>
  <w:num w:numId="17" w16cid:durableId="2087529014">
    <w:abstractNumId w:val="1"/>
  </w:num>
  <w:num w:numId="18" w16cid:durableId="1950044367">
    <w:abstractNumId w:val="1"/>
  </w:num>
  <w:num w:numId="19" w16cid:durableId="2037731173">
    <w:abstractNumId w:val="0"/>
  </w:num>
  <w:num w:numId="20" w16cid:durableId="308678333">
    <w:abstractNumId w:val="0"/>
  </w:num>
  <w:num w:numId="21" w16cid:durableId="991981867">
    <w:abstractNumId w:val="9"/>
  </w:num>
  <w:num w:numId="22" w16cid:durableId="779879688">
    <w:abstractNumId w:val="7"/>
  </w:num>
  <w:num w:numId="23" w16cid:durableId="2061901770">
    <w:abstractNumId w:val="6"/>
  </w:num>
  <w:num w:numId="24" w16cid:durableId="754086438">
    <w:abstractNumId w:val="5"/>
  </w:num>
  <w:num w:numId="25" w16cid:durableId="1199196302">
    <w:abstractNumId w:val="4"/>
  </w:num>
  <w:num w:numId="26" w16cid:durableId="292835383">
    <w:abstractNumId w:val="8"/>
  </w:num>
  <w:num w:numId="27" w16cid:durableId="223831969">
    <w:abstractNumId w:val="3"/>
  </w:num>
  <w:num w:numId="28" w16cid:durableId="1104419395">
    <w:abstractNumId w:val="2"/>
  </w:num>
  <w:num w:numId="29" w16cid:durableId="948513755">
    <w:abstractNumId w:val="1"/>
  </w:num>
  <w:num w:numId="30" w16cid:durableId="1132023396">
    <w:abstractNumId w:val="0"/>
  </w:num>
  <w:num w:numId="31" w16cid:durableId="105275418">
    <w:abstractNumId w:val="9"/>
  </w:num>
  <w:num w:numId="32" w16cid:durableId="2094810662">
    <w:abstractNumId w:val="7"/>
  </w:num>
  <w:num w:numId="33" w16cid:durableId="1745450779">
    <w:abstractNumId w:val="6"/>
  </w:num>
  <w:num w:numId="34" w16cid:durableId="151871806">
    <w:abstractNumId w:val="5"/>
  </w:num>
  <w:num w:numId="35" w16cid:durableId="229585318">
    <w:abstractNumId w:val="4"/>
  </w:num>
  <w:num w:numId="36" w16cid:durableId="1548103480">
    <w:abstractNumId w:val="8"/>
  </w:num>
  <w:num w:numId="37" w16cid:durableId="1484617586">
    <w:abstractNumId w:val="3"/>
  </w:num>
  <w:num w:numId="38" w16cid:durableId="175661275">
    <w:abstractNumId w:val="2"/>
  </w:num>
  <w:num w:numId="39" w16cid:durableId="407264146">
    <w:abstractNumId w:val="1"/>
  </w:num>
  <w:num w:numId="40" w16cid:durableId="875199034">
    <w:abstractNumId w:val="0"/>
  </w:num>
  <w:num w:numId="41" w16cid:durableId="98567153">
    <w:abstractNumId w:val="10"/>
  </w:num>
  <w:num w:numId="42" w16cid:durableId="2029288791">
    <w:abstractNumId w:val="10"/>
  </w:num>
  <w:num w:numId="43" w16cid:durableId="1094865302">
    <w:abstractNumId w:val="10"/>
  </w:num>
  <w:num w:numId="44" w16cid:durableId="2040812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LV"/>
    <w:docVar w:name="dvnumam" w:val="0"/>
    <w:docVar w:name="dvpe" w:val="776.825"/>
    <w:docVar w:name="dvrapporteur" w:val="Referents: "/>
    <w:docVar w:name="dvtitre" w:val="Eiropas Parlamenta 2025. gada XX. XXX  rezolūcija par priekšlikumu Eiropas Parlamenta un Padomes lēmumam par Eiropas Globalizācijas pielāgošanās fonda darbu zaudējušiem darba ņēmējiem izmantošanu saistībā ar Beļģijas iesniegto pieteikumu (EGF/2025/001 BE/BelGaN)(COM(2025)0157 – C10-0188/2025 – 2025/0198(BUD))"/>
  </w:docVars>
  <w:rsids>
    <w:rsidRoot w:val="00C456F5"/>
    <w:rsid w:val="00002272"/>
    <w:rsid w:val="00064002"/>
    <w:rsid w:val="000677B9"/>
    <w:rsid w:val="000831BA"/>
    <w:rsid w:val="0008452B"/>
    <w:rsid w:val="000A42CC"/>
    <w:rsid w:val="000E7DD9"/>
    <w:rsid w:val="0010095E"/>
    <w:rsid w:val="00125B37"/>
    <w:rsid w:val="00187494"/>
    <w:rsid w:val="001F32AE"/>
    <w:rsid w:val="0022201A"/>
    <w:rsid w:val="002767FF"/>
    <w:rsid w:val="00277A6F"/>
    <w:rsid w:val="002B18FE"/>
    <w:rsid w:val="002B5493"/>
    <w:rsid w:val="002D4AE1"/>
    <w:rsid w:val="00343214"/>
    <w:rsid w:val="00361C00"/>
    <w:rsid w:val="0036641D"/>
    <w:rsid w:val="00395FA1"/>
    <w:rsid w:val="003E15D4"/>
    <w:rsid w:val="00411CCE"/>
    <w:rsid w:val="0041666E"/>
    <w:rsid w:val="00421060"/>
    <w:rsid w:val="00471C19"/>
    <w:rsid w:val="004867E3"/>
    <w:rsid w:val="00494A28"/>
    <w:rsid w:val="004C0004"/>
    <w:rsid w:val="004C5D52"/>
    <w:rsid w:val="0050519A"/>
    <w:rsid w:val="005072A1"/>
    <w:rsid w:val="00514517"/>
    <w:rsid w:val="0054034F"/>
    <w:rsid w:val="00545827"/>
    <w:rsid w:val="00560270"/>
    <w:rsid w:val="005C2568"/>
    <w:rsid w:val="005F1B17"/>
    <w:rsid w:val="006037C0"/>
    <w:rsid w:val="006631B6"/>
    <w:rsid w:val="00680577"/>
    <w:rsid w:val="006F74FA"/>
    <w:rsid w:val="00731ADD"/>
    <w:rsid w:val="00734777"/>
    <w:rsid w:val="00747932"/>
    <w:rsid w:val="00751A4A"/>
    <w:rsid w:val="00755289"/>
    <w:rsid w:val="00756632"/>
    <w:rsid w:val="00762C74"/>
    <w:rsid w:val="00786EC0"/>
    <w:rsid w:val="007D1690"/>
    <w:rsid w:val="007E22AD"/>
    <w:rsid w:val="00817416"/>
    <w:rsid w:val="00823D68"/>
    <w:rsid w:val="00842779"/>
    <w:rsid w:val="00865F67"/>
    <w:rsid w:val="00881A7B"/>
    <w:rsid w:val="008840E5"/>
    <w:rsid w:val="00887B3E"/>
    <w:rsid w:val="008C2AC6"/>
    <w:rsid w:val="008E2A9E"/>
    <w:rsid w:val="00930C23"/>
    <w:rsid w:val="0093193B"/>
    <w:rsid w:val="009509D8"/>
    <w:rsid w:val="00950B64"/>
    <w:rsid w:val="00981893"/>
    <w:rsid w:val="00A1687D"/>
    <w:rsid w:val="00A43E52"/>
    <w:rsid w:val="00A4678D"/>
    <w:rsid w:val="00A778C7"/>
    <w:rsid w:val="00AA7255"/>
    <w:rsid w:val="00AB441E"/>
    <w:rsid w:val="00AB6293"/>
    <w:rsid w:val="00AE0928"/>
    <w:rsid w:val="00AF3B82"/>
    <w:rsid w:val="00B12E95"/>
    <w:rsid w:val="00B22876"/>
    <w:rsid w:val="00B558F0"/>
    <w:rsid w:val="00BD48FE"/>
    <w:rsid w:val="00BD7BD8"/>
    <w:rsid w:val="00BE6ADC"/>
    <w:rsid w:val="00C05BFE"/>
    <w:rsid w:val="00C23CD4"/>
    <w:rsid w:val="00C456F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BE5"/>
    <w:rsid w:val="00ED169E"/>
    <w:rsid w:val="00ED4235"/>
    <w:rsid w:val="00F04346"/>
    <w:rsid w:val="00F075DC"/>
    <w:rsid w:val="00F149E9"/>
    <w:rsid w:val="00F14AAF"/>
    <w:rsid w:val="00F5134D"/>
    <w:rsid w:val="00F74202"/>
    <w:rsid w:val="00F87713"/>
    <w:rsid w:val="00FB4360"/>
    <w:rsid w:val="00FC1A5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7EDD1"/>
  <w15:chartTrackingRefBased/>
  <w15:docId w15:val="{FB0D151E-2D05-4470-8B41-D1A29F21A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FC1A51"/>
    <w:pPr>
      <w:keepNext/>
      <w:spacing w:after="480"/>
      <w:jc w:val="center"/>
    </w:pPr>
    <w:rPr>
      <w:rFonts w:ascii="Arial" w:hAnsi="Arial" w:cs="Arial"/>
      <w:b/>
    </w:rPr>
  </w:style>
  <w:style w:type="paragraph" w:customStyle="1" w:styleId="NormalBold">
    <w:name w:val="NormalBold"/>
    <w:basedOn w:val="Normal"/>
    <w:rsid w:val="00FC1A51"/>
    <w:rPr>
      <w:b/>
    </w:rPr>
  </w:style>
  <w:style w:type="paragraph" w:customStyle="1" w:styleId="NormalHanging12a">
    <w:name w:val="NormalHanging12a"/>
    <w:basedOn w:val="Normal"/>
    <w:link w:val="NormalHanging12aChar"/>
    <w:rsid w:val="00FC1A51"/>
    <w:pPr>
      <w:spacing w:after="240"/>
      <w:ind w:left="567" w:hanging="567"/>
    </w:pPr>
  </w:style>
  <w:style w:type="paragraph" w:customStyle="1" w:styleId="NormalBold24a">
    <w:name w:val="NormalBold24a"/>
    <w:basedOn w:val="Normal"/>
    <w:rsid w:val="00FC1A51"/>
    <w:pPr>
      <w:spacing w:after="480"/>
    </w:pPr>
    <w:rPr>
      <w:b/>
      <w:bCs/>
    </w:rPr>
  </w:style>
  <w:style w:type="paragraph" w:customStyle="1" w:styleId="EPComma">
    <w:name w:val="EPComma"/>
    <w:basedOn w:val="Normal"/>
    <w:rsid w:val="00FC1A51"/>
    <w:pPr>
      <w:spacing w:before="480" w:after="240"/>
    </w:pPr>
  </w:style>
  <w:style w:type="character" w:styleId="Hyperlink">
    <w:name w:val="Hyperlink"/>
    <w:basedOn w:val="DefaultParagraphFont"/>
    <w:rsid w:val="00FC1A51"/>
    <w:rPr>
      <w:color w:val="0563C1" w:themeColor="hyperlink"/>
      <w:u w:val="single"/>
    </w:rPr>
  </w:style>
  <w:style w:type="paragraph" w:customStyle="1" w:styleId="Institutionquiagit">
    <w:name w:val="Institution qui agit"/>
    <w:basedOn w:val="Normal"/>
    <w:next w:val="Normal"/>
    <w:rsid w:val="00FC1A51"/>
    <w:pPr>
      <w:keepNext/>
      <w:snapToGrid w:val="0"/>
      <w:spacing w:after="240"/>
    </w:pPr>
    <w:rPr>
      <w:i/>
      <w:lang w:eastAsia="en-US"/>
    </w:rPr>
  </w:style>
  <w:style w:type="paragraph" w:customStyle="1" w:styleId="Institutionquisigne">
    <w:name w:val="Institution qui signe"/>
    <w:basedOn w:val="Normal"/>
    <w:next w:val="Normal"/>
    <w:rsid w:val="00FC1A5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C1A5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C1A5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C1A51"/>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FC1A51"/>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FC1A51"/>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FC1A51"/>
    <w:rPr>
      <w:sz w:val="24"/>
      <w:lang w:val="lv-LV"/>
    </w:rPr>
  </w:style>
  <w:style w:type="character" w:customStyle="1" w:styleId="PageHeadingChar">
    <w:name w:val="PageHeading Char"/>
    <w:basedOn w:val="DefaultParagraphFont"/>
    <w:link w:val="PageHeading"/>
    <w:rsid w:val="00FC1A51"/>
    <w:rPr>
      <w:rFonts w:ascii="Arial" w:hAnsi="Arial" w:cs="Arial"/>
      <w:b/>
      <w:sz w:val="24"/>
      <w:lang w:val="lv-LV"/>
    </w:rPr>
  </w:style>
  <w:style w:type="paragraph" w:styleId="Header">
    <w:name w:val="header"/>
    <w:basedOn w:val="Normal"/>
    <w:link w:val="HeaderChar"/>
    <w:rsid w:val="008E2A9E"/>
    <w:pPr>
      <w:tabs>
        <w:tab w:val="center" w:pos="4513"/>
        <w:tab w:val="right" w:pos="9026"/>
      </w:tabs>
    </w:pPr>
  </w:style>
  <w:style w:type="character" w:customStyle="1" w:styleId="HeaderChar">
    <w:name w:val="Header Char"/>
    <w:basedOn w:val="DefaultParagraphFont"/>
    <w:link w:val="Header"/>
    <w:rsid w:val="008E2A9E"/>
    <w:rPr>
      <w:sz w:val="24"/>
      <w:lang w:val="lv-LV"/>
    </w:rPr>
  </w:style>
  <w:style w:type="paragraph" w:styleId="Footer">
    <w:name w:val="footer"/>
    <w:basedOn w:val="Normal"/>
    <w:link w:val="FooterChar"/>
    <w:rsid w:val="008E2A9E"/>
    <w:pPr>
      <w:tabs>
        <w:tab w:val="center" w:pos="4513"/>
        <w:tab w:val="right" w:pos="9026"/>
      </w:tabs>
    </w:pPr>
  </w:style>
  <w:style w:type="character" w:customStyle="1" w:styleId="FooterChar">
    <w:name w:val="Footer Char"/>
    <w:basedOn w:val="DefaultParagraphFont"/>
    <w:link w:val="Footer"/>
    <w:rsid w:val="008E2A9E"/>
    <w:rPr>
      <w:sz w:val="24"/>
      <w:lang w:val="lv-LV"/>
    </w:rPr>
  </w:style>
  <w:style w:type="paragraph" w:styleId="Revision">
    <w:name w:val="Revision"/>
    <w:hidden/>
    <w:uiPriority w:val="99"/>
    <w:semiHidden/>
    <w:rsid w:val="0036641D"/>
    <w:rPr>
      <w:sz w:val="24"/>
      <w:lang w:val="lv-LV"/>
    </w:rPr>
  </w:style>
  <w:style w:type="character" w:styleId="CommentReference">
    <w:name w:val="annotation reference"/>
    <w:basedOn w:val="DefaultParagraphFont"/>
    <w:rsid w:val="0008452B"/>
    <w:rPr>
      <w:sz w:val="16"/>
      <w:szCs w:val="16"/>
    </w:rPr>
  </w:style>
  <w:style w:type="paragraph" w:styleId="CommentText">
    <w:name w:val="annotation text"/>
    <w:basedOn w:val="Normal"/>
    <w:link w:val="CommentTextChar"/>
    <w:rsid w:val="0008452B"/>
    <w:rPr>
      <w:sz w:val="20"/>
    </w:rPr>
  </w:style>
  <w:style w:type="character" w:customStyle="1" w:styleId="CommentTextChar">
    <w:name w:val="Comment Text Char"/>
    <w:basedOn w:val="DefaultParagraphFont"/>
    <w:link w:val="CommentText"/>
    <w:rsid w:val="0008452B"/>
    <w:rPr>
      <w:lang w:val="lv-LV"/>
    </w:rPr>
  </w:style>
  <w:style w:type="paragraph" w:styleId="CommentSubject">
    <w:name w:val="annotation subject"/>
    <w:basedOn w:val="CommentText"/>
    <w:next w:val="CommentText"/>
    <w:link w:val="CommentSubjectChar"/>
    <w:rsid w:val="0008452B"/>
    <w:rPr>
      <w:b/>
      <w:bCs/>
    </w:rPr>
  </w:style>
  <w:style w:type="character" w:customStyle="1" w:styleId="CommentSubjectChar">
    <w:name w:val="Comment Subject Char"/>
    <w:basedOn w:val="CommentTextChar"/>
    <w:link w:val="CommentSubject"/>
    <w:rsid w:val="0008452B"/>
    <w:rPr>
      <w:b/>
      <w:bCs/>
      <w:lang w:val="lv-LV"/>
    </w:rPr>
  </w:style>
  <w:style w:type="paragraph" w:customStyle="1" w:styleId="Normal24Bold">
    <w:name w:val="Normal24Bold"/>
    <w:basedOn w:val="Normal"/>
    <w:rsid w:val="00277A6F"/>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1176</Words>
  <Characters>7848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2025-12-17T07:25:00Z</dcterms:created>
  <dcterms:modified xsi:type="dcterms:W3CDTF">2025-12-17T07:25:00Z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P10_TA(2025)0220_</vt:lpwstr>
  </property>
  <property fmtid="{D5CDD505-2E9C-101B-9397-08002B2CF9AE}" pid="4" name="&lt;Type&gt;">
    <vt:lpwstr>RR</vt:lpwstr>
  </property>
</Properties>
</file>