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B77" w14:paraId="119BB3D4" w14:textId="77777777" w:rsidTr="0010095E">
        <w:trPr>
          <w:trHeight w:hRule="exact" w:val="1418"/>
        </w:trPr>
        <w:tc>
          <w:tcPr>
            <w:tcW w:w="6804" w:type="dxa"/>
            <w:shd w:val="clear" w:color="auto" w:fill="auto"/>
            <w:vAlign w:val="center"/>
          </w:tcPr>
          <w:p w14:paraId="4B0EC55E" w14:textId="77777777" w:rsidR="00751A4A" w:rsidRPr="00C91B77" w:rsidRDefault="000324A3" w:rsidP="0010095E">
            <w:pPr>
              <w:pStyle w:val="EPName"/>
            </w:pPr>
            <w:r w:rsidRPr="00C91B77">
              <w:t>Europees Parlement</w:t>
            </w:r>
          </w:p>
          <w:p w14:paraId="10B67680" w14:textId="77777777" w:rsidR="00751A4A" w:rsidRPr="00C91B77" w:rsidRDefault="005F1B17" w:rsidP="005F1B17">
            <w:pPr>
              <w:pStyle w:val="EPTerm"/>
              <w:rPr>
                <w:rStyle w:val="HideTWBExt"/>
                <w:noProof w:val="0"/>
                <w:vanish w:val="0"/>
                <w:color w:val="auto"/>
              </w:rPr>
            </w:pPr>
            <w:r w:rsidRPr="00C91B77">
              <w:t>2024</w:t>
            </w:r>
            <w:r w:rsidR="00817416" w:rsidRPr="00C91B77">
              <w:t>-202</w:t>
            </w:r>
            <w:r w:rsidRPr="00C91B77">
              <w:t>9</w:t>
            </w:r>
          </w:p>
        </w:tc>
        <w:tc>
          <w:tcPr>
            <w:tcW w:w="2268" w:type="dxa"/>
            <w:shd w:val="clear" w:color="auto" w:fill="auto"/>
          </w:tcPr>
          <w:p w14:paraId="42ECCDB0" w14:textId="77777777" w:rsidR="00751A4A" w:rsidRPr="00C91B77" w:rsidRDefault="00187494" w:rsidP="0010095E">
            <w:pPr>
              <w:pStyle w:val="EPLogo"/>
            </w:pPr>
            <w:r w:rsidRPr="00C91B77">
              <w:rPr>
                <w:noProof/>
                <w:lang w:eastAsia="ja-JP"/>
              </w:rPr>
              <w:drawing>
                <wp:inline distT="0" distB="0" distL="0" distR="0" wp14:anchorId="326A3CC3" wp14:editId="30A9E1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4E8C28" w14:textId="77777777" w:rsidR="00D058B8" w:rsidRPr="00C91B77" w:rsidRDefault="00D058B8" w:rsidP="004C5D52">
      <w:pPr>
        <w:pStyle w:val="LineTop"/>
      </w:pPr>
    </w:p>
    <w:p w14:paraId="6963A096" w14:textId="77777777" w:rsidR="00680577" w:rsidRPr="00C91B77" w:rsidRDefault="000324A3" w:rsidP="00680577">
      <w:pPr>
        <w:pStyle w:val="EPBodyTA1"/>
      </w:pPr>
      <w:r w:rsidRPr="00C91B77">
        <w:t>AANGENOMEN TEKSTEN</w:t>
      </w:r>
    </w:p>
    <w:p w14:paraId="2E149454" w14:textId="77777777" w:rsidR="00D058B8" w:rsidRPr="00C91B77" w:rsidRDefault="00D058B8" w:rsidP="00D058B8">
      <w:pPr>
        <w:pStyle w:val="LineBottom"/>
      </w:pPr>
    </w:p>
    <w:p w14:paraId="668B1B54" w14:textId="44C0DD9A" w:rsidR="000324A3" w:rsidRPr="00C91B77" w:rsidRDefault="000324A3" w:rsidP="000324A3">
      <w:pPr>
        <w:pStyle w:val="ATHeading1"/>
      </w:pPr>
      <w:bookmarkStart w:id="0" w:name="TANumber"/>
      <w:r w:rsidRPr="00C91B77">
        <w:t>P10_TA(2025)0</w:t>
      </w:r>
      <w:r w:rsidR="00C749BE" w:rsidRPr="00C91B77">
        <w:t>220</w:t>
      </w:r>
      <w:bookmarkEnd w:id="0"/>
    </w:p>
    <w:p w14:paraId="01A443EE" w14:textId="77777777" w:rsidR="000324A3" w:rsidRPr="00C91B77" w:rsidRDefault="000324A3" w:rsidP="000324A3">
      <w:pPr>
        <w:pStyle w:val="ATHeading2"/>
      </w:pPr>
      <w:bookmarkStart w:id="1" w:name="title"/>
      <w:r w:rsidRPr="00C91B77">
        <w:t>Beschikbaarstelling van middelen uit het Europees Fonds voor aanpassing aan de globalisering: aanvraag EGF/2025/001 BE/BelGaN van België</w:t>
      </w:r>
      <w:bookmarkEnd w:id="1"/>
    </w:p>
    <w:p w14:paraId="15CEAFD8" w14:textId="77777777" w:rsidR="000324A3" w:rsidRPr="00C91B77" w:rsidRDefault="000324A3" w:rsidP="000324A3">
      <w:pPr>
        <w:rPr>
          <w:i/>
          <w:vanish/>
        </w:rPr>
      </w:pPr>
      <w:r w:rsidRPr="00C91B77">
        <w:rPr>
          <w:i/>
        </w:rPr>
        <w:fldChar w:fldCharType="begin"/>
      </w:r>
      <w:r w:rsidRPr="00C91B77">
        <w:rPr>
          <w:i/>
        </w:rPr>
        <w:instrText xml:space="preserve"> TC"(</w:instrText>
      </w:r>
      <w:bookmarkStart w:id="2" w:name="DocNumber"/>
      <w:r w:rsidRPr="00C91B77">
        <w:rPr>
          <w:i/>
        </w:rPr>
        <w:instrText>A10-0163/2025</w:instrText>
      </w:r>
      <w:bookmarkEnd w:id="2"/>
      <w:r w:rsidRPr="00C91B77">
        <w:rPr>
          <w:i/>
        </w:rPr>
        <w:instrText xml:space="preserve"> - Rapporteur: Bogdan Rzońca)"\l3 \n&gt; \* MERGEFORMAT </w:instrText>
      </w:r>
      <w:r w:rsidRPr="00C91B77">
        <w:rPr>
          <w:i/>
        </w:rPr>
        <w:fldChar w:fldCharType="end"/>
      </w:r>
    </w:p>
    <w:p w14:paraId="353CB5A8" w14:textId="77777777" w:rsidR="000324A3" w:rsidRPr="00C91B77" w:rsidRDefault="000324A3" w:rsidP="000324A3">
      <w:pPr>
        <w:rPr>
          <w:vanish/>
        </w:rPr>
      </w:pPr>
      <w:bookmarkStart w:id="3" w:name="Commission"/>
      <w:r w:rsidRPr="00C91B77">
        <w:rPr>
          <w:vanish/>
        </w:rPr>
        <w:t>Begrotingscommissie</w:t>
      </w:r>
      <w:bookmarkEnd w:id="3"/>
    </w:p>
    <w:p w14:paraId="7511B83F" w14:textId="77777777" w:rsidR="000324A3" w:rsidRPr="00C91B77" w:rsidRDefault="000324A3" w:rsidP="000324A3">
      <w:pPr>
        <w:rPr>
          <w:vanish/>
        </w:rPr>
      </w:pPr>
      <w:bookmarkStart w:id="4" w:name="PE"/>
      <w:r w:rsidRPr="00C91B77">
        <w:rPr>
          <w:vanish/>
        </w:rPr>
        <w:t>PE776.825</w:t>
      </w:r>
      <w:bookmarkEnd w:id="4"/>
    </w:p>
    <w:p w14:paraId="43D632A6" w14:textId="5A44F5DD" w:rsidR="000324A3" w:rsidRPr="00C91B77" w:rsidRDefault="000324A3" w:rsidP="000324A3">
      <w:pPr>
        <w:pStyle w:val="ATHeading3"/>
      </w:pPr>
      <w:bookmarkStart w:id="5" w:name="Sujet"/>
      <w:r w:rsidRPr="00C91B77">
        <w:t xml:space="preserve">Resolutie van het Europees Parlement van </w:t>
      </w:r>
      <w:r w:rsidR="00F816A3" w:rsidRPr="00C91B77">
        <w:t xml:space="preserve">8 </w:t>
      </w:r>
      <w:r w:rsidRPr="00C91B77">
        <w:t>oktober 2025 over het voorstel voor een besluit van het Europees Parlement en de Raad betreffende de beschikbaarstelling van middelen uit het Europees Fonds voor aanpassing aan de globalisering voor ontslagen werknemers naar aanleiding van aanvraag EGF/2025/001 BE/BelGaN van België</w:t>
      </w:r>
      <w:bookmarkEnd w:id="5"/>
      <w:r w:rsidRPr="00C91B77">
        <w:t xml:space="preserve"> </w:t>
      </w:r>
      <w:bookmarkStart w:id="6" w:name="References"/>
      <w:r w:rsidRPr="00C91B77">
        <w:t>(COM(2025)0157 – C10-0188/2025 – 2025/0198(BUD))</w:t>
      </w:r>
      <w:bookmarkEnd w:id="6"/>
    </w:p>
    <w:p w14:paraId="17C12D44" w14:textId="77777777" w:rsidR="00CB3D7F" w:rsidRPr="00C91B77" w:rsidRDefault="00CB3D7F" w:rsidP="00CB3D7F">
      <w:pPr>
        <w:pStyle w:val="EPComma"/>
        <w:rPr>
          <w:noProof/>
        </w:rPr>
      </w:pPr>
      <w:r w:rsidRPr="00C91B77">
        <w:rPr>
          <w:i/>
        </w:rPr>
        <w:t>Het Europees Parlement</w:t>
      </w:r>
      <w:r w:rsidRPr="00C91B77">
        <w:t>,</w:t>
      </w:r>
    </w:p>
    <w:p w14:paraId="68F24665" w14:textId="77777777" w:rsidR="00CB3D7F" w:rsidRPr="00C91B77" w:rsidRDefault="00CB3D7F" w:rsidP="00CB3D7F">
      <w:pPr>
        <w:pStyle w:val="NormalHanging12a"/>
        <w:rPr>
          <w:noProof/>
        </w:rPr>
      </w:pPr>
      <w:r w:rsidRPr="00C91B77">
        <w:t>–</w:t>
      </w:r>
      <w:r w:rsidRPr="00C91B77">
        <w:tab/>
        <w:t>gezien het voorstel van de Commissie aan het Europees Parlement en de Raad (COM(2025)0157 – C10</w:t>
      </w:r>
      <w:r w:rsidRPr="00C91B77">
        <w:noBreakHyphen/>
        <w:t>0188/2025),</w:t>
      </w:r>
    </w:p>
    <w:p w14:paraId="31836F7A" w14:textId="77777777" w:rsidR="00CB3D7F" w:rsidRPr="00C91B77" w:rsidRDefault="00CB3D7F" w:rsidP="00CB3D7F">
      <w:pPr>
        <w:pStyle w:val="NormalHanging12a"/>
        <w:rPr>
          <w:noProof/>
        </w:rPr>
      </w:pPr>
      <w:r w:rsidRPr="00C91B77">
        <w:t>–</w:t>
      </w:r>
      <w:r w:rsidRPr="00C91B77">
        <w:tab/>
        <w:t>gezien Verordening (EU) 2021/691 van het Europees Parlement en de Raad van 28 april 2021 betreffende het Europees Fonds voor aanpassing aan de globalisering voor ontslagen werknemers (EFG) en tot wijziging van Verordening (EU) nr. 1309/2013</w:t>
      </w:r>
      <w:r w:rsidRPr="00C91B77">
        <w:rPr>
          <w:rStyle w:val="FootnoteReference"/>
        </w:rPr>
        <w:footnoteReference w:id="1"/>
      </w:r>
      <w:r w:rsidRPr="00C91B77">
        <w:t xml:space="preserve"> (“EFG-verordening”),</w:t>
      </w:r>
    </w:p>
    <w:p w14:paraId="1A586C8C" w14:textId="77777777" w:rsidR="00CB3D7F" w:rsidRPr="00C91B77" w:rsidRDefault="00CB3D7F" w:rsidP="00CB3D7F">
      <w:pPr>
        <w:pStyle w:val="NormalHanging12a"/>
        <w:rPr>
          <w:noProof/>
        </w:rPr>
      </w:pPr>
      <w:r w:rsidRPr="00C91B77">
        <w:t>–</w:t>
      </w:r>
      <w:r w:rsidRPr="00C91B77">
        <w:tab/>
        <w:t>gezien Verordening (EU, Euratom) 2020/2093 van de Raad van 17 december 2020 tot bepaling van het meerjarig financieel kader voor de jaren 2021-2027</w:t>
      </w:r>
      <w:r w:rsidRPr="00C91B77">
        <w:rPr>
          <w:rStyle w:val="FootnoteReference"/>
          <w:noProof/>
        </w:rPr>
        <w:footnoteReference w:id="2"/>
      </w:r>
      <w:r w:rsidRPr="00C91B77">
        <w:t>, zoals gewijzigd bij Verordening (EU, Euratom) 2024/765</w:t>
      </w:r>
      <w:r w:rsidRPr="00C91B77">
        <w:rPr>
          <w:rStyle w:val="FootnoteReference"/>
          <w:noProof/>
        </w:rPr>
        <w:footnoteReference w:id="3"/>
      </w:r>
      <w:r w:rsidRPr="00C91B77">
        <w:t>, en met name artikel 8,</w:t>
      </w:r>
    </w:p>
    <w:p w14:paraId="4D48E670" w14:textId="77777777" w:rsidR="00CB3D7F" w:rsidRPr="00C91B77" w:rsidRDefault="00CB3D7F" w:rsidP="00CB3D7F">
      <w:pPr>
        <w:pStyle w:val="NormalHanging12a"/>
        <w:rPr>
          <w:noProof/>
        </w:rPr>
      </w:pPr>
      <w:r w:rsidRPr="00C91B77">
        <w:t>–</w:t>
      </w:r>
      <w:r w:rsidRPr="00C91B77">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C91B77">
        <w:lastRenderedPageBreak/>
        <w:t>invoering van nieuwe eigen middelen</w:t>
      </w:r>
      <w:r w:rsidRPr="00C91B77">
        <w:rPr>
          <w:rStyle w:val="FootnoteReference"/>
          <w:noProof/>
        </w:rPr>
        <w:footnoteReference w:id="4"/>
      </w:r>
      <w:r w:rsidRPr="00C91B77">
        <w:t>, en met name punt 12,</w:t>
      </w:r>
    </w:p>
    <w:p w14:paraId="00BD3DA5" w14:textId="77777777" w:rsidR="00CB3D7F" w:rsidRPr="00C91B77" w:rsidRDefault="00CB3D7F" w:rsidP="00CB3D7F">
      <w:pPr>
        <w:pStyle w:val="NormalHanging12a"/>
        <w:rPr>
          <w:noProof/>
        </w:rPr>
      </w:pPr>
      <w:r w:rsidRPr="00C91B77">
        <w:t>–</w:t>
      </w:r>
      <w:r w:rsidRPr="00C91B77">
        <w:tab/>
        <w:t>gezien het advies van de Commissie werkgelegenheid en sociale zaken,</w:t>
      </w:r>
    </w:p>
    <w:p w14:paraId="76F28614" w14:textId="77777777" w:rsidR="00CB3D7F" w:rsidRPr="00C91B77" w:rsidRDefault="00CB3D7F" w:rsidP="00CB3D7F">
      <w:pPr>
        <w:pStyle w:val="NormalHanging12a"/>
      </w:pPr>
      <w:r w:rsidRPr="00C91B77">
        <w:t>–</w:t>
      </w:r>
      <w:r w:rsidRPr="00C91B77">
        <w:tab/>
        <w:t>gezien het verslag van de Begrotingscommissie (A10-0163/2025),</w:t>
      </w:r>
    </w:p>
    <w:p w14:paraId="510EB4BD" w14:textId="77777777" w:rsidR="00CB3D7F" w:rsidRPr="00C91B77" w:rsidRDefault="00CB3D7F" w:rsidP="00CB3D7F">
      <w:pPr>
        <w:pStyle w:val="NormalHanging12a"/>
        <w:rPr>
          <w:noProof/>
        </w:rPr>
      </w:pPr>
      <w:r w:rsidRPr="00C91B77">
        <w:t>A.</w:t>
      </w:r>
      <w:r w:rsidRPr="00C91B77">
        <w:tab/>
        <w:t>overwegende dat de Unie wetgevings- en begrotingsinstrumenten in het leven heeft geroepen om extra steun te verlenen aan werknemers die de gevolgen van grote structurele veranderingen in de wereldhandelsstromen of de wereldwijde financiële en economische crisis ondervinden, en hen te helpen om op de arbeidsmarkt terug te keren; overwegende dat deze bijstand wordt verleend in de vorm van financiële steun aan werknemers en aan de ondernemingen waarvoor zij hebben gewerkt;</w:t>
      </w:r>
    </w:p>
    <w:p w14:paraId="3C388543" w14:textId="483FC74A" w:rsidR="00CB3D7F" w:rsidRPr="00C91B77" w:rsidRDefault="00CB3D7F" w:rsidP="00CB3D7F">
      <w:pPr>
        <w:pStyle w:val="NormalHanging12a"/>
        <w:rPr>
          <w:noProof/>
        </w:rPr>
      </w:pPr>
      <w:r w:rsidRPr="00C91B77">
        <w:t>B.</w:t>
      </w:r>
      <w:r w:rsidRPr="00C91B77">
        <w:tab/>
        <w:t xml:space="preserve">overwegende dat België aanvraag EGF/2025/001 BE/BelGaN heeft ingediend voor een financiële bijdrage uit het Europees Fonds voor aanpassing aan de globalisering (EFG) naar aanleiding van 417 ontslagen in de economische sector die is ingedeeld in NACE Rev. 2 – afdeling 26 (Vervaardiging van computers, elektronische en optische producten) in de regio van de provincie Oost-Vlaanderen (BE23), met als referentieperiode van </w:t>
      </w:r>
      <w:r w:rsidR="00F816A3" w:rsidRPr="00C91B77">
        <w:t xml:space="preserve">4 </w:t>
      </w:r>
      <w:r w:rsidRPr="00C91B77">
        <w:t>maanden voor de aanvraag, de periode van 31 juli 2024 tot 30 november 2024;</w:t>
      </w:r>
    </w:p>
    <w:p w14:paraId="5F5D2392" w14:textId="51CD325B" w:rsidR="00CB3D7F" w:rsidRPr="00C91B77" w:rsidRDefault="00CB3D7F" w:rsidP="00CB3D7F">
      <w:pPr>
        <w:pStyle w:val="NormalHanging12a"/>
        <w:rPr>
          <w:noProof/>
        </w:rPr>
      </w:pPr>
      <w:r w:rsidRPr="00C91B77">
        <w:t>C.</w:t>
      </w:r>
      <w:r w:rsidRPr="00C91B77">
        <w:tab/>
        <w:t xml:space="preserve">overwegende dat de aanvraag is gebaseerd op de criteria voor steunverlening van artikel 4, lid 2, punt a), van de EFG-verordening, die vereisen dat binnen een referentieperiode van </w:t>
      </w:r>
      <w:r w:rsidR="00F816A3" w:rsidRPr="00C91B77">
        <w:t xml:space="preserve">4 </w:t>
      </w:r>
      <w:r w:rsidRPr="00C91B77">
        <w:t>maanden in een onderneming in een lidstaat de werkzaamheden van ten minste 200 ontslagen werknemers of zelfstandigen zijn beëindigd, met inbegrip van werknemers die zijn ontslagen bij leveranciers en downstreamproducenten;</w:t>
      </w:r>
    </w:p>
    <w:p w14:paraId="132A75C7" w14:textId="4811B582" w:rsidR="00CB3D7F" w:rsidRPr="00C91B77" w:rsidRDefault="00CB3D7F" w:rsidP="00CB3D7F">
      <w:pPr>
        <w:pStyle w:val="NormalHanging12a"/>
        <w:rPr>
          <w:noProof/>
        </w:rPr>
      </w:pPr>
      <w:bookmarkStart w:id="7" w:name="_Hlk207698597"/>
      <w:r w:rsidRPr="00C91B77">
        <w:t>D.</w:t>
      </w:r>
      <w:r w:rsidRPr="00C91B77">
        <w:tab/>
        <w:t xml:space="preserve">overwegende dat de Russische aanvalsoorlog tegen Oekraïne en de oplopende inflatie gevolgen hebben gehad voor de kosten van energie, materialen en arbeid, waardoor de marges van </w:t>
      </w:r>
      <w:r w:rsidR="00F816A3" w:rsidRPr="00C91B77">
        <w:rPr>
          <w:noProof/>
        </w:rPr>
        <w:t xml:space="preserve">BelGaN </w:t>
      </w:r>
      <w:r w:rsidRPr="00C91B77">
        <w:t>onder druk zijn komen te staan;</w:t>
      </w:r>
    </w:p>
    <w:bookmarkEnd w:id="7"/>
    <w:p w14:paraId="5EF50FAF" w14:textId="77777777" w:rsidR="00CB3D7F" w:rsidRPr="00C91B77" w:rsidRDefault="00CB3D7F" w:rsidP="00CB3D7F">
      <w:pPr>
        <w:pStyle w:val="NormalHanging12a"/>
        <w:rPr>
          <w:noProof/>
        </w:rPr>
      </w:pPr>
      <w:r w:rsidRPr="00C91B77">
        <w:t>E.</w:t>
      </w:r>
      <w:r w:rsidRPr="00C91B77">
        <w:tab/>
        <w:t>overwegende dat BelGaN gespecialiseerd was in de productie van halfgeleiders voor de automobielsector; overwegende dat de Europese automobielsector en de toeleveringsbedrijven ervan te maken hebben met ongekende druk als gevolg van zowel externe als interne uitdagingen, zoals verstoring van het concurrentievermogen en hoge energiekosten;</w:t>
      </w:r>
    </w:p>
    <w:p w14:paraId="7A6795D8" w14:textId="77777777" w:rsidR="00CB3D7F" w:rsidRPr="00C91B77" w:rsidRDefault="00CB3D7F" w:rsidP="00CB3D7F">
      <w:pPr>
        <w:pStyle w:val="NormalHanging12a"/>
        <w:rPr>
          <w:noProof/>
        </w:rPr>
      </w:pPr>
      <w:r w:rsidRPr="00C91B77">
        <w:t>F.</w:t>
      </w:r>
      <w:r w:rsidRPr="00C91B77">
        <w:tab/>
        <w:t>overwegende dat de winstgevendheid van het bedrijf aanzienlijk is gedaald als gevolg van problemen met de cashflow door de overgang van chips op basis van silicium naar galliumnitride-technologie (GaN), die belemmerd werd door de hoge productiekosten en het gebrek aan investeringen tijdens de overgangsperiode;</w:t>
      </w:r>
    </w:p>
    <w:p w14:paraId="72EC8789" w14:textId="77777777" w:rsidR="00CB3D7F" w:rsidRPr="00C91B77" w:rsidRDefault="00CB3D7F" w:rsidP="00CB3D7F">
      <w:pPr>
        <w:pStyle w:val="NormalHanging12a"/>
        <w:rPr>
          <w:noProof/>
        </w:rPr>
      </w:pPr>
      <w:r w:rsidRPr="00C91B77">
        <w:t>G.</w:t>
      </w:r>
      <w:r w:rsidRPr="00C91B77">
        <w:tab/>
        <w:t>overwegende dat BelGaN op 30 juli 2024 faillissement heeft aangevraagd;</w:t>
      </w:r>
    </w:p>
    <w:p w14:paraId="77188D93" w14:textId="0C2911B2" w:rsidR="00CB3D7F" w:rsidRPr="00C91B77" w:rsidRDefault="00CB3D7F" w:rsidP="00CB3D7F">
      <w:pPr>
        <w:pStyle w:val="NormalHanging12a"/>
        <w:rPr>
          <w:noProof/>
        </w:rPr>
      </w:pPr>
      <w:r w:rsidRPr="00C91B77">
        <w:t>H.</w:t>
      </w:r>
      <w:r w:rsidRPr="00C91B77">
        <w:tab/>
        <w:t>overwegende dat de</w:t>
      </w:r>
      <w:r w:rsidR="001D55A9" w:rsidRPr="00C91B77">
        <w:t xml:space="preserve"> Vlaamse arbeidsbemiddelingsdienst</w:t>
      </w:r>
      <w:r w:rsidRPr="00C91B77">
        <w:t xml:space="preserve"> VDAB</w:t>
      </w:r>
      <w:r w:rsidRPr="00C91B77">
        <w:rPr>
          <w:rStyle w:val="FootnoteReference"/>
          <w:noProof/>
        </w:rPr>
        <w:footnoteReference w:id="5"/>
      </w:r>
      <w:r w:rsidRPr="00C91B77">
        <w:t xml:space="preserve"> de nationale voorfinanciering en medefinanciering van de maatregelen verstrekt;</w:t>
      </w:r>
    </w:p>
    <w:p w14:paraId="03FC3585" w14:textId="77777777" w:rsidR="00CB3D7F" w:rsidRPr="00C91B77" w:rsidRDefault="00CB3D7F" w:rsidP="00CB3D7F">
      <w:pPr>
        <w:pStyle w:val="NormalHanging12a"/>
        <w:rPr>
          <w:noProof/>
        </w:rPr>
      </w:pPr>
      <w:r w:rsidRPr="00C91B77">
        <w:t>I.</w:t>
      </w:r>
      <w:r w:rsidRPr="00C91B77">
        <w:tab/>
        <w:t xml:space="preserve">overwegende dat het bedrijf, met naleving van de Belgische wetgeving, de verplichte procedure voor het informeren en raadplegen van de werknemersvertegenwoordigers </w:t>
      </w:r>
      <w:r w:rsidRPr="00C91B77">
        <w:lastRenderedPageBreak/>
        <w:t xml:space="preserve">heeft gevolgd; overwegende dat de verplichting tot oprichting van een arbeidsbemiddelingscel, die tot doel heeft werknemers die in het kader van collectief ontslag zijn ontslagen, outplacementdiensten te verlenen, niet van toepassing is in geval van een faillissement en dat daardoor outplacementdiensten zijn verleend door de VDAB; </w:t>
      </w:r>
    </w:p>
    <w:p w14:paraId="7D9DDF31" w14:textId="77777777" w:rsidR="00CB3D7F" w:rsidRPr="00C91B77" w:rsidRDefault="00CB3D7F" w:rsidP="00CB3D7F">
      <w:pPr>
        <w:pStyle w:val="NormalHanging12a"/>
        <w:rPr>
          <w:noProof/>
        </w:rPr>
      </w:pPr>
      <w:r w:rsidRPr="00C91B77">
        <w:t>J.</w:t>
      </w:r>
      <w:r w:rsidRPr="00C91B77">
        <w:tab/>
        <w:t>overwegende dat financiële bijdragen uit het EFG in de eerste plaats gericht moeten zijn op actieve arbeidsmarktbeleidsmaatregelen en op gepersonaliseerde dienstverlening die tot doel hebben de begunstigden snel aan een fatsoenlijke en duurzame baan te helpen binnen of buiten de sector waar zij oorspronkelijk werkten, en hen voor te bereiden op een groenere en meer gedigitaliseerde Europese economie;</w:t>
      </w:r>
    </w:p>
    <w:p w14:paraId="2C885DA1" w14:textId="77777777" w:rsidR="00CB3D7F" w:rsidRPr="00C91B77" w:rsidRDefault="00CB3D7F" w:rsidP="00CB3D7F">
      <w:pPr>
        <w:pStyle w:val="NormalHanging12a"/>
        <w:rPr>
          <w:noProof/>
        </w:rPr>
      </w:pPr>
      <w:r w:rsidRPr="00C91B77">
        <w:t>K.</w:t>
      </w:r>
      <w:r w:rsidRPr="00C91B77">
        <w:tab/>
        <w:t>overwegende dat het EFG een jaarlijks maximumbedrag van 30 miljoen EUR (in prijzen van 2018) niet mag overschrijden, zoals vastgesteld in artikel 8 van Verordening (EU, Euratom) 2020/2093, zoals gewijzigd bij Verordening (EU, Euratom) 2024/765;</w:t>
      </w:r>
    </w:p>
    <w:p w14:paraId="7678F792" w14:textId="77777777" w:rsidR="00CB3D7F" w:rsidRPr="00C91B77" w:rsidRDefault="00CB3D7F" w:rsidP="00CB3D7F">
      <w:pPr>
        <w:pStyle w:val="NormalHanging12a"/>
        <w:rPr>
          <w:noProof/>
        </w:rPr>
      </w:pPr>
      <w:r w:rsidRPr="00C91B77">
        <w:t>1.</w:t>
      </w:r>
      <w:r w:rsidRPr="00C91B77">
        <w:tab/>
        <w:t>is het met de Commissie eens dat is voldaan aan de voorwaarden van artikel 4, lid 2, punt a), van de EFG-verordening en dat België uit hoofde van die verordening recht heeft op een financiële bijdrage ter hoogte van 931 690 EUR, wat overeenkomt met 85 % van de totale kosten van 1 096 107 EUR, waarvan 1 052 607 EUR verband houdt met gepersonaliseerde dienstverlening en 43 500 EUR verband houdt met maatregelen op het gebied van voorbereiding, beheer, voorlichting, publiciteit, controle en rapportage;</w:t>
      </w:r>
    </w:p>
    <w:p w14:paraId="19BE9580" w14:textId="77777777" w:rsidR="00CB3D7F" w:rsidRPr="00C91B77" w:rsidRDefault="00CB3D7F" w:rsidP="00CB3D7F">
      <w:pPr>
        <w:pStyle w:val="NormalHanging12a"/>
        <w:rPr>
          <w:noProof/>
        </w:rPr>
      </w:pPr>
      <w:r w:rsidRPr="00C91B77">
        <w:t xml:space="preserve">2. </w:t>
      </w:r>
      <w:r w:rsidRPr="00C91B77">
        <w:tab/>
        <w:t>neemt er nota van dat de Belgische autoriteiten op 21 februari 2025 de aanvraag hebben ingediend en dat de Commissie, nadat België aanvullende gegevens had verstrekt, haar beoordeling bijna vijf maanden later, op 7 juli 2025, heeft afgerond en het Parlement hiervan op 26 augustus 2025 in kennis heeft gesteld; benadrukt dat de tijd tussen de indiening van een aanvraag voor EFG-bijstand en het financieringsbesluit moet worden verkort; onderstreept dat de interne procedures moeten worden vereenvoudigd en versneld zonder afbreuk te doen aan het institutionele evenwicht, met name de rechten van het Europees Parlement als begrotingsautoriteit;</w:t>
      </w:r>
    </w:p>
    <w:p w14:paraId="3F7A13E9" w14:textId="77777777" w:rsidR="00CB3D7F" w:rsidRPr="00C91B77" w:rsidRDefault="00CB3D7F" w:rsidP="00CB3D7F">
      <w:pPr>
        <w:pStyle w:val="NormalHanging12a"/>
        <w:rPr>
          <w:noProof/>
        </w:rPr>
      </w:pPr>
      <w:r w:rsidRPr="00C91B77">
        <w:t>3.</w:t>
      </w:r>
      <w:r w:rsidRPr="00C91B77">
        <w:tab/>
        <w:t>merkt op dat de aanvraag betrekking heeft op 417 werknemers die bij het bedrijf BelGaN werden ontslagen;</w:t>
      </w:r>
    </w:p>
    <w:p w14:paraId="495AA544" w14:textId="77777777" w:rsidR="00CB3D7F" w:rsidRPr="00C91B77" w:rsidRDefault="00CB3D7F" w:rsidP="00CB3D7F">
      <w:pPr>
        <w:pStyle w:val="NormalHanging12a"/>
        <w:rPr>
          <w:noProof/>
        </w:rPr>
      </w:pPr>
      <w:r w:rsidRPr="00C91B77">
        <w:t>4.</w:t>
      </w:r>
      <w:r w:rsidRPr="00C91B77">
        <w:tab/>
        <w:t>wijst erop dat door de ontslagen bij BelGaN het jaarlijkse werkloosheidspercentage in het gebied rond Oudenaarde met 9 % is gestegen, met name onder de werklozen die hoog- en middelhoog opgeleid zijn; merkt op dat tegelijkertijd het aantal vacatures in het gebied met 22 % is gedaald door de sterke stijging van het aantal ondernemingen dat de afgelopen drie jaar faillissement heeft aangevraagd;</w:t>
      </w:r>
    </w:p>
    <w:p w14:paraId="3582F074" w14:textId="77777777" w:rsidR="00CB3D7F" w:rsidRPr="00C91B77" w:rsidRDefault="00CB3D7F" w:rsidP="00CB3D7F">
      <w:pPr>
        <w:pStyle w:val="NormalHanging12a"/>
        <w:rPr>
          <w:noProof/>
        </w:rPr>
      </w:pPr>
      <w:r w:rsidRPr="00C91B77">
        <w:t>5.</w:t>
      </w:r>
      <w:r w:rsidRPr="00C91B77">
        <w:tab/>
        <w:t xml:space="preserve">merkt op dat de gepersonaliseerde dienstverlening die aan de betrokken werknemers moet worden verstrekt het volgende omvat: informatiesessies, outplacement, opleiding en omscholing, opleiding op de werkplek, een banenbeurs, hulp bij het zoeken naar werk, jobscouting en jobmatching, met als doel werknemers in staat te stellen zo snel mogelijk naar de arbeidsmarkt terug te keren, ze daarvoor klaar te stomen met hoogwaardige vaardigheden en opleidingen die relevant zijn voor toekomstige werkgevers in de sector, en tegelijkertijd hun capaciteiten te ontwikkelen om ondernemersinitiatieven te ontplooien en nieuwe projecten op te zetten; benadrukt in dit verband dat een goed opgeleide beroepsbevolking van essentieel belang is voor een </w:t>
      </w:r>
      <w:r w:rsidRPr="00C91B77">
        <w:lastRenderedPageBreak/>
        <w:t>toekomstbestendige Europese economie;</w:t>
      </w:r>
    </w:p>
    <w:p w14:paraId="7B4F684E" w14:textId="77777777" w:rsidR="00CB3D7F" w:rsidRPr="00C91B77" w:rsidRDefault="00CB3D7F" w:rsidP="00CB3D7F">
      <w:pPr>
        <w:pStyle w:val="NormalHanging12a"/>
        <w:rPr>
          <w:bCs/>
          <w:iCs/>
          <w:noProof/>
        </w:rPr>
      </w:pPr>
      <w:r w:rsidRPr="00C91B77">
        <w:t>6.</w:t>
      </w:r>
      <w:r w:rsidRPr="00C91B77">
        <w:tab/>
        <w:t>dringt aan op uitgebreide eindevaluaties van de uitgevoerde maatregelen, waarin gegevens zijn opgenomen over het aantal succesvolle herintreders in het arbeidsproces en feedback van begunstigden over de kwaliteit en relevantie van de verleende steun;</w:t>
      </w:r>
    </w:p>
    <w:p w14:paraId="30617432" w14:textId="1E9899BB" w:rsidR="00CB3D7F" w:rsidRPr="00C91B77" w:rsidRDefault="00CB3D7F" w:rsidP="00CB3D7F">
      <w:pPr>
        <w:pStyle w:val="NormalHanging12a"/>
        <w:rPr>
          <w:noProof/>
        </w:rPr>
      </w:pPr>
      <w:r w:rsidRPr="00C91B77">
        <w:t>7.</w:t>
      </w:r>
      <w:r w:rsidRPr="00C91B77">
        <w:tab/>
        <w:t xml:space="preserve">stelt vast dat België op 8 augustus 2024 is begonnen met het verlenen van gepersonaliseerde diensten aan de beoogde begunstigden, wat betekent dat vanaf die datum tot 24 maanden na de datum van inwerkingtreding van het </w:t>
      </w:r>
      <w:r w:rsidR="00F816A3" w:rsidRPr="00C91B77">
        <w:t xml:space="preserve">bij deze resolutie gevoegde besluit </w:t>
      </w:r>
      <w:r w:rsidRPr="00C91B77">
        <w:t>aanspraak kan worden gemaakt op een financiële bijdrage uit het EFG;</w:t>
      </w:r>
    </w:p>
    <w:p w14:paraId="25B35F62" w14:textId="5F4E5A06" w:rsidR="00CB3D7F" w:rsidRPr="00C91B77" w:rsidRDefault="00CB3D7F" w:rsidP="00CB3D7F">
      <w:pPr>
        <w:pStyle w:val="NormalHanging12a"/>
        <w:rPr>
          <w:noProof/>
        </w:rPr>
      </w:pPr>
      <w:r w:rsidRPr="00C91B77">
        <w:t>8.</w:t>
      </w:r>
      <w:r w:rsidRPr="00C91B77">
        <w:tab/>
        <w:t xml:space="preserve">merkt op dat België op 31 juli 2024 de eerste administratieve uitgaven heeft gedaan met het oog op de uitvoering van het EFG, en dat deze uitgaven bijgevolg vanaf die datum tot 31 maanden na de datum van inwerkingtreding van het </w:t>
      </w:r>
      <w:r w:rsidR="00F816A3" w:rsidRPr="00C91B77">
        <w:t xml:space="preserve">bij deze resolutie gevoegde besluit </w:t>
      </w:r>
      <w:r w:rsidRPr="00C91B77">
        <w:t>in aanmerking komen voor een financiële bijdrage uit het EFG;</w:t>
      </w:r>
    </w:p>
    <w:p w14:paraId="6D5EF56F" w14:textId="77777777" w:rsidR="00CB3D7F" w:rsidRPr="00C91B77" w:rsidRDefault="00CB3D7F" w:rsidP="00CB3D7F">
      <w:pPr>
        <w:pStyle w:val="NormalHanging12a"/>
        <w:rPr>
          <w:noProof/>
        </w:rPr>
      </w:pPr>
      <w:r w:rsidRPr="00C91B77">
        <w:t>9.</w:t>
      </w:r>
      <w:r w:rsidRPr="00C91B77">
        <w:tab/>
        <w:t>onderstreept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14:paraId="6EFAA46C" w14:textId="5D49AD53" w:rsidR="00CB3D7F" w:rsidRPr="00C91B77" w:rsidRDefault="00CB3D7F" w:rsidP="00CB3D7F">
      <w:pPr>
        <w:pStyle w:val="NormalHanging12a"/>
        <w:rPr>
          <w:bCs/>
          <w:iCs/>
          <w:noProof/>
        </w:rPr>
      </w:pPr>
      <w:r w:rsidRPr="00C91B77">
        <w:t>10.</w:t>
      </w:r>
      <w:r w:rsidRPr="00C91B77">
        <w:tab/>
        <w:t xml:space="preserve">benadrukt dat er moet worden toegezien op een duidelijke erkenning en zichtbaarheid van </w:t>
      </w:r>
      <w:r w:rsidR="00035C5C" w:rsidRPr="00C91B77">
        <w:t>E</w:t>
      </w:r>
      <w:r w:rsidRPr="00C91B77">
        <w:t>U</w:t>
      </w:r>
      <w:r w:rsidR="00035C5C" w:rsidRPr="00C91B77">
        <w:t>-</w:t>
      </w:r>
      <w:r w:rsidRPr="00C91B77">
        <w:t>financiering om de meerwaarde ervan te benadrukken; pleit voor consistente en doelgerichte communicatie met begunstigden, regionale en lokale autoriteiten, de sociale partners, de media en het bredere publiek;</w:t>
      </w:r>
    </w:p>
    <w:p w14:paraId="2082C23D" w14:textId="77777777" w:rsidR="00CB3D7F" w:rsidRPr="00C91B77" w:rsidRDefault="00CB3D7F" w:rsidP="00CB3D7F">
      <w:pPr>
        <w:pStyle w:val="NormalHanging12a"/>
        <w:rPr>
          <w:noProof/>
        </w:rPr>
      </w:pPr>
      <w:r w:rsidRPr="00C91B77">
        <w:t>11.</w:t>
      </w:r>
      <w:r w:rsidRPr="00C91B77">
        <w:tab/>
        <w:t>wijst er andermaal op dat steun uit het EFG geen vervanging mag zijn voor maatregelen die op grond van nationale wetgeving of collectieve arbeidsovereenkomsten onder de verantwoordelijkheid van bedrijven vallen;</w:t>
      </w:r>
    </w:p>
    <w:p w14:paraId="53627381" w14:textId="77777777" w:rsidR="00CB3D7F" w:rsidRPr="00C91B77" w:rsidRDefault="00CB3D7F" w:rsidP="00CB3D7F">
      <w:pPr>
        <w:pStyle w:val="NormalHanging12a"/>
        <w:rPr>
          <w:noProof/>
        </w:rPr>
      </w:pPr>
      <w:r w:rsidRPr="00C91B77">
        <w:t>12.</w:t>
      </w:r>
      <w:r w:rsidRPr="00C91B77">
        <w:tab/>
        <w:t>hecht zijn goedkeuring aan het bij deze resolutie gevoegde besluit;</w:t>
      </w:r>
    </w:p>
    <w:p w14:paraId="02F5F16F" w14:textId="77777777" w:rsidR="00CB3D7F" w:rsidRPr="00C91B77" w:rsidRDefault="00CB3D7F" w:rsidP="00CB3D7F">
      <w:pPr>
        <w:pStyle w:val="NormalHanging12a"/>
        <w:rPr>
          <w:noProof/>
        </w:rPr>
      </w:pPr>
      <w:r w:rsidRPr="00C91B77">
        <w:t>13.</w:t>
      </w:r>
      <w:r w:rsidRPr="00C91B77">
        <w:tab/>
        <w:t xml:space="preserve">verzoekt zijn Voorzitter dit besluit samen met de voorzitter van de Raad te ondertekenen en te zorgen voor bekendmaking ervan in het </w:t>
      </w:r>
      <w:r w:rsidRPr="00C91B77">
        <w:rPr>
          <w:i/>
        </w:rPr>
        <w:t>Publicatieblad van de Europese Unie</w:t>
      </w:r>
      <w:r w:rsidRPr="00C91B77">
        <w:t>;</w:t>
      </w:r>
    </w:p>
    <w:p w14:paraId="303BF36F" w14:textId="77777777" w:rsidR="00CB3D7F" w:rsidRPr="00C91B77" w:rsidRDefault="00CB3D7F" w:rsidP="00CB3D7F">
      <w:pPr>
        <w:pStyle w:val="NormalHanging12a"/>
        <w:rPr>
          <w:noProof/>
        </w:rPr>
      </w:pPr>
      <w:r w:rsidRPr="00C91B77">
        <w:t>14.</w:t>
      </w:r>
      <w:r w:rsidRPr="00C91B77">
        <w:tab/>
        <w:t>verzoekt zijn Voorzitter deze resolutie, met inbegrip van de bijlage, te doen toekomen aan de Raad en de Commissie.</w:t>
      </w:r>
    </w:p>
    <w:p w14:paraId="06F6C771" w14:textId="77777777" w:rsidR="00CB3D7F" w:rsidRPr="00C91B77" w:rsidRDefault="00CB3D7F" w:rsidP="00CB3D7F">
      <w:pPr>
        <w:rPr>
          <w:noProof/>
        </w:rPr>
      </w:pPr>
    </w:p>
    <w:p w14:paraId="444DE390" w14:textId="77777777" w:rsidR="00CB3D7F" w:rsidRPr="00C91B77" w:rsidRDefault="00CB3D7F" w:rsidP="00CB3D7F">
      <w:pPr>
        <w:widowControl/>
        <w:rPr>
          <w:rFonts w:ascii="Arial" w:hAnsi="Arial" w:cs="Arial"/>
          <w:b/>
          <w:noProof/>
        </w:rPr>
      </w:pPr>
      <w:r w:rsidRPr="00C91B77">
        <w:br w:type="page"/>
      </w:r>
    </w:p>
    <w:p w14:paraId="7B1FD6E9" w14:textId="77777777" w:rsidR="00CB3D7F" w:rsidRPr="00C91B77" w:rsidRDefault="00CB3D7F" w:rsidP="00CB3D7F">
      <w:pPr>
        <w:widowControl/>
        <w:rPr>
          <w:rFonts w:ascii="Arial" w:hAnsi="Arial" w:cs="Arial"/>
          <w:b/>
          <w:noProof/>
        </w:rPr>
        <w:sectPr w:rsidR="00CB3D7F" w:rsidRPr="00C91B77" w:rsidSect="006D317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BB6D13C" w14:textId="77777777" w:rsidR="00BB2AD0" w:rsidRPr="00BB2AD0" w:rsidRDefault="00CB3D7F" w:rsidP="00BB2AD0">
      <w:pPr>
        <w:pStyle w:val="PageHeading"/>
        <w:rPr>
          <w:rFonts w:ascii="Times New Roman" w:hAnsi="Times New Roman" w:cs="Times New Roman"/>
        </w:rPr>
      </w:pPr>
      <w:bookmarkStart w:id="8" w:name="_Toc206749163"/>
      <w:bookmarkStart w:id="9" w:name="_Toc210378882"/>
      <w:r w:rsidRPr="00BB2AD0">
        <w:rPr>
          <w:rFonts w:ascii="Times New Roman" w:hAnsi="Times New Roman" w:cs="Times New Roman"/>
        </w:rPr>
        <w:lastRenderedPageBreak/>
        <w:t>BIJLAGE</w:t>
      </w:r>
    </w:p>
    <w:p w14:paraId="0F84B36A" w14:textId="0B9B9E75" w:rsidR="00CB3D7F" w:rsidRPr="00BB2AD0" w:rsidRDefault="00CB3D7F" w:rsidP="00BB2AD0">
      <w:pPr>
        <w:pStyle w:val="PageHeading"/>
        <w:rPr>
          <w:rFonts w:ascii="Times New Roman" w:hAnsi="Times New Roman" w:cs="Times New Roman"/>
          <w:noProof/>
        </w:rPr>
      </w:pPr>
      <w:r w:rsidRPr="00BB2AD0">
        <w:rPr>
          <w:rFonts w:ascii="Times New Roman" w:hAnsi="Times New Roman" w:cs="Times New Roman"/>
        </w:rPr>
        <w:t>BESLUIT VAN HET EUROPEES PARLEMENT EN DE RAAD</w:t>
      </w:r>
      <w:bookmarkEnd w:id="8"/>
      <w:bookmarkEnd w:id="9"/>
    </w:p>
    <w:p w14:paraId="70E3AC44" w14:textId="77777777" w:rsidR="00CB3D7F" w:rsidRPr="00BB2AD0" w:rsidRDefault="00CB3D7F" w:rsidP="00BB2AD0">
      <w:pPr>
        <w:pStyle w:val="NormalBold24a"/>
        <w:jc w:val="center"/>
      </w:pPr>
      <w:r w:rsidRPr="00BB2AD0">
        <w:t>betreffende de beschikbaarstelling van middelen uit het Europees Fonds voor aanpassing aan de globalisering voor ontslagen werknemers naar aanleiding van aanvraag EGF/2025/001 BE/</w:t>
      </w:r>
      <w:proofErr w:type="spellStart"/>
      <w:r w:rsidRPr="00BB2AD0">
        <w:t>BelGaN</w:t>
      </w:r>
      <w:proofErr w:type="spellEnd"/>
      <w:r w:rsidRPr="00BB2AD0">
        <w:t xml:space="preserve"> van België</w:t>
      </w:r>
    </w:p>
    <w:p w14:paraId="6F6998A6" w14:textId="1607150C" w:rsidR="00BB2AD0" w:rsidRPr="006302AE" w:rsidRDefault="00BB2AD0" w:rsidP="00BB2AD0">
      <w:pPr>
        <w:spacing w:before="240"/>
        <w:rPr>
          <w:i/>
        </w:rPr>
      </w:pPr>
      <w:r w:rsidRPr="006302AE">
        <w:rPr>
          <w:i/>
        </w:rPr>
        <w:t xml:space="preserve">(De tekst van de bijlage wordt hier niet weergegeven, aangezien deze overeenkomt met de definitieve handeling: Besluit (EU) </w:t>
      </w:r>
      <w:r w:rsidRPr="00BB2AD0">
        <w:rPr>
          <w:i/>
        </w:rPr>
        <w:t>2025/2133</w:t>
      </w:r>
      <w:r w:rsidRPr="006302AE">
        <w:rPr>
          <w:i/>
        </w:rPr>
        <w:t>.)</w:t>
      </w:r>
    </w:p>
    <w:sectPr w:rsidR="00BB2AD0" w:rsidRPr="006302AE" w:rsidSect="006D317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5D845" w14:textId="77777777" w:rsidR="000324A3" w:rsidRPr="006D3176" w:rsidRDefault="000324A3">
      <w:r w:rsidRPr="006D3176">
        <w:separator/>
      </w:r>
    </w:p>
  </w:endnote>
  <w:endnote w:type="continuationSeparator" w:id="0">
    <w:p w14:paraId="080928D2" w14:textId="77777777" w:rsidR="000324A3" w:rsidRPr="006D3176" w:rsidRDefault="000324A3">
      <w:r w:rsidRPr="006D3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CE2C" w14:textId="77777777" w:rsidR="00CB3D7F" w:rsidRPr="006D3176" w:rsidRDefault="00CB3D7F" w:rsidP="00B63798">
    <w:pPr>
      <w:pStyle w:val="EPFooter"/>
    </w:pPr>
    <w:r w:rsidRPr="006D3176">
      <w:t>PE</w:t>
    </w:r>
    <w:r w:rsidRPr="006D3176">
      <w:rPr>
        <w:rStyle w:val="HideTWBExt"/>
      </w:rPr>
      <w:t>&lt;NoPE&gt;</w:t>
    </w:r>
    <w:r w:rsidRPr="006D3176">
      <w:t>776.825</w:t>
    </w:r>
    <w:r w:rsidRPr="006D3176">
      <w:rPr>
        <w:rStyle w:val="HideTWBExt"/>
      </w:rPr>
      <w:t>&lt;/NoPE&gt;&lt;Version&gt;</w:t>
    </w:r>
    <w:r w:rsidRPr="006D3176">
      <w:t>v02-00</w:t>
    </w:r>
    <w:r w:rsidRPr="006D3176">
      <w:rPr>
        <w:rStyle w:val="HideTWBExt"/>
      </w:rPr>
      <w:t>&lt;/Version&gt;</w:t>
    </w:r>
    <w:r w:rsidRPr="006D3176">
      <w:tab/>
    </w:r>
    <w:r w:rsidRPr="006D3176">
      <w:fldChar w:fldCharType="begin"/>
    </w:r>
    <w:r w:rsidRPr="006D3176">
      <w:instrText xml:space="preserve"> PAGE  \* MERGEFORMAT </w:instrText>
    </w:r>
    <w:r w:rsidRPr="006D3176">
      <w:fldChar w:fldCharType="separate"/>
    </w:r>
    <w:r w:rsidRPr="006D3176">
      <w:rPr>
        <w:noProof/>
      </w:rPr>
      <w:t>2</w:t>
    </w:r>
    <w:r w:rsidRPr="006D3176">
      <w:fldChar w:fldCharType="end"/>
    </w:r>
    <w:r w:rsidRPr="006D3176">
      <w:t>/</w:t>
    </w:r>
    <w:fldSimple w:instr=" NUMPAGES  \* MERGEFORMAT ">
      <w:r w:rsidRPr="006D3176">
        <w:rPr>
          <w:noProof/>
        </w:rPr>
        <w:t>18</w:t>
      </w:r>
    </w:fldSimple>
    <w:r w:rsidRPr="006D3176">
      <w:tab/>
    </w:r>
    <w:r w:rsidRPr="006D3176">
      <w:rPr>
        <w:rStyle w:val="HideTWBExt"/>
      </w:rPr>
      <w:t>&lt;PathFdR&gt;</w:t>
    </w:r>
    <w:r w:rsidRPr="006D3176">
      <w:t>RR\1328419NL.docx</w:t>
    </w:r>
    <w:r w:rsidRPr="006D3176">
      <w:rPr>
        <w:rStyle w:val="HideTWBExt"/>
      </w:rPr>
      <w:t>&lt;/PathFdR&gt;</w:t>
    </w:r>
  </w:p>
  <w:p w14:paraId="4EDF2EDF" w14:textId="77777777" w:rsidR="00CB3D7F" w:rsidRPr="006D3176" w:rsidRDefault="00CB3D7F" w:rsidP="00B63798">
    <w:pPr>
      <w:pStyle w:val="EPFooter2"/>
    </w:pPr>
    <w:r w:rsidRPr="006D317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3F52" w14:textId="77777777" w:rsidR="00CB3D7F" w:rsidRPr="006D3176" w:rsidRDefault="00CB3D7F" w:rsidP="00B63798">
    <w:pPr>
      <w:pStyle w:val="EPFooter"/>
    </w:pPr>
    <w:r w:rsidRPr="006D3176">
      <w:rPr>
        <w:rStyle w:val="HideTWBExt"/>
      </w:rPr>
      <w:t>&lt;PathFdR&gt;</w:t>
    </w:r>
    <w:r w:rsidRPr="006D3176">
      <w:t>RR\1328419NL.docx</w:t>
    </w:r>
    <w:r w:rsidRPr="006D3176">
      <w:rPr>
        <w:rStyle w:val="HideTWBExt"/>
      </w:rPr>
      <w:t>&lt;/PathFdR&gt;</w:t>
    </w:r>
    <w:r w:rsidRPr="006D3176">
      <w:tab/>
    </w:r>
    <w:r w:rsidRPr="006D3176">
      <w:tab/>
      <w:t>PE</w:t>
    </w:r>
    <w:r w:rsidRPr="006D3176">
      <w:rPr>
        <w:rStyle w:val="HideTWBExt"/>
      </w:rPr>
      <w:t>&lt;NoPE&gt;</w:t>
    </w:r>
    <w:r w:rsidRPr="006D3176">
      <w:t>776.825</w:t>
    </w:r>
    <w:r w:rsidRPr="006D3176">
      <w:rPr>
        <w:rStyle w:val="HideTWBExt"/>
      </w:rPr>
      <w:t>&lt;/NoPE&gt;&lt;Version&gt;</w:t>
    </w:r>
    <w:r w:rsidRPr="006D3176">
      <w:t>v02-00</w:t>
    </w:r>
    <w:r w:rsidRPr="006D3176">
      <w:rPr>
        <w:rStyle w:val="HideTWBExt"/>
      </w:rPr>
      <w:t>&lt;/Version&gt;</w:t>
    </w:r>
  </w:p>
  <w:p w14:paraId="41950D72" w14:textId="77777777" w:rsidR="00CB3D7F" w:rsidRPr="006D3176" w:rsidRDefault="00CB3D7F" w:rsidP="00B63798">
    <w:pPr>
      <w:pStyle w:val="EPFooter2"/>
    </w:pPr>
    <w:r w:rsidRPr="006D3176">
      <w:t>NL</w:t>
    </w:r>
    <w:r w:rsidRPr="006D3176">
      <w:tab/>
    </w:r>
    <w:r w:rsidRPr="006D3176">
      <w:rPr>
        <w:b w:val="0"/>
        <w:i/>
        <w:color w:val="C0C0C0"/>
        <w:sz w:val="22"/>
      </w:rPr>
      <w:t>In verscheidenheid verenigd</w:t>
    </w:r>
    <w:r w:rsidRPr="006D317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D4CF1" w14:textId="77777777" w:rsidR="00064002" w:rsidRPr="006D317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212C" w14:textId="77777777" w:rsidR="00064002" w:rsidRPr="006D317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E8B0" w14:textId="77777777" w:rsidR="00064002" w:rsidRPr="006D3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6FB3A" w14:textId="77777777" w:rsidR="000324A3" w:rsidRPr="006D3176" w:rsidRDefault="000324A3">
      <w:r w:rsidRPr="006D3176">
        <w:separator/>
      </w:r>
    </w:p>
  </w:footnote>
  <w:footnote w:type="continuationSeparator" w:id="0">
    <w:p w14:paraId="32DBFA88" w14:textId="77777777" w:rsidR="000324A3" w:rsidRPr="006D3176" w:rsidRDefault="000324A3">
      <w:r w:rsidRPr="006D3176">
        <w:continuationSeparator/>
      </w:r>
    </w:p>
  </w:footnote>
  <w:footnote w:id="1">
    <w:p w14:paraId="6AC0E0FB" w14:textId="5B877576" w:rsidR="00CB3D7F" w:rsidRPr="006D3176" w:rsidRDefault="00CB3D7F" w:rsidP="006D3176">
      <w:pPr>
        <w:pStyle w:val="FootnoteText"/>
        <w:ind w:left="567" w:hanging="567"/>
        <w:rPr>
          <w:sz w:val="24"/>
          <w:lang w:val="nl-NL"/>
        </w:rPr>
      </w:pPr>
      <w:r w:rsidRPr="006D3176">
        <w:rPr>
          <w:rStyle w:val="FootnoteReference"/>
          <w:sz w:val="24"/>
          <w:lang w:val="nl-NL"/>
        </w:rPr>
        <w:footnoteRef/>
      </w:r>
      <w:r w:rsidR="006D3176" w:rsidRPr="006D3176">
        <w:rPr>
          <w:sz w:val="24"/>
          <w:lang w:val="nl-NL"/>
        </w:rPr>
        <w:t xml:space="preserve"> </w:t>
      </w:r>
      <w:r w:rsidR="006D3176" w:rsidRPr="006D3176">
        <w:rPr>
          <w:sz w:val="24"/>
          <w:lang w:val="nl-NL"/>
        </w:rPr>
        <w:tab/>
      </w:r>
      <w:r w:rsidRPr="006D3176">
        <w:rPr>
          <w:sz w:val="24"/>
          <w:lang w:val="nl-NL"/>
        </w:rPr>
        <w:t xml:space="preserve">PB L 153 van 3.5.2021, blz. 48, ELI: </w:t>
      </w:r>
      <w:hyperlink r:id="rId1" w:history="1">
        <w:r w:rsidRPr="006D3176">
          <w:rPr>
            <w:rStyle w:val="Hyperlink"/>
            <w:sz w:val="24"/>
            <w:lang w:val="nl-NL"/>
          </w:rPr>
          <w:t>http://data.europa.eu/eli/reg/2021/691/oj</w:t>
        </w:r>
      </w:hyperlink>
      <w:r w:rsidRPr="006D3176">
        <w:rPr>
          <w:sz w:val="24"/>
          <w:lang w:val="nl-NL"/>
        </w:rPr>
        <w:t>.</w:t>
      </w:r>
    </w:p>
  </w:footnote>
  <w:footnote w:id="2">
    <w:p w14:paraId="0483F61F" w14:textId="286D27F1" w:rsidR="00CB3D7F" w:rsidRPr="006D3176" w:rsidRDefault="00CB3D7F" w:rsidP="006D3176">
      <w:pPr>
        <w:pStyle w:val="FootnoteText"/>
        <w:ind w:left="567" w:hanging="567"/>
        <w:rPr>
          <w:sz w:val="24"/>
          <w:lang w:val="nl-NL"/>
        </w:rPr>
      </w:pPr>
      <w:r w:rsidRPr="006D3176">
        <w:rPr>
          <w:rStyle w:val="FootnoteReference"/>
          <w:sz w:val="24"/>
          <w:lang w:val="nl-NL"/>
        </w:rPr>
        <w:footnoteRef/>
      </w:r>
      <w:r w:rsidR="006D3176" w:rsidRPr="006D3176">
        <w:rPr>
          <w:sz w:val="24"/>
          <w:lang w:val="nl-NL"/>
        </w:rPr>
        <w:t xml:space="preserve"> </w:t>
      </w:r>
      <w:r w:rsidR="006D3176" w:rsidRPr="006D3176">
        <w:rPr>
          <w:sz w:val="24"/>
          <w:lang w:val="nl-NL"/>
        </w:rPr>
        <w:tab/>
      </w:r>
      <w:r w:rsidRPr="006D3176">
        <w:rPr>
          <w:sz w:val="24"/>
          <w:lang w:val="nl-NL"/>
        </w:rPr>
        <w:t xml:space="preserve">PB L 433 I van 22.12.2020, blz. 11, ELI: </w:t>
      </w:r>
      <w:r w:rsidR="00BB2AD0">
        <w:fldChar w:fldCharType="begin"/>
      </w:r>
      <w:r w:rsidR="00BB2AD0" w:rsidRPr="00BB2AD0">
        <w:rPr>
          <w:lang w:val="nl-NL"/>
        </w:rPr>
        <w:instrText>HYPERLINK "http://data.europa.eu/eli/reg/2020/2093/oj"</w:instrText>
      </w:r>
      <w:r w:rsidR="00BB2AD0">
        <w:fldChar w:fldCharType="separate"/>
      </w:r>
      <w:r w:rsidRPr="006D3176">
        <w:rPr>
          <w:rStyle w:val="Hyperlink"/>
          <w:sz w:val="24"/>
          <w:lang w:val="nl-NL"/>
        </w:rPr>
        <w:t>http://data.europa.eu/eli/reg/2020/2093/oj</w:t>
      </w:r>
      <w:r w:rsidR="00BB2AD0">
        <w:rPr>
          <w:rStyle w:val="Hyperlink"/>
          <w:sz w:val="24"/>
          <w:lang w:val="nl-NL"/>
        </w:rPr>
        <w:fldChar w:fldCharType="end"/>
      </w:r>
      <w:r w:rsidRPr="006D3176">
        <w:rPr>
          <w:sz w:val="24"/>
          <w:lang w:val="nl-NL"/>
        </w:rPr>
        <w:t>.</w:t>
      </w:r>
    </w:p>
  </w:footnote>
  <w:footnote w:id="3">
    <w:p w14:paraId="5585BD2E" w14:textId="2CD4AA97" w:rsidR="00CB3D7F" w:rsidRPr="006D3176" w:rsidRDefault="00CB3D7F" w:rsidP="006D3176">
      <w:pPr>
        <w:pStyle w:val="FootnoteText"/>
        <w:ind w:left="567" w:hanging="567"/>
        <w:rPr>
          <w:sz w:val="24"/>
          <w:lang w:val="nl-NL"/>
        </w:rPr>
      </w:pPr>
      <w:r w:rsidRPr="006D3176">
        <w:rPr>
          <w:rStyle w:val="FootnoteReference"/>
          <w:sz w:val="24"/>
          <w:lang w:val="nl-NL"/>
        </w:rPr>
        <w:footnoteRef/>
      </w:r>
      <w:r w:rsidR="006D3176" w:rsidRPr="006D3176">
        <w:rPr>
          <w:sz w:val="24"/>
          <w:lang w:val="nl-NL"/>
        </w:rPr>
        <w:t xml:space="preserve"> </w:t>
      </w:r>
      <w:r w:rsidR="006D3176" w:rsidRPr="006D3176">
        <w:rPr>
          <w:sz w:val="24"/>
          <w:lang w:val="nl-NL"/>
        </w:rPr>
        <w:tab/>
      </w:r>
      <w:r w:rsidRPr="006D3176">
        <w:rPr>
          <w:sz w:val="24"/>
          <w:lang w:val="nl-NL"/>
        </w:rPr>
        <w:t xml:space="preserve">Verordening (EU, Euratom) 2024/765 van de Raad van 29 februari 2024 tot wijziging van Verordening (EU, Euratom) 2020/2093 tot bepaling van het meerjarig financieel kader voor de jaren 2021‑2027 (PB L, 2024/765, 29.2.2024, ELI: </w:t>
      </w:r>
      <w:r w:rsidR="00BB2AD0">
        <w:fldChar w:fldCharType="begin"/>
      </w:r>
      <w:r w:rsidR="00BB2AD0" w:rsidRPr="00BB2AD0">
        <w:rPr>
          <w:lang w:val="nl-NL"/>
        </w:rPr>
        <w:instrText>HYPERLINK "http://data.europa.eu/eli/reg/2024/765/oj"</w:instrText>
      </w:r>
      <w:r w:rsidR="00BB2AD0">
        <w:fldChar w:fldCharType="separate"/>
      </w:r>
      <w:r w:rsidRPr="006D3176">
        <w:rPr>
          <w:rStyle w:val="Hyperlink"/>
          <w:sz w:val="24"/>
          <w:lang w:val="nl-NL"/>
        </w:rPr>
        <w:t>http://data.europa.eu/eli/reg/2024/765/oj</w:t>
      </w:r>
      <w:r w:rsidR="00BB2AD0">
        <w:rPr>
          <w:rStyle w:val="Hyperlink"/>
          <w:sz w:val="24"/>
          <w:lang w:val="nl-NL"/>
        </w:rPr>
        <w:fldChar w:fldCharType="end"/>
      </w:r>
      <w:r w:rsidRPr="006D3176">
        <w:rPr>
          <w:sz w:val="24"/>
          <w:lang w:val="nl-NL"/>
        </w:rPr>
        <w:t>).</w:t>
      </w:r>
    </w:p>
  </w:footnote>
  <w:footnote w:id="4">
    <w:p w14:paraId="06B77737" w14:textId="40B1833D" w:rsidR="00CB3D7F" w:rsidRPr="006D3176" w:rsidRDefault="00CB3D7F" w:rsidP="006D3176">
      <w:pPr>
        <w:pStyle w:val="FootnoteText"/>
        <w:ind w:left="567" w:hanging="567"/>
        <w:rPr>
          <w:sz w:val="24"/>
          <w:lang w:val="nl-NL"/>
        </w:rPr>
      </w:pPr>
      <w:r w:rsidRPr="006D3176">
        <w:rPr>
          <w:rStyle w:val="FootnoteReference"/>
          <w:sz w:val="24"/>
          <w:lang w:val="nl-NL"/>
        </w:rPr>
        <w:footnoteRef/>
      </w:r>
      <w:r w:rsidR="006D3176" w:rsidRPr="006D3176">
        <w:rPr>
          <w:sz w:val="24"/>
          <w:lang w:val="nl-NL"/>
        </w:rPr>
        <w:t xml:space="preserve"> </w:t>
      </w:r>
      <w:r w:rsidR="006D3176" w:rsidRPr="006D3176">
        <w:rPr>
          <w:sz w:val="24"/>
          <w:lang w:val="nl-NL"/>
        </w:rPr>
        <w:tab/>
      </w:r>
      <w:r w:rsidRPr="006D3176">
        <w:rPr>
          <w:sz w:val="24"/>
          <w:lang w:val="nl-NL"/>
        </w:rPr>
        <w:t xml:space="preserve">PB L 433 I van 22.12.2020, blz. 28, ELI: </w:t>
      </w:r>
      <w:r w:rsidR="00BB2AD0">
        <w:fldChar w:fldCharType="begin"/>
      </w:r>
      <w:r w:rsidR="00BB2AD0" w:rsidRPr="00BB2AD0">
        <w:rPr>
          <w:lang w:val="nl-NL"/>
        </w:rPr>
        <w:instrText>HYPERLINK "http://data.europa.eu/eli/agree_interinstit/2020/1222/oj"</w:instrText>
      </w:r>
      <w:r w:rsidR="00BB2AD0">
        <w:fldChar w:fldCharType="separate"/>
      </w:r>
      <w:r w:rsidRPr="006D3176">
        <w:rPr>
          <w:rStyle w:val="Hyperlink"/>
          <w:sz w:val="24"/>
          <w:lang w:val="nl-NL"/>
        </w:rPr>
        <w:t>http://data.europa.eu/eli/agree_interinstit/2020/1222/oj</w:t>
      </w:r>
      <w:r w:rsidR="00BB2AD0">
        <w:rPr>
          <w:rStyle w:val="Hyperlink"/>
          <w:sz w:val="24"/>
          <w:lang w:val="nl-NL"/>
        </w:rPr>
        <w:fldChar w:fldCharType="end"/>
      </w:r>
      <w:r w:rsidRPr="006D3176">
        <w:rPr>
          <w:sz w:val="24"/>
          <w:lang w:val="nl-NL"/>
        </w:rPr>
        <w:t>.</w:t>
      </w:r>
    </w:p>
  </w:footnote>
  <w:footnote w:id="5">
    <w:p w14:paraId="476522DE" w14:textId="07827260" w:rsidR="00CB3D7F" w:rsidRPr="006D3176" w:rsidRDefault="00CB3D7F" w:rsidP="006D3176">
      <w:pPr>
        <w:pStyle w:val="FootnoteText"/>
        <w:ind w:left="567" w:hanging="567"/>
        <w:rPr>
          <w:sz w:val="24"/>
          <w:lang w:val="nl-NL"/>
        </w:rPr>
      </w:pPr>
      <w:r w:rsidRPr="006D3176">
        <w:rPr>
          <w:rStyle w:val="FootnoteReference"/>
          <w:sz w:val="24"/>
          <w:lang w:val="nl-NL"/>
        </w:rPr>
        <w:footnoteRef/>
      </w:r>
      <w:r w:rsidR="006D3176" w:rsidRPr="006D3176">
        <w:rPr>
          <w:sz w:val="24"/>
          <w:lang w:val="nl-NL"/>
        </w:rPr>
        <w:t xml:space="preserve"> </w:t>
      </w:r>
      <w:r w:rsidR="006D3176" w:rsidRPr="006D3176">
        <w:rPr>
          <w:sz w:val="24"/>
          <w:lang w:val="nl-NL"/>
        </w:rPr>
        <w:tab/>
      </w:r>
      <w:r w:rsidRPr="006D3176">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17719" w14:textId="77777777" w:rsidR="00064002" w:rsidRPr="006D31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BFB8" w14:textId="77777777" w:rsidR="00064002" w:rsidRPr="006D31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EB520" w14:textId="77777777" w:rsidR="00064002" w:rsidRPr="006D3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7731622">
    <w:abstractNumId w:val="9"/>
  </w:num>
  <w:num w:numId="2" w16cid:durableId="1175875517">
    <w:abstractNumId w:val="9"/>
  </w:num>
  <w:num w:numId="3" w16cid:durableId="645937121">
    <w:abstractNumId w:val="7"/>
  </w:num>
  <w:num w:numId="4" w16cid:durableId="633565725">
    <w:abstractNumId w:val="7"/>
  </w:num>
  <w:num w:numId="5" w16cid:durableId="158543349">
    <w:abstractNumId w:val="6"/>
  </w:num>
  <w:num w:numId="6" w16cid:durableId="219171671">
    <w:abstractNumId w:val="6"/>
  </w:num>
  <w:num w:numId="7" w16cid:durableId="2007975403">
    <w:abstractNumId w:val="5"/>
  </w:num>
  <w:num w:numId="8" w16cid:durableId="345982944">
    <w:abstractNumId w:val="5"/>
  </w:num>
  <w:num w:numId="9" w16cid:durableId="1834712573">
    <w:abstractNumId w:val="4"/>
  </w:num>
  <w:num w:numId="10" w16cid:durableId="1293049933">
    <w:abstractNumId w:val="4"/>
  </w:num>
  <w:num w:numId="11" w16cid:durableId="2021734290">
    <w:abstractNumId w:val="8"/>
  </w:num>
  <w:num w:numId="12" w16cid:durableId="1186409115">
    <w:abstractNumId w:val="8"/>
  </w:num>
  <w:num w:numId="13" w16cid:durableId="893471874">
    <w:abstractNumId w:val="3"/>
  </w:num>
  <w:num w:numId="14" w16cid:durableId="5251968">
    <w:abstractNumId w:val="3"/>
  </w:num>
  <w:num w:numId="15" w16cid:durableId="437217498">
    <w:abstractNumId w:val="2"/>
  </w:num>
  <w:num w:numId="16" w16cid:durableId="99616080">
    <w:abstractNumId w:val="2"/>
  </w:num>
  <w:num w:numId="17" w16cid:durableId="1176848596">
    <w:abstractNumId w:val="1"/>
  </w:num>
  <w:num w:numId="18" w16cid:durableId="1431438343">
    <w:abstractNumId w:val="1"/>
  </w:num>
  <w:num w:numId="19" w16cid:durableId="552036371">
    <w:abstractNumId w:val="0"/>
  </w:num>
  <w:num w:numId="20" w16cid:durableId="743070483">
    <w:abstractNumId w:val="0"/>
  </w:num>
  <w:num w:numId="21" w16cid:durableId="616256656">
    <w:abstractNumId w:val="9"/>
  </w:num>
  <w:num w:numId="22" w16cid:durableId="2064939562">
    <w:abstractNumId w:val="7"/>
  </w:num>
  <w:num w:numId="23" w16cid:durableId="126582442">
    <w:abstractNumId w:val="6"/>
  </w:num>
  <w:num w:numId="24" w16cid:durableId="1209806436">
    <w:abstractNumId w:val="5"/>
  </w:num>
  <w:num w:numId="25" w16cid:durableId="2044360417">
    <w:abstractNumId w:val="4"/>
  </w:num>
  <w:num w:numId="26" w16cid:durableId="1253473417">
    <w:abstractNumId w:val="8"/>
  </w:num>
  <w:num w:numId="27" w16cid:durableId="2084721245">
    <w:abstractNumId w:val="3"/>
  </w:num>
  <w:num w:numId="28" w16cid:durableId="1994599268">
    <w:abstractNumId w:val="2"/>
  </w:num>
  <w:num w:numId="29" w16cid:durableId="468472742">
    <w:abstractNumId w:val="1"/>
  </w:num>
  <w:num w:numId="30" w16cid:durableId="1280455815">
    <w:abstractNumId w:val="0"/>
  </w:num>
  <w:num w:numId="31" w16cid:durableId="416633544">
    <w:abstractNumId w:val="9"/>
  </w:num>
  <w:num w:numId="32" w16cid:durableId="2050177996">
    <w:abstractNumId w:val="7"/>
  </w:num>
  <w:num w:numId="33" w16cid:durableId="344603010">
    <w:abstractNumId w:val="6"/>
  </w:num>
  <w:num w:numId="34" w16cid:durableId="488864492">
    <w:abstractNumId w:val="5"/>
  </w:num>
  <w:num w:numId="35" w16cid:durableId="464473820">
    <w:abstractNumId w:val="4"/>
  </w:num>
  <w:num w:numId="36" w16cid:durableId="1666744054">
    <w:abstractNumId w:val="8"/>
  </w:num>
  <w:num w:numId="37" w16cid:durableId="1599169982">
    <w:abstractNumId w:val="3"/>
  </w:num>
  <w:num w:numId="38" w16cid:durableId="1659111821">
    <w:abstractNumId w:val="2"/>
  </w:num>
  <w:num w:numId="39" w16cid:durableId="1231886624">
    <w:abstractNumId w:val="1"/>
  </w:num>
  <w:num w:numId="40" w16cid:durableId="870261918">
    <w:abstractNumId w:val="0"/>
  </w:num>
  <w:num w:numId="41" w16cid:durableId="1258949909">
    <w:abstractNumId w:val="10"/>
  </w:num>
  <w:num w:numId="42" w16cid:durableId="1816952229">
    <w:abstractNumId w:val="10"/>
  </w:num>
  <w:num w:numId="43" w16cid:durableId="1835489865">
    <w:abstractNumId w:val="10"/>
  </w:num>
  <w:num w:numId="44" w16cid:durableId="1551726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NL"/>
    <w:docVar w:name="dvnumam" w:val="0"/>
    <w:docVar w:name="dvpe" w:val="776.825"/>
    <w:docVar w:name="dvrapporteur" w:val="Rapporteur: "/>
    <w:docVar w:name="dvtitre" w:val="Resolutie van het Europees Parlement van xx oktober 2025 over het voorstel voor een besluit van het Europees Parlement en de Raad betreffende de beschikbaarstelling van middelen uit het Europees Fonds voor aanpassing aan de globalisering voor ontslagen werknemers naar aanleiding van aanvraag EGF/2025/001 BE/BelGaN van België(COM(2025)0157 – C10-0188/2025 – 2025/0198(BUD))"/>
  </w:docVars>
  <w:rsids>
    <w:rsidRoot w:val="000324A3"/>
    <w:rsid w:val="00002272"/>
    <w:rsid w:val="000324A3"/>
    <w:rsid w:val="00035C5C"/>
    <w:rsid w:val="00064002"/>
    <w:rsid w:val="000677B9"/>
    <w:rsid w:val="000831BA"/>
    <w:rsid w:val="000A42CC"/>
    <w:rsid w:val="000E7DD9"/>
    <w:rsid w:val="0010095E"/>
    <w:rsid w:val="00125B37"/>
    <w:rsid w:val="00187494"/>
    <w:rsid w:val="001A604B"/>
    <w:rsid w:val="001D55A9"/>
    <w:rsid w:val="001F32AE"/>
    <w:rsid w:val="002767FF"/>
    <w:rsid w:val="002B18FE"/>
    <w:rsid w:val="002B5493"/>
    <w:rsid w:val="00343214"/>
    <w:rsid w:val="00361C00"/>
    <w:rsid w:val="00395FA1"/>
    <w:rsid w:val="003E15D4"/>
    <w:rsid w:val="00411CCE"/>
    <w:rsid w:val="0041666E"/>
    <w:rsid w:val="00421060"/>
    <w:rsid w:val="0046416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176"/>
    <w:rsid w:val="006F5A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CC6"/>
    <w:rsid w:val="00A778C7"/>
    <w:rsid w:val="00AB441E"/>
    <w:rsid w:val="00AB6293"/>
    <w:rsid w:val="00AE0928"/>
    <w:rsid w:val="00AF3B82"/>
    <w:rsid w:val="00B12E95"/>
    <w:rsid w:val="00B22876"/>
    <w:rsid w:val="00B558F0"/>
    <w:rsid w:val="00BB2AD0"/>
    <w:rsid w:val="00BD48FE"/>
    <w:rsid w:val="00BD7BD8"/>
    <w:rsid w:val="00BE6ADC"/>
    <w:rsid w:val="00C05BFE"/>
    <w:rsid w:val="00C23CD4"/>
    <w:rsid w:val="00C61C0C"/>
    <w:rsid w:val="00C749BE"/>
    <w:rsid w:val="00C91B77"/>
    <w:rsid w:val="00C941CB"/>
    <w:rsid w:val="00CB3D7F"/>
    <w:rsid w:val="00CC2357"/>
    <w:rsid w:val="00CF071A"/>
    <w:rsid w:val="00D058B8"/>
    <w:rsid w:val="00D56C11"/>
    <w:rsid w:val="00D834A0"/>
    <w:rsid w:val="00D872DF"/>
    <w:rsid w:val="00D91E21"/>
    <w:rsid w:val="00DA7FCD"/>
    <w:rsid w:val="00E365E1"/>
    <w:rsid w:val="00E37FAC"/>
    <w:rsid w:val="00E820A4"/>
    <w:rsid w:val="00EB006A"/>
    <w:rsid w:val="00EB4772"/>
    <w:rsid w:val="00ED169E"/>
    <w:rsid w:val="00ED4235"/>
    <w:rsid w:val="00EF7DF4"/>
    <w:rsid w:val="00F04346"/>
    <w:rsid w:val="00F075DC"/>
    <w:rsid w:val="00F149E9"/>
    <w:rsid w:val="00F5134D"/>
    <w:rsid w:val="00F74202"/>
    <w:rsid w:val="00F816A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8E23C"/>
  <w15:chartTrackingRefBased/>
  <w15:docId w15:val="{04E84AEF-758B-4453-BEC6-4F9E31F5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3D7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B3D7F"/>
    <w:pPr>
      <w:keepNext/>
      <w:spacing w:after="480"/>
      <w:jc w:val="center"/>
    </w:pPr>
    <w:rPr>
      <w:rFonts w:ascii="Arial" w:hAnsi="Arial" w:cs="Arial"/>
      <w:b/>
    </w:rPr>
  </w:style>
  <w:style w:type="paragraph" w:customStyle="1" w:styleId="NormalHanging12a">
    <w:name w:val="NormalHanging12a"/>
    <w:basedOn w:val="Normal"/>
    <w:link w:val="NormalHanging12aChar"/>
    <w:rsid w:val="00CB3D7F"/>
    <w:pPr>
      <w:spacing w:after="240"/>
      <w:ind w:left="567" w:hanging="567"/>
    </w:pPr>
  </w:style>
  <w:style w:type="paragraph" w:styleId="Header">
    <w:name w:val="header"/>
    <w:basedOn w:val="Normal"/>
    <w:link w:val="HeaderChar"/>
    <w:rsid w:val="00CB3D7F"/>
    <w:pPr>
      <w:tabs>
        <w:tab w:val="center" w:pos="4513"/>
        <w:tab w:val="right" w:pos="9026"/>
      </w:tabs>
    </w:pPr>
  </w:style>
  <w:style w:type="character" w:customStyle="1" w:styleId="HeaderChar">
    <w:name w:val="Header Char"/>
    <w:basedOn w:val="DefaultParagraphFont"/>
    <w:link w:val="Header"/>
    <w:rsid w:val="00CB3D7F"/>
    <w:rPr>
      <w:sz w:val="24"/>
      <w:lang w:val="nl-NL"/>
    </w:rPr>
  </w:style>
  <w:style w:type="paragraph" w:customStyle="1" w:styleId="NormalBold24a">
    <w:name w:val="NormalBold24a"/>
    <w:basedOn w:val="Normal"/>
    <w:rsid w:val="00CB3D7F"/>
    <w:pPr>
      <w:spacing w:after="480"/>
    </w:pPr>
    <w:rPr>
      <w:b/>
      <w:bCs/>
    </w:rPr>
  </w:style>
  <w:style w:type="paragraph" w:customStyle="1" w:styleId="EPFooter">
    <w:name w:val="EPFooter"/>
    <w:basedOn w:val="Normal"/>
    <w:rsid w:val="00CB3D7F"/>
    <w:pPr>
      <w:tabs>
        <w:tab w:val="center" w:pos="4535"/>
        <w:tab w:val="right" w:pos="9071"/>
      </w:tabs>
      <w:spacing w:before="240" w:after="240"/>
    </w:pPr>
    <w:rPr>
      <w:color w:val="010000"/>
      <w:sz w:val="22"/>
    </w:rPr>
  </w:style>
  <w:style w:type="paragraph" w:customStyle="1" w:styleId="EPComma">
    <w:name w:val="EPComma"/>
    <w:basedOn w:val="Normal"/>
    <w:rsid w:val="00CB3D7F"/>
    <w:pPr>
      <w:spacing w:before="480" w:after="240"/>
    </w:pPr>
  </w:style>
  <w:style w:type="character" w:styleId="Hyperlink">
    <w:name w:val="Hyperlink"/>
    <w:basedOn w:val="DefaultParagraphFont"/>
    <w:rsid w:val="00CB3D7F"/>
    <w:rPr>
      <w:color w:val="0563C1" w:themeColor="hyperlink"/>
      <w:u w:val="single"/>
    </w:rPr>
  </w:style>
  <w:style w:type="paragraph" w:customStyle="1" w:styleId="Institutionquiagit">
    <w:name w:val="Institution qui agit"/>
    <w:basedOn w:val="Normal"/>
    <w:next w:val="Normal"/>
    <w:rsid w:val="00CB3D7F"/>
    <w:pPr>
      <w:keepNext/>
      <w:snapToGrid w:val="0"/>
      <w:spacing w:after="240"/>
    </w:pPr>
    <w:rPr>
      <w:i/>
      <w:lang w:eastAsia="en-US"/>
    </w:rPr>
  </w:style>
  <w:style w:type="paragraph" w:customStyle="1" w:styleId="Institutionquisigne">
    <w:name w:val="Institution qui signe"/>
    <w:basedOn w:val="Normal"/>
    <w:next w:val="Normal"/>
    <w:rsid w:val="00CB3D7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B3D7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B3D7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B3D7F"/>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CB3D7F"/>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CB3D7F"/>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CB3D7F"/>
    <w:rPr>
      <w:sz w:val="24"/>
      <w:lang w:val="nl-NL"/>
    </w:rPr>
  </w:style>
  <w:style w:type="character" w:customStyle="1" w:styleId="PageHeadingChar">
    <w:name w:val="PageHeading Char"/>
    <w:basedOn w:val="DefaultParagraphFont"/>
    <w:link w:val="PageHeading"/>
    <w:rsid w:val="00CB3D7F"/>
    <w:rPr>
      <w:rFonts w:ascii="Arial" w:hAnsi="Arial" w:cs="Arial"/>
      <w:b/>
      <w:sz w:val="24"/>
      <w:lang w:val="nl-NL"/>
    </w:rPr>
  </w:style>
  <w:style w:type="character" w:styleId="CommentReference">
    <w:name w:val="annotation reference"/>
    <w:basedOn w:val="DefaultParagraphFont"/>
    <w:rsid w:val="00F816A3"/>
    <w:rPr>
      <w:sz w:val="16"/>
      <w:szCs w:val="16"/>
    </w:rPr>
  </w:style>
  <w:style w:type="paragraph" w:styleId="CommentText">
    <w:name w:val="annotation text"/>
    <w:basedOn w:val="Normal"/>
    <w:link w:val="CommentTextChar"/>
    <w:rsid w:val="00F816A3"/>
    <w:rPr>
      <w:sz w:val="20"/>
    </w:rPr>
  </w:style>
  <w:style w:type="character" w:customStyle="1" w:styleId="CommentTextChar">
    <w:name w:val="Comment Text Char"/>
    <w:basedOn w:val="DefaultParagraphFont"/>
    <w:link w:val="CommentText"/>
    <w:rsid w:val="00F816A3"/>
    <w:rPr>
      <w:lang w:val="nl-NL"/>
    </w:rPr>
  </w:style>
  <w:style w:type="paragraph" w:styleId="CommentSubject">
    <w:name w:val="annotation subject"/>
    <w:basedOn w:val="CommentText"/>
    <w:next w:val="CommentText"/>
    <w:link w:val="CommentSubjectChar"/>
    <w:rsid w:val="00F816A3"/>
    <w:rPr>
      <w:b/>
      <w:bCs/>
    </w:rPr>
  </w:style>
  <w:style w:type="character" w:customStyle="1" w:styleId="CommentSubjectChar">
    <w:name w:val="Comment Subject Char"/>
    <w:basedOn w:val="CommentTextChar"/>
    <w:link w:val="CommentSubject"/>
    <w:rsid w:val="00F816A3"/>
    <w:rPr>
      <w:b/>
      <w:bCs/>
      <w:lang w:val="nl-NL"/>
    </w:rPr>
  </w:style>
  <w:style w:type="paragraph" w:styleId="Revision">
    <w:name w:val="Revision"/>
    <w:hidden/>
    <w:uiPriority w:val="99"/>
    <w:semiHidden/>
    <w:rsid w:val="00F816A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2025-12-22T16:41:00Z</dcterms:created>
  <dcterms:modified xsi:type="dcterms:W3CDTF">2025-12-22T16:41:00Z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P10_TA(2025)0220_</vt:lpwstr>
  </property>
  <property fmtid="{D5CDD505-2E9C-101B-9397-08002B2CF9AE}" pid="4" name="&lt;Type&gt;">
    <vt:lpwstr>RR</vt:lpwstr>
  </property>
</Properties>
</file>