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7750" w14:paraId="5CAAF3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BF17AA" w14:textId="77777777" w:rsidR="00751A4A" w:rsidRPr="00477750" w:rsidRDefault="00F9362D" w:rsidP="0010095E">
            <w:pPr>
              <w:pStyle w:val="EPName"/>
            </w:pPr>
            <w:r w:rsidRPr="00477750">
              <w:t>Parlament Europejski</w:t>
            </w:r>
          </w:p>
          <w:p w14:paraId="26FBBF88" w14:textId="77777777" w:rsidR="00751A4A" w:rsidRPr="004777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7750">
              <w:t>2024</w:t>
            </w:r>
            <w:r w:rsidR="00817416" w:rsidRPr="00477750">
              <w:t>-202</w:t>
            </w:r>
            <w:r w:rsidRPr="00477750">
              <w:t>9</w:t>
            </w:r>
          </w:p>
        </w:tc>
        <w:tc>
          <w:tcPr>
            <w:tcW w:w="2268" w:type="dxa"/>
            <w:shd w:val="clear" w:color="auto" w:fill="auto"/>
          </w:tcPr>
          <w:p w14:paraId="22EF981A" w14:textId="77777777" w:rsidR="00751A4A" w:rsidRPr="00477750" w:rsidRDefault="00187494" w:rsidP="0010095E">
            <w:pPr>
              <w:pStyle w:val="EPLogo"/>
            </w:pPr>
            <w:r w:rsidRPr="00477750">
              <w:rPr>
                <w:noProof/>
                <w:lang w:eastAsia="ja-JP"/>
              </w:rPr>
              <w:drawing>
                <wp:inline distT="0" distB="0" distL="0" distR="0" wp14:anchorId="5C2C8FB1" wp14:editId="349167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F644E" w14:textId="77777777" w:rsidR="00D058B8" w:rsidRPr="00477750" w:rsidRDefault="00D058B8" w:rsidP="004C5D52">
      <w:pPr>
        <w:pStyle w:val="LineTop"/>
      </w:pPr>
    </w:p>
    <w:p w14:paraId="0BF7DA35" w14:textId="77777777" w:rsidR="00680577" w:rsidRPr="00477750" w:rsidRDefault="00F9362D" w:rsidP="00680577">
      <w:pPr>
        <w:pStyle w:val="EPBodyTA1"/>
      </w:pPr>
      <w:r w:rsidRPr="00477750">
        <w:t>TEKSTY PRZYJĘTE</w:t>
      </w:r>
    </w:p>
    <w:p w14:paraId="3E7ADCE0" w14:textId="77777777" w:rsidR="00D058B8" w:rsidRPr="00477750" w:rsidRDefault="00D058B8" w:rsidP="00D058B8">
      <w:pPr>
        <w:pStyle w:val="LineBottom"/>
      </w:pPr>
    </w:p>
    <w:p w14:paraId="0A784B01" w14:textId="06008525" w:rsidR="00F9362D" w:rsidRPr="00477750" w:rsidRDefault="00F9362D" w:rsidP="00F9362D">
      <w:pPr>
        <w:pStyle w:val="ATHeading1"/>
      </w:pPr>
      <w:bookmarkStart w:id="0" w:name="TANumber"/>
      <w:r w:rsidRPr="00477750">
        <w:t>P10_TA(2025)0</w:t>
      </w:r>
      <w:bookmarkEnd w:id="0"/>
      <w:r w:rsidR="00A52C0D">
        <w:t>220</w:t>
      </w:r>
    </w:p>
    <w:p w14:paraId="43E21FBC" w14:textId="4903509A" w:rsidR="00F9362D" w:rsidRPr="004430F4" w:rsidRDefault="004430F4" w:rsidP="004430F4">
      <w:pPr>
        <w:pStyle w:val="ATHeading2"/>
      </w:pPr>
      <w:r w:rsidRPr="004430F4">
        <w:t>Uruchomienie Europejskiego Funduszu Dostosowania do Globalizacji dla Zwalnianych Pracownik</w:t>
      </w:r>
      <w:r w:rsidRPr="004430F4">
        <w:rPr>
          <w:rFonts w:hint="eastAsia"/>
        </w:rPr>
        <w:t>ó</w:t>
      </w:r>
      <w:r w:rsidRPr="004430F4">
        <w:t>w</w:t>
      </w:r>
      <w:r>
        <w:t xml:space="preserve"> </w:t>
      </w:r>
      <w:r w:rsidRPr="004430F4">
        <w:t>w nast</w:t>
      </w:r>
      <w:r w:rsidRPr="004430F4">
        <w:rPr>
          <w:rFonts w:hint="eastAsia"/>
        </w:rPr>
        <w:t>ę</w:t>
      </w:r>
      <w:r w:rsidRPr="004430F4">
        <w:t>pstwie wniosku z</w:t>
      </w:r>
      <w:r w:rsidRPr="004430F4">
        <w:rPr>
          <w:rFonts w:hint="eastAsia"/>
        </w:rPr>
        <w:t>ł</w:t>
      </w:r>
      <w:r w:rsidRPr="004430F4">
        <w:t>o</w:t>
      </w:r>
      <w:r w:rsidRPr="004430F4">
        <w:rPr>
          <w:rFonts w:hint="eastAsia"/>
        </w:rPr>
        <w:t>ż</w:t>
      </w:r>
      <w:r w:rsidRPr="004430F4">
        <w:t>onego przez Belgi</w:t>
      </w:r>
      <w:r w:rsidRPr="004430F4">
        <w:rPr>
          <w:rFonts w:hint="eastAsia"/>
        </w:rPr>
        <w:t>ę</w:t>
      </w:r>
      <w:r w:rsidRPr="004430F4">
        <w:t xml:space="preserve"> </w:t>
      </w:r>
      <w:r w:rsidRPr="004430F4">
        <w:rPr>
          <w:rFonts w:hint="eastAsia"/>
        </w:rPr>
        <w:t>–</w:t>
      </w:r>
      <w:r w:rsidRPr="004430F4">
        <w:t xml:space="preserve"> EGF/2025/001 BE/BelGaN</w:t>
      </w:r>
    </w:p>
    <w:p w14:paraId="54E835E1" w14:textId="77777777" w:rsidR="00F9362D" w:rsidRPr="00477750" w:rsidRDefault="00F9362D" w:rsidP="00F9362D">
      <w:pPr>
        <w:rPr>
          <w:i/>
          <w:vanish/>
        </w:rPr>
      </w:pPr>
      <w:r w:rsidRPr="00477750">
        <w:rPr>
          <w:i/>
        </w:rPr>
        <w:fldChar w:fldCharType="begin"/>
      </w:r>
      <w:r w:rsidRPr="00477750">
        <w:rPr>
          <w:i/>
        </w:rPr>
        <w:instrText xml:space="preserve"> TC"(</w:instrText>
      </w:r>
      <w:bookmarkStart w:id="1" w:name="DocNumber"/>
      <w:r w:rsidRPr="00477750">
        <w:rPr>
          <w:i/>
        </w:rPr>
        <w:instrText>A10-0163/2025</w:instrText>
      </w:r>
      <w:bookmarkEnd w:id="1"/>
      <w:r w:rsidRPr="00477750">
        <w:rPr>
          <w:i/>
        </w:rPr>
        <w:instrText xml:space="preserve"> - Sprawozdawca: Bogdan Rzońca)"\l3 \n&gt; \* MERGEFORMAT </w:instrText>
      </w:r>
      <w:r w:rsidRPr="00477750">
        <w:rPr>
          <w:i/>
        </w:rPr>
        <w:fldChar w:fldCharType="end"/>
      </w:r>
    </w:p>
    <w:p w14:paraId="6B67D69F" w14:textId="77777777" w:rsidR="00F9362D" w:rsidRPr="00477750" w:rsidRDefault="00F9362D" w:rsidP="00F9362D">
      <w:pPr>
        <w:rPr>
          <w:vanish/>
        </w:rPr>
      </w:pPr>
      <w:bookmarkStart w:id="2" w:name="Commission"/>
      <w:r w:rsidRPr="00477750">
        <w:rPr>
          <w:vanish/>
        </w:rPr>
        <w:t>Komisja Budżetowa</w:t>
      </w:r>
      <w:bookmarkEnd w:id="2"/>
    </w:p>
    <w:p w14:paraId="09A18275" w14:textId="77777777" w:rsidR="00F9362D" w:rsidRPr="00477750" w:rsidRDefault="00F9362D" w:rsidP="00F9362D">
      <w:pPr>
        <w:rPr>
          <w:vanish/>
        </w:rPr>
      </w:pPr>
      <w:bookmarkStart w:id="3" w:name="PE"/>
      <w:r w:rsidRPr="00477750">
        <w:rPr>
          <w:vanish/>
        </w:rPr>
        <w:t>PE776.825</w:t>
      </w:r>
      <w:bookmarkEnd w:id="3"/>
    </w:p>
    <w:p w14:paraId="14167D2D" w14:textId="67C08C9F" w:rsidR="00F9362D" w:rsidRPr="00477750" w:rsidRDefault="00F9362D" w:rsidP="00F9362D">
      <w:pPr>
        <w:pStyle w:val="ATHeading3"/>
      </w:pPr>
      <w:bookmarkStart w:id="4" w:name="Sujet"/>
      <w:r w:rsidRPr="00477750">
        <w:t xml:space="preserve">Rezolucja Parlamentu Europejskiego z dnia </w:t>
      </w:r>
      <w:r w:rsidR="004430F4">
        <w:t>8 października</w:t>
      </w:r>
      <w:r w:rsidRPr="00477750">
        <w:t xml:space="preserve"> 2025 r. w sprawie wniosku dotyczącego decyzji Parlamentu Europejskiego i Rady w sprawie uruchomienia Europejskiego Funduszu Dostosowania do Globalizacji dla Zwalnianych Pracowników w następstwie wniosku złożonego przez Belgię – EGF/2025/001 BE/BelGaN</w:t>
      </w:r>
      <w:bookmarkEnd w:id="4"/>
      <w:r w:rsidRPr="00477750">
        <w:t xml:space="preserve"> </w:t>
      </w:r>
      <w:bookmarkStart w:id="5" w:name="References"/>
      <w:r w:rsidRPr="00477750">
        <w:t>(COM(2025)0157 – C10-0188/2025 – 2025/0198(BUD))</w:t>
      </w:r>
      <w:bookmarkEnd w:id="5"/>
    </w:p>
    <w:p w14:paraId="0FF5AEA2" w14:textId="77777777" w:rsidR="00444E1E" w:rsidRPr="00477750" w:rsidRDefault="00444E1E" w:rsidP="00444E1E">
      <w:pPr>
        <w:pStyle w:val="EPComma"/>
        <w:rPr>
          <w:noProof/>
        </w:rPr>
      </w:pPr>
      <w:r w:rsidRPr="00477750">
        <w:rPr>
          <w:i/>
        </w:rPr>
        <w:t>Parlament Europejski</w:t>
      </w:r>
      <w:r w:rsidRPr="00477750">
        <w:t>,</w:t>
      </w:r>
    </w:p>
    <w:p w14:paraId="5F392982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–</w:t>
      </w:r>
      <w:r w:rsidRPr="00477750">
        <w:tab/>
        <w:t>uwzględniając wniosek Komisji przedłożony Parlamentowi Europejskiemu i Radzie (COM(2025)0157 – C10</w:t>
      </w:r>
      <w:r w:rsidRPr="00477750">
        <w:noBreakHyphen/>
        <w:t>0188/2025),</w:t>
      </w:r>
    </w:p>
    <w:p w14:paraId="2EFA43F5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–</w:t>
      </w:r>
      <w:r w:rsidRPr="00477750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477750">
        <w:rPr>
          <w:rStyle w:val="FootnoteReference"/>
        </w:rPr>
        <w:footnoteReference w:id="1"/>
      </w:r>
      <w:r w:rsidRPr="00477750">
        <w:t xml:space="preserve"> („rozporządzenie w sprawie EFG”),</w:t>
      </w:r>
    </w:p>
    <w:p w14:paraId="520DDEC7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–</w:t>
      </w:r>
      <w:r w:rsidRPr="00477750">
        <w:tab/>
        <w:t>uwzględniając rozporządzenie Rady (UE, Euratom) 2020/2093 z dnia 17 grudnia 2020 r. określające wieloletnie ramy finansowe na lata 2021−2027</w:t>
      </w:r>
      <w:r w:rsidRPr="00477750">
        <w:rPr>
          <w:rStyle w:val="FootnoteReference"/>
          <w:noProof/>
        </w:rPr>
        <w:footnoteReference w:id="2"/>
      </w:r>
      <w:r w:rsidRPr="00477750">
        <w:t>, zmienione rozporządzeniem (UE, Euratom) 2024/765</w:t>
      </w:r>
      <w:r w:rsidRPr="00477750">
        <w:rPr>
          <w:rStyle w:val="FootnoteReference"/>
          <w:noProof/>
        </w:rPr>
        <w:footnoteReference w:id="3"/>
      </w:r>
      <w:r w:rsidRPr="00477750">
        <w:t>, w szczególności jego art. 8,</w:t>
      </w:r>
    </w:p>
    <w:p w14:paraId="79284AC9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–</w:t>
      </w:r>
      <w:r w:rsidRPr="00477750">
        <w:tab/>
        <w:t xml:space="preserve"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477750">
        <w:lastRenderedPageBreak/>
        <w:t>wprowadzania nowych zasobów własnych</w:t>
      </w:r>
      <w:r w:rsidRPr="00477750">
        <w:rPr>
          <w:rStyle w:val="FootnoteReference"/>
          <w:noProof/>
        </w:rPr>
        <w:footnoteReference w:id="4"/>
      </w:r>
      <w:r w:rsidRPr="00477750">
        <w:t>, w szczególności jego pkt 12,</w:t>
      </w:r>
    </w:p>
    <w:p w14:paraId="19CA00B3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–</w:t>
      </w:r>
      <w:r w:rsidRPr="00477750">
        <w:tab/>
        <w:t>uwzględniając opinię przedstawioną przez Komisję Zatrudnienia i Spraw Socjalnych,</w:t>
      </w:r>
    </w:p>
    <w:p w14:paraId="75899A48" w14:textId="77777777" w:rsidR="00444E1E" w:rsidRPr="00477750" w:rsidRDefault="00444E1E" w:rsidP="00444E1E">
      <w:pPr>
        <w:pStyle w:val="NormalHanging12a"/>
      </w:pPr>
      <w:r w:rsidRPr="00477750">
        <w:t>–</w:t>
      </w:r>
      <w:r w:rsidRPr="00477750">
        <w:tab/>
        <w:t>uwzględniając sprawozdanie Komisji Budżetowej (A10-0163/2025),</w:t>
      </w:r>
    </w:p>
    <w:p w14:paraId="3AF0B265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A.</w:t>
      </w:r>
      <w:r w:rsidRPr="00477750">
        <w:tab/>
        <w:t>mając na uwadze,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pracy; mając na uwadze, że pomoc ta przybiera postać wsparcia finansowego udzielanego pracownikom i przedsiębiorstwom, dla których pracowali;</w:t>
      </w:r>
    </w:p>
    <w:p w14:paraId="3EF89872" w14:textId="475FF32B" w:rsidR="00444E1E" w:rsidRPr="00477750" w:rsidRDefault="00444E1E" w:rsidP="00444E1E">
      <w:pPr>
        <w:pStyle w:val="NormalHanging12a"/>
        <w:rPr>
          <w:noProof/>
        </w:rPr>
      </w:pPr>
      <w:r w:rsidRPr="00477750">
        <w:t xml:space="preserve">B. </w:t>
      </w:r>
      <w:r w:rsidRPr="00477750">
        <w:tab/>
        <w:t xml:space="preserve">mając na uwadze, że Belgia złożyła wniosek EGF/2025/001 BE/BelGaN o wkład finansowy z Europejskiego Funduszu Dostosowania do Globalizacji (EFG) w następstwie 417 zwolnień w sektorze działalności gospodarczej zaklasyfikowanym do działu 26 według klasyfikacji NACE Rev. 2 (Produkcja komputerów, produktów elektronicznych i optycznych) w regionie Provincie Oost-Vlaanderen (BE23) w czteromiesięcznym okresie odniesienia, który trwał od 31 lipca </w:t>
      </w:r>
      <w:r w:rsidR="00D86DA6">
        <w:t xml:space="preserve">2024 </w:t>
      </w:r>
      <w:r w:rsidR="00987F56">
        <w:t xml:space="preserve">r. </w:t>
      </w:r>
      <w:r w:rsidRPr="00477750">
        <w:t xml:space="preserve">do 30 listopada 2024 r.; </w:t>
      </w:r>
    </w:p>
    <w:p w14:paraId="61FD1964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 xml:space="preserve">C. </w:t>
      </w:r>
      <w:r w:rsidRPr="00477750">
        <w:tab/>
        <w:t>mając na uwadze, że wniosek opiera się na kryterium interwencji przewidzianym w art. 4 ust. 2 lit. a) rozporządzenia w sprawie EFG, którym to kryterium jest zaprzestanie działalności przez co najmniej 200 zwalnianych pracowników lub osób prowadzących działalność na własny rachunek w czteromiesięcznym okresie odniesienia w przedsiębiorstwie w państwie członkowskim, z uwzględnieniem zwolnień pracowników u jego dostawców i producentów na wcześniejszych etapach w łańcuchu dostaw;</w:t>
      </w:r>
    </w:p>
    <w:p w14:paraId="45C3F236" w14:textId="4D3FFDA1" w:rsidR="00444E1E" w:rsidRPr="00477750" w:rsidRDefault="00444E1E" w:rsidP="00444E1E">
      <w:pPr>
        <w:pStyle w:val="NormalHanging12a"/>
        <w:rPr>
          <w:noProof/>
        </w:rPr>
      </w:pPr>
      <w:bookmarkStart w:id="6" w:name="_Hlk207698597"/>
      <w:r w:rsidRPr="00477750">
        <w:t xml:space="preserve">D. </w:t>
      </w:r>
      <w:r w:rsidRPr="00477750">
        <w:tab/>
        <w:t xml:space="preserve">mając na uwadze, że rosyjska wojna napastnicza przeciwko Ukrainie i rosnąca inflacja miały wpływ na koszty energii, materiałów i pracy, zwiększając presję na marże </w:t>
      </w:r>
      <w:r w:rsidR="00625AEF" w:rsidRPr="00477750">
        <w:t>BelGaN</w:t>
      </w:r>
      <w:r w:rsidRPr="00477750">
        <w:t>;</w:t>
      </w:r>
    </w:p>
    <w:bookmarkEnd w:id="6"/>
    <w:p w14:paraId="092FD624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 xml:space="preserve">E. </w:t>
      </w:r>
      <w:r w:rsidRPr="00477750">
        <w:tab/>
        <w:t>mając na uwadze, że BelGaN specjalizował się w produkcji półprzewodników dla sektora motoryzacyjnego; mając na uwadze, że europejski przemysł motoryzacyjny i jego dostawcy znajdują się pod bezprecedensową presją w wyniku wyzwań zewnętrznych i wewnętrznych, takich jak zakłócenie konkurencji i wysokie koszty energii;</w:t>
      </w:r>
    </w:p>
    <w:p w14:paraId="0B36D25D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F.</w:t>
      </w:r>
      <w:r w:rsidRPr="00477750">
        <w:tab/>
        <w:t xml:space="preserve">mając na uwadze, że przedsiębiorstwo to stało się znacznie mniej rentowne ze względu na ograniczenia przepływów środków pieniężnych wynikające z utrudnionego przejścia z czipów krzemowych na technologię azotku galu (GaN) z powodu wysokich kosztów produkcji i niewystarczających inwestycji w okresie przejściowym; </w:t>
      </w:r>
    </w:p>
    <w:p w14:paraId="5130DE80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G.</w:t>
      </w:r>
      <w:r w:rsidRPr="00477750">
        <w:tab/>
        <w:t>mając na uwadze, że 30 lipca 2024 r. BelGaN złożył wniosek o ogłoszenie upadłości;</w:t>
      </w:r>
    </w:p>
    <w:p w14:paraId="5AD4AE7D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H.</w:t>
      </w:r>
      <w:r w:rsidRPr="00477750">
        <w:tab/>
        <w:t>mając na uwadze, że flamandzkie służby zatrudnienia (VDAB</w:t>
      </w:r>
      <w:r w:rsidRPr="00477750">
        <w:rPr>
          <w:rStyle w:val="FootnoteReference"/>
          <w:noProof/>
        </w:rPr>
        <w:footnoteReference w:id="5"/>
      </w:r>
      <w:r w:rsidRPr="00477750">
        <w:t>) wypłacają zaliczki na poczet wspomnianych środków i je współfinansują;</w:t>
      </w:r>
    </w:p>
    <w:p w14:paraId="2C36D105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lastRenderedPageBreak/>
        <w:t>I.</w:t>
      </w:r>
      <w:r w:rsidRPr="00477750">
        <w:tab/>
        <w:t xml:space="preserve">mając na uwadze, że to przedsiębiorstwo zastosowało, zgodnie z prawem belgijskim, obowiązkową procedurę informowania przedstawicieli pracowników i konsultowania się z nimi; mając na uwadze, że obowiązek utworzenia jednostki ds. zatrudnienia, która oferuje osobom zwalnianym w ramach zwolnień grupowych program wsparcia zawodowego, nie ma zastosowania w przypadku upadłości, w związku z czym usługi w tym zakresie świadczył VDAB; </w:t>
      </w:r>
    </w:p>
    <w:p w14:paraId="4DFD7DF7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J.</w:t>
      </w:r>
      <w:r w:rsidRPr="00477750">
        <w:tab/>
        <w:t>mając na uwadze, że wkłady finansowe z EFG powinny być ukierunkowane przede wszystkim na środki aktywnej polityki rynku pracy i zindywidualizowane usługi, które mają na celu szybką reintegrację beneficjentów poprzez umożliwienie im godnego i trwałego zatrudnienia w ich pierwotnym sektorze działalności lub poza nim, przy jednoczesnym przygotowaniu ich do funkcjonowania w bardziej ekologicznej i cyfrowej gospodarce europejskiej;</w:t>
      </w:r>
    </w:p>
    <w:p w14:paraId="10D63BB5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K.</w:t>
      </w:r>
      <w:r w:rsidRPr="00477750">
        <w:tab/>
        <w:t>mając na uwadze, że środki EFG nie mogą przekroczyć maksymalnej rocznej kwoty 30 mln EUR (w cenach z 2018 r.), jak określono w art. 8 rozporządzenia (UE, Euratom) 2020/2093, zmienionego rozporządzeniem (UE, Euratom) 2024/765;</w:t>
      </w:r>
    </w:p>
    <w:p w14:paraId="4B37C55C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1.</w:t>
      </w:r>
      <w:r w:rsidRPr="00477750">
        <w:tab/>
        <w:t>zgadza się z Komisją, że spełniono warunki wymienione w art. 4 ust. 2 lit. a) rozporządzenia w sprawie EFG i że Belgia ma prawo do wkładu finansowego w wysokości 931 690 EUR na mocy tego rozporządzenia, co stanowi 85 % łącznych kosztów wynoszących 1 096 107 EUR (wliczając wydatki na zindywidualizowane usługi w wysokości 1 052 607 EUR oraz wydatki na działania przygotowawcze, zarządzanie, informacje, reklamy, kontrolę i sprawozdawczość w wysokości 43 500 EUR);</w:t>
      </w:r>
    </w:p>
    <w:p w14:paraId="359B3F0D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 xml:space="preserve">2. </w:t>
      </w:r>
      <w:r w:rsidRPr="00477750">
        <w:tab/>
        <w:t>zauważa, że władze belgijskie złożyły wniosek 21 lutego 2025 r. oraz że po przekazaniu przez Belgię dodatkowych informacji Komisja zakończyła ocenę wniosku 7 lipca 2025 r., prawie pięć miesięcy później, i przekazała ją Parlamentowi 26 sierpnia 2025 r.; podkreśla, jak ważne jest skrócenie czasu między złożeniem wniosku o pomoc z EFG a podjęciem decyzji w sprawie finansowania; podkreśla potrzebę uproszczenia i przyspieszenia procedur wewnętrznych bez podważania równowagi instytucjonalnej, w szczególności praw Parlamentu Europejskiego jako władzy budżetowej;</w:t>
      </w:r>
    </w:p>
    <w:p w14:paraId="1FCEAD64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3.</w:t>
      </w:r>
      <w:r w:rsidRPr="00477750">
        <w:tab/>
        <w:t>odnotowuje, że wniosek dotyczy 417 beneficjentów objętych pomocą, których zwolniono z przedsiębiorstwa BelGaN;</w:t>
      </w:r>
    </w:p>
    <w:p w14:paraId="56DE9CBC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4.</w:t>
      </w:r>
      <w:r w:rsidRPr="00477750">
        <w:tab/>
        <w:t>zwraca uwagę, że zwolnienia z przedsiębiorstwa BelGaN spowodowały wzrost rocznej stopy bezrobocia na terytorium Oudenaarde do 9 %, zwłaszcza wśród bezrobotnych o wysokich i średnich kwalifikacjach; zauważa, że jednocześnie liczba nowych miejsc pracy na tym obszarze zmniejszyła się o 22 % ze względu na znaczny wzrost liczby przedsiębiorstw, które złożyły wniosek o ogłoszenie upadłości w ciągu ostatnich trzech lat;</w:t>
      </w:r>
    </w:p>
    <w:p w14:paraId="352FB61C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5.</w:t>
      </w:r>
      <w:r w:rsidRPr="00477750">
        <w:tab/>
        <w:t xml:space="preserve">przypomina, że zindywidualizowane usługi, które należy świadczyć pracownikom, obejmują: sesje informacyjne, zwolnienia monitorowane, szkolenia, w tym szkolenia umożliwiające zmianę kwalifikacji, szkolenia w miejscu pracy, targi pracy, pomoc w poszukiwaniu pracy, wyszukiwanie potencjalnych ofert pracy i kojarzenie ich z pracownikami poszukującymi zatrudnienia, aby umożliwić pracownikom jak najszybszy powrót na rynek pracy, zapewnić im wysokiej jakości umiejętności i szkolenia istotne dla potencjalnych pracodawców w tym sektorze, a jednocześnie rozwijać ich zdolności do opracowywania inicjatyw w zakresie przedsiębiorczości i </w:t>
      </w:r>
      <w:r w:rsidRPr="00477750">
        <w:lastRenderedPageBreak/>
        <w:t>nowych projektów; podkreśla w tym kontekście, że dobrze wyszkolona siła robocza ma kluczowe znaczenie dla europejskiej gospodarki przygotowanej na przyszłe wyzwania;</w:t>
      </w:r>
    </w:p>
    <w:p w14:paraId="026A1389" w14:textId="77777777" w:rsidR="00444E1E" w:rsidRPr="00477750" w:rsidRDefault="00444E1E" w:rsidP="00444E1E">
      <w:pPr>
        <w:pStyle w:val="NormalHanging12a"/>
        <w:rPr>
          <w:bCs/>
          <w:iCs/>
          <w:noProof/>
        </w:rPr>
      </w:pPr>
      <w:r w:rsidRPr="00477750">
        <w:t>6.</w:t>
      </w:r>
      <w:r w:rsidRPr="00477750">
        <w:tab/>
        <w:t>apeluje o przeprowadzenie kompleksowych ocen końcowych wdrożonych środków, z uwzględnieniem danych dotyczących liczby pracowników, którzy z powodzeniem powrócili do zatrudnienia, oraz informacji zwrotnych od beneficjentów na temat jakości i adekwatności udzielonego wsparcia;</w:t>
      </w:r>
    </w:p>
    <w:p w14:paraId="3A7C2D8F" w14:textId="4D17CA57" w:rsidR="00444E1E" w:rsidRPr="00477750" w:rsidRDefault="00444E1E" w:rsidP="00444E1E">
      <w:pPr>
        <w:pStyle w:val="NormalHanging12a"/>
        <w:rPr>
          <w:noProof/>
        </w:rPr>
      </w:pPr>
      <w:r w:rsidRPr="00477750">
        <w:t>7.</w:t>
      </w:r>
      <w:r w:rsidRPr="00477750">
        <w:tab/>
        <w:t xml:space="preserve">stwierdza, że 8 sierpnia 2024 r. Belgia rozpoczęła świadczenie zindywidualizowanych usług na rzecz beneficjentów objętych pomocą, a zatem okres kwalifikowalności do otrzymania wkładu finansowego z EFG będzie trwał od tego dnia do upłynięcia 24 miesięcy od daty wejścia w życie decyzji </w:t>
      </w:r>
      <w:r w:rsidR="00625AEF">
        <w:t>załączonej do niniejszej rezolucji</w:t>
      </w:r>
      <w:r w:rsidRPr="00477750">
        <w:t>;</w:t>
      </w:r>
    </w:p>
    <w:p w14:paraId="48ECA908" w14:textId="24BA516F" w:rsidR="00444E1E" w:rsidRPr="00477750" w:rsidRDefault="00444E1E" w:rsidP="00444E1E">
      <w:pPr>
        <w:pStyle w:val="NormalHanging12a"/>
        <w:rPr>
          <w:noProof/>
        </w:rPr>
      </w:pPr>
      <w:r w:rsidRPr="00477750">
        <w:t>8.</w:t>
      </w:r>
      <w:r w:rsidRPr="00477750">
        <w:tab/>
        <w:t xml:space="preserve">stwierdza, że Belgia zaczęła ponosić wydatki administracyjne związane z wdrażaniem EFG 31 lipca 2024 r. i że takie wydatki kwalifikują się do otrzymania wkładu finansowego z EFG od tego dnia do upłynięcia 31 miesięcy od daty wejścia w życie decyzji </w:t>
      </w:r>
      <w:r w:rsidR="00625AEF">
        <w:t>załączonej do niniejszej rezolucji</w:t>
      </w:r>
      <w:r w:rsidRPr="00477750">
        <w:t>;</w:t>
      </w:r>
    </w:p>
    <w:p w14:paraId="3A1D7FD5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9.</w:t>
      </w:r>
      <w:r w:rsidRPr="00477750">
        <w:tab/>
        <w:t>podkreśla, że władze belgijskie potwierdziły, iż przy dostępie do proponowanych działań i ich wdrażaniu przestrzegane będą zasady równego traktowania i niedyskryminacji oraz że będzie się zapobiegać ewentualnym przypadkom podwójnego finansowania;</w:t>
      </w:r>
    </w:p>
    <w:p w14:paraId="18BDE5BF" w14:textId="77777777" w:rsidR="00444E1E" w:rsidRPr="00477750" w:rsidRDefault="00444E1E" w:rsidP="00444E1E">
      <w:pPr>
        <w:pStyle w:val="NormalHanging12a"/>
        <w:rPr>
          <w:bCs/>
          <w:iCs/>
          <w:noProof/>
        </w:rPr>
      </w:pPr>
      <w:r w:rsidRPr="00477750">
        <w:t>10.</w:t>
      </w:r>
      <w:r w:rsidRPr="00477750">
        <w:tab/>
        <w:t>podkreśla potrzebę zapewnienia wyraźnego uznania i widoczności finansowania Unii w celu podkreślenia jego wartości dodanej; apeluje o spójną i dobrze ukierunkowaną komunikację z beneficjentami, władzami regionalnymi i lokalnymi, partnerami społecznymi, mediami i ogółem społeczeństwa;</w:t>
      </w:r>
    </w:p>
    <w:p w14:paraId="4823A248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11.</w:t>
      </w:r>
      <w:r w:rsidRPr="00477750">
        <w:tab/>
        <w:t>przypomina, że pomoc z EFG nie może zastępować działań, za które na mocy prawa krajowego lub układów zbiorowych odpowiedzialne są przedsiębiorstwa;</w:t>
      </w:r>
    </w:p>
    <w:p w14:paraId="1A159274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12.</w:t>
      </w:r>
      <w:r w:rsidRPr="00477750">
        <w:tab/>
        <w:t>zatwierdza decyzję załączoną do rezolucji;</w:t>
      </w:r>
    </w:p>
    <w:p w14:paraId="48A02E01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13.</w:t>
      </w:r>
      <w:r w:rsidRPr="00477750">
        <w:tab/>
        <w:t xml:space="preserve">zobowiązuje swoją przewodniczącą do podpisania wraz z przewodniczącym Rady niniejszej decyzji i dopilnowania, by opublikowano ją w </w:t>
      </w:r>
      <w:r w:rsidRPr="00477750">
        <w:rPr>
          <w:i/>
        </w:rPr>
        <w:t>Dzienniku Urzędowym Unii Europejskiej</w:t>
      </w:r>
      <w:r w:rsidRPr="00477750">
        <w:t>;</w:t>
      </w:r>
    </w:p>
    <w:p w14:paraId="4411A93D" w14:textId="77777777" w:rsidR="00444E1E" w:rsidRPr="00477750" w:rsidRDefault="00444E1E" w:rsidP="00444E1E">
      <w:pPr>
        <w:pStyle w:val="NormalHanging12a"/>
        <w:rPr>
          <w:noProof/>
        </w:rPr>
      </w:pPr>
      <w:r w:rsidRPr="00477750">
        <w:t>14.</w:t>
      </w:r>
      <w:r w:rsidRPr="00477750">
        <w:tab/>
        <w:t>zobowiązuje swoją przewodniczącą do przekazania niniejszej rezolucji wraz z załącznikiem Radzie i Komisji.</w:t>
      </w:r>
    </w:p>
    <w:p w14:paraId="749670EF" w14:textId="77777777" w:rsidR="00444E1E" w:rsidRPr="00477750" w:rsidRDefault="00444E1E" w:rsidP="00444E1E">
      <w:pPr>
        <w:rPr>
          <w:noProof/>
        </w:rPr>
      </w:pPr>
    </w:p>
    <w:p w14:paraId="4A77709E" w14:textId="77777777" w:rsidR="00444E1E" w:rsidRPr="00477750" w:rsidRDefault="00444E1E" w:rsidP="00444E1E">
      <w:pPr>
        <w:widowControl/>
        <w:rPr>
          <w:rFonts w:ascii="Arial" w:hAnsi="Arial" w:cs="Arial"/>
          <w:b/>
          <w:noProof/>
        </w:rPr>
      </w:pPr>
      <w:r w:rsidRPr="00477750">
        <w:br w:type="page"/>
      </w:r>
    </w:p>
    <w:p w14:paraId="63283789" w14:textId="77777777" w:rsidR="00444E1E" w:rsidRPr="00477750" w:rsidRDefault="00444E1E" w:rsidP="00444E1E">
      <w:pPr>
        <w:widowControl/>
        <w:rPr>
          <w:rFonts w:ascii="Arial" w:hAnsi="Arial" w:cs="Arial"/>
          <w:b/>
          <w:noProof/>
        </w:rPr>
        <w:sectPr w:rsidR="00444E1E" w:rsidRPr="00477750" w:rsidSect="0047775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8D2E6D2" w14:textId="77777777" w:rsidR="00E547CC" w:rsidRDefault="00444E1E" w:rsidP="00444E1E">
      <w:pPr>
        <w:pStyle w:val="PageHeading"/>
      </w:pPr>
      <w:bookmarkStart w:id="7" w:name="_Toc206749163"/>
      <w:bookmarkStart w:id="8" w:name="_Toc210385766"/>
      <w:r w:rsidRPr="00477750">
        <w:lastRenderedPageBreak/>
        <w:t>ZAŁĄCZNIK</w:t>
      </w:r>
    </w:p>
    <w:p w14:paraId="18E77051" w14:textId="29374806" w:rsidR="00444E1E" w:rsidRPr="00477750" w:rsidRDefault="00444E1E" w:rsidP="00444E1E">
      <w:pPr>
        <w:pStyle w:val="PageHeading"/>
        <w:rPr>
          <w:noProof/>
        </w:rPr>
      </w:pPr>
      <w:r w:rsidRPr="00477750">
        <w:t>DECYZJA PARLAMENTU EUROPEJSKIEGO I RADY</w:t>
      </w:r>
      <w:bookmarkEnd w:id="7"/>
      <w:bookmarkEnd w:id="8"/>
    </w:p>
    <w:p w14:paraId="01CC9C56" w14:textId="77777777" w:rsidR="00444E1E" w:rsidRPr="00477750" w:rsidRDefault="00444E1E" w:rsidP="00444E1E">
      <w:pPr>
        <w:pStyle w:val="NormalBold24a"/>
      </w:pPr>
      <w:r w:rsidRPr="00477750">
        <w:t>w sprawie uruchomienia Europejskiego Funduszu Dostosowania do Globalizacji dla Zwalnianych Pracowników w następstwie wniosku złożonego przez Belgię – EGF/2025/001 BE/BelGaN</w:t>
      </w:r>
    </w:p>
    <w:p w14:paraId="2C42B331" w14:textId="398EC1E7" w:rsidR="00625AEF" w:rsidRPr="00E547CC" w:rsidRDefault="00E547CC" w:rsidP="00E547CC">
      <w:pPr>
        <w:pStyle w:val="Institutionquiagit"/>
        <w:rPr>
          <w:iCs/>
        </w:rPr>
      </w:pPr>
      <w:r w:rsidRPr="00E547CC">
        <w:rPr>
          <w:iCs/>
        </w:rPr>
        <w:t>(Tekst tego załącznika nie został powtórzony w tym miejscu, ponieważ odpowiada on końcowej wersji decyzji (UE) 2025/2133)</w:t>
      </w:r>
    </w:p>
    <w:sectPr w:rsidR="00625AEF" w:rsidRPr="00E547CC" w:rsidSect="004777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9D001" w14:textId="77777777" w:rsidR="00F9362D" w:rsidRPr="00477750" w:rsidRDefault="00F9362D">
      <w:r w:rsidRPr="00477750">
        <w:separator/>
      </w:r>
    </w:p>
  </w:endnote>
  <w:endnote w:type="continuationSeparator" w:id="0">
    <w:p w14:paraId="47FE1A16" w14:textId="77777777" w:rsidR="00F9362D" w:rsidRPr="00477750" w:rsidRDefault="00F9362D">
      <w:r w:rsidRPr="004777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5FF1" w14:textId="77777777" w:rsidR="00444E1E" w:rsidRPr="00477750" w:rsidRDefault="00444E1E" w:rsidP="00667E7F">
    <w:pPr>
      <w:pStyle w:val="EPFooter"/>
    </w:pPr>
    <w:r w:rsidRPr="00477750">
      <w:t>PE</w:t>
    </w:r>
    <w:r w:rsidRPr="00477750">
      <w:rPr>
        <w:rStyle w:val="HideTWBExt"/>
      </w:rPr>
      <w:t>&lt;NoPE&gt;</w:t>
    </w:r>
    <w:r w:rsidRPr="00477750">
      <w:t>776.825</w:t>
    </w:r>
    <w:r w:rsidRPr="00477750">
      <w:rPr>
        <w:rStyle w:val="HideTWBExt"/>
      </w:rPr>
      <w:t>&lt;/NoPE&gt;&lt;Version&gt;</w:t>
    </w:r>
    <w:r w:rsidRPr="00477750">
      <w:t>v02-00</w:t>
    </w:r>
    <w:r w:rsidRPr="00477750">
      <w:rPr>
        <w:rStyle w:val="HideTWBExt"/>
      </w:rPr>
      <w:t>&lt;/Version&gt;</w:t>
    </w:r>
    <w:r w:rsidRPr="00477750">
      <w:tab/>
    </w:r>
    <w:r w:rsidRPr="00477750">
      <w:fldChar w:fldCharType="begin"/>
    </w:r>
    <w:r w:rsidRPr="00477750">
      <w:instrText xml:space="preserve"> PAGE  \* MERGEFORMAT </w:instrText>
    </w:r>
    <w:r w:rsidRPr="00477750">
      <w:fldChar w:fldCharType="separate"/>
    </w:r>
    <w:r w:rsidRPr="00477750">
      <w:rPr>
        <w:noProof/>
      </w:rPr>
      <w:t>2</w:t>
    </w:r>
    <w:r w:rsidRPr="00477750">
      <w:fldChar w:fldCharType="end"/>
    </w:r>
    <w:r w:rsidRPr="00477750">
      <w:t>/</w:t>
    </w:r>
    <w:r w:rsidR="00987F56">
      <w:fldChar w:fldCharType="begin"/>
    </w:r>
    <w:r w:rsidR="00987F56">
      <w:instrText xml:space="preserve"> NUMPAGES  \* MERGEFORMAT </w:instrText>
    </w:r>
    <w:r w:rsidR="00987F56">
      <w:fldChar w:fldCharType="separate"/>
    </w:r>
    <w:r w:rsidRPr="00477750">
      <w:rPr>
        <w:noProof/>
      </w:rPr>
      <w:t>17</w:t>
    </w:r>
    <w:r w:rsidR="00987F56">
      <w:rPr>
        <w:noProof/>
      </w:rPr>
      <w:fldChar w:fldCharType="end"/>
    </w:r>
    <w:r w:rsidRPr="00477750">
      <w:tab/>
    </w:r>
    <w:r w:rsidRPr="00477750">
      <w:rPr>
        <w:rStyle w:val="HideTWBExt"/>
      </w:rPr>
      <w:t>&lt;PathFdR&gt;</w:t>
    </w:r>
    <w:r w:rsidRPr="00477750">
      <w:t>RR\1328419PL.docx</w:t>
    </w:r>
    <w:r w:rsidRPr="00477750">
      <w:rPr>
        <w:rStyle w:val="HideTWBExt"/>
      </w:rPr>
      <w:t>&lt;/PathFdR&gt;</w:t>
    </w:r>
  </w:p>
  <w:p w14:paraId="39087632" w14:textId="77777777" w:rsidR="00444E1E" w:rsidRPr="00477750" w:rsidRDefault="00444E1E" w:rsidP="00667E7F">
    <w:pPr>
      <w:pStyle w:val="EPFooter2"/>
    </w:pPr>
    <w:r w:rsidRPr="00477750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93FEA" w14:textId="77777777" w:rsidR="00444E1E" w:rsidRPr="00477750" w:rsidRDefault="00444E1E" w:rsidP="00667E7F">
    <w:pPr>
      <w:pStyle w:val="EPFooter"/>
    </w:pPr>
    <w:r w:rsidRPr="00477750">
      <w:rPr>
        <w:rStyle w:val="HideTWBExt"/>
      </w:rPr>
      <w:t>&lt;PathFdR&gt;</w:t>
    </w:r>
    <w:r w:rsidRPr="00477750">
      <w:t>RR\1328419PL.docx</w:t>
    </w:r>
    <w:r w:rsidRPr="00477750">
      <w:rPr>
        <w:rStyle w:val="HideTWBExt"/>
      </w:rPr>
      <w:t>&lt;/PathFdR&gt;</w:t>
    </w:r>
    <w:r w:rsidRPr="00477750">
      <w:tab/>
    </w:r>
    <w:r w:rsidRPr="00477750">
      <w:tab/>
      <w:t>PE</w:t>
    </w:r>
    <w:r w:rsidRPr="00477750">
      <w:rPr>
        <w:rStyle w:val="HideTWBExt"/>
      </w:rPr>
      <w:t>&lt;NoPE&gt;</w:t>
    </w:r>
    <w:r w:rsidRPr="00477750">
      <w:t>776.825</w:t>
    </w:r>
    <w:r w:rsidRPr="00477750">
      <w:rPr>
        <w:rStyle w:val="HideTWBExt"/>
      </w:rPr>
      <w:t>&lt;/NoPE&gt;&lt;Version&gt;</w:t>
    </w:r>
    <w:r w:rsidRPr="00477750">
      <w:t>v02-00</w:t>
    </w:r>
    <w:r w:rsidRPr="00477750">
      <w:rPr>
        <w:rStyle w:val="HideTWBExt"/>
      </w:rPr>
      <w:t>&lt;/Version&gt;</w:t>
    </w:r>
  </w:p>
  <w:p w14:paraId="4815D8A3" w14:textId="77777777" w:rsidR="00444E1E" w:rsidRPr="00477750" w:rsidRDefault="00444E1E" w:rsidP="00667E7F">
    <w:pPr>
      <w:pStyle w:val="EPFooter2"/>
    </w:pPr>
    <w:r w:rsidRPr="00477750">
      <w:t>PL</w:t>
    </w:r>
    <w:r w:rsidRPr="00477750">
      <w:tab/>
    </w:r>
    <w:r w:rsidRPr="00477750">
      <w:rPr>
        <w:b w:val="0"/>
        <w:i/>
        <w:color w:val="C0C0C0"/>
        <w:sz w:val="22"/>
      </w:rPr>
      <w:t>Zjednoczona w różnorodności</w:t>
    </w:r>
    <w:r w:rsidRPr="00477750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48BD" w14:textId="77777777" w:rsidR="00064002" w:rsidRPr="0047775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F76B8" w14:textId="77777777" w:rsidR="00064002" w:rsidRPr="0047775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5DC6" w14:textId="77777777" w:rsidR="00064002" w:rsidRPr="004777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CD8F3" w14:textId="77777777" w:rsidR="00F9362D" w:rsidRPr="00477750" w:rsidRDefault="00F9362D">
      <w:r w:rsidRPr="00477750">
        <w:separator/>
      </w:r>
    </w:p>
  </w:footnote>
  <w:footnote w:type="continuationSeparator" w:id="0">
    <w:p w14:paraId="43AD4A9C" w14:textId="77777777" w:rsidR="00F9362D" w:rsidRPr="00477750" w:rsidRDefault="00F9362D">
      <w:r w:rsidRPr="00477750">
        <w:continuationSeparator/>
      </w:r>
    </w:p>
  </w:footnote>
  <w:footnote w:id="1">
    <w:p w14:paraId="09BAAF96" w14:textId="7E71E138" w:rsidR="00444E1E" w:rsidRPr="00477750" w:rsidRDefault="00444E1E" w:rsidP="00477750">
      <w:pPr>
        <w:pStyle w:val="FootnoteText"/>
        <w:ind w:left="567" w:hanging="567"/>
        <w:rPr>
          <w:sz w:val="24"/>
          <w:lang w:val="pl-PL"/>
        </w:rPr>
      </w:pPr>
      <w:r w:rsidRPr="00477750">
        <w:rPr>
          <w:rStyle w:val="FootnoteReference"/>
          <w:sz w:val="24"/>
          <w:lang w:val="pl-PL"/>
        </w:rPr>
        <w:footnoteRef/>
      </w:r>
      <w:r w:rsidR="00477750" w:rsidRPr="00477750">
        <w:rPr>
          <w:sz w:val="24"/>
          <w:lang w:val="pl-PL"/>
        </w:rPr>
        <w:t xml:space="preserve"> </w:t>
      </w:r>
      <w:r w:rsidR="00477750" w:rsidRPr="00477750">
        <w:rPr>
          <w:sz w:val="24"/>
          <w:lang w:val="pl-PL"/>
        </w:rPr>
        <w:tab/>
      </w:r>
      <w:r w:rsidRPr="00477750">
        <w:rPr>
          <w:sz w:val="24"/>
          <w:lang w:val="pl-PL"/>
        </w:rPr>
        <w:t xml:space="preserve">Dz.U. L 153 z 3.5.2021, s. 48, ELI: </w:t>
      </w:r>
      <w:hyperlink r:id="rId1" w:history="1">
        <w:r w:rsidRPr="00477750">
          <w:rPr>
            <w:rStyle w:val="Hyperlink"/>
            <w:sz w:val="24"/>
            <w:lang w:val="pl-PL"/>
          </w:rPr>
          <w:t>http://data.europa.eu/eli/reg/2021/691/oj</w:t>
        </w:r>
      </w:hyperlink>
      <w:r w:rsidRPr="00477750">
        <w:rPr>
          <w:sz w:val="24"/>
          <w:lang w:val="pl-PL"/>
        </w:rPr>
        <w:t>.</w:t>
      </w:r>
    </w:p>
  </w:footnote>
  <w:footnote w:id="2">
    <w:p w14:paraId="59EEB966" w14:textId="597C3BA3" w:rsidR="00444E1E" w:rsidRPr="00477750" w:rsidRDefault="00444E1E" w:rsidP="00477750">
      <w:pPr>
        <w:pStyle w:val="FootnoteText"/>
        <w:ind w:left="567" w:hanging="567"/>
        <w:rPr>
          <w:sz w:val="24"/>
          <w:lang w:val="pl-PL"/>
        </w:rPr>
      </w:pPr>
      <w:r w:rsidRPr="00477750">
        <w:rPr>
          <w:rStyle w:val="FootnoteReference"/>
          <w:sz w:val="24"/>
          <w:lang w:val="pl-PL"/>
        </w:rPr>
        <w:footnoteRef/>
      </w:r>
      <w:r w:rsidR="00477750" w:rsidRPr="00477750">
        <w:rPr>
          <w:sz w:val="24"/>
          <w:lang w:val="pl-PL"/>
        </w:rPr>
        <w:t xml:space="preserve"> </w:t>
      </w:r>
      <w:r w:rsidR="00477750" w:rsidRPr="00477750">
        <w:rPr>
          <w:sz w:val="24"/>
          <w:lang w:val="pl-PL"/>
        </w:rPr>
        <w:tab/>
      </w:r>
      <w:r w:rsidRPr="00477750">
        <w:rPr>
          <w:sz w:val="24"/>
          <w:lang w:val="pl-PL"/>
        </w:rPr>
        <w:t xml:space="preserve">Dz.U. L 433 I z 22.12.2020, s. 11, ELI: </w:t>
      </w:r>
      <w:hyperlink r:id="rId2" w:history="1">
        <w:r w:rsidRPr="00477750">
          <w:rPr>
            <w:rStyle w:val="Hyperlink"/>
            <w:sz w:val="24"/>
            <w:lang w:val="pl-PL"/>
          </w:rPr>
          <w:t>http://data.europa.eu/eli/reg/2020/2093/oj</w:t>
        </w:r>
      </w:hyperlink>
      <w:r w:rsidRPr="00477750">
        <w:rPr>
          <w:sz w:val="24"/>
          <w:lang w:val="pl-PL"/>
        </w:rPr>
        <w:t>.</w:t>
      </w:r>
    </w:p>
  </w:footnote>
  <w:footnote w:id="3">
    <w:p w14:paraId="364B68D4" w14:textId="02846300" w:rsidR="00444E1E" w:rsidRPr="00477750" w:rsidRDefault="00444E1E" w:rsidP="00477750">
      <w:pPr>
        <w:pStyle w:val="FootnoteText"/>
        <w:ind w:left="567" w:hanging="567"/>
        <w:rPr>
          <w:sz w:val="24"/>
          <w:lang w:val="pl-PL"/>
        </w:rPr>
      </w:pPr>
      <w:r w:rsidRPr="00477750">
        <w:rPr>
          <w:rStyle w:val="FootnoteReference"/>
          <w:sz w:val="24"/>
          <w:lang w:val="pl-PL"/>
        </w:rPr>
        <w:footnoteRef/>
      </w:r>
      <w:r w:rsidR="00477750" w:rsidRPr="00477750">
        <w:rPr>
          <w:sz w:val="24"/>
          <w:lang w:val="pl-PL"/>
        </w:rPr>
        <w:t xml:space="preserve"> </w:t>
      </w:r>
      <w:r w:rsidR="00477750" w:rsidRPr="00477750">
        <w:rPr>
          <w:sz w:val="24"/>
          <w:lang w:val="pl-PL"/>
        </w:rPr>
        <w:tab/>
      </w:r>
      <w:r w:rsidRPr="00477750">
        <w:rPr>
          <w:sz w:val="24"/>
          <w:lang w:val="pl-PL"/>
        </w:rPr>
        <w:t xml:space="preserve">Rozporządzenie Rady (UE, Euratom) 2024/765 z dnia 29 lutego 2024 r. w sprawie zmiany rozporządzenia (UE, Euratom) 2020/2093 określającego wieloletnie ramy finansowe na lata 2021–2027, Dz.U. L, 2024/765, 29.2.2024, ELI: </w:t>
      </w:r>
      <w:hyperlink r:id="rId3" w:history="1">
        <w:r w:rsidRPr="00477750">
          <w:rPr>
            <w:rStyle w:val="Hyperlink"/>
            <w:sz w:val="24"/>
            <w:lang w:val="pl-PL"/>
          </w:rPr>
          <w:t>http://data.europa.eu/eli/reg/2024/765/oj</w:t>
        </w:r>
      </w:hyperlink>
      <w:r w:rsidRPr="00477750">
        <w:rPr>
          <w:sz w:val="24"/>
          <w:lang w:val="pl-PL"/>
        </w:rPr>
        <w:t>).</w:t>
      </w:r>
    </w:p>
  </w:footnote>
  <w:footnote w:id="4">
    <w:p w14:paraId="060160A4" w14:textId="63293515" w:rsidR="00444E1E" w:rsidRPr="00477750" w:rsidRDefault="00444E1E" w:rsidP="00477750">
      <w:pPr>
        <w:pStyle w:val="FootnoteText"/>
        <w:ind w:left="567" w:hanging="567"/>
        <w:rPr>
          <w:sz w:val="24"/>
          <w:lang w:val="pl-PL"/>
        </w:rPr>
      </w:pPr>
      <w:r w:rsidRPr="00477750">
        <w:rPr>
          <w:rStyle w:val="FootnoteReference"/>
          <w:sz w:val="24"/>
          <w:lang w:val="pl-PL"/>
        </w:rPr>
        <w:footnoteRef/>
      </w:r>
      <w:r w:rsidR="00477750" w:rsidRPr="00477750">
        <w:rPr>
          <w:sz w:val="24"/>
          <w:lang w:val="pl-PL"/>
        </w:rPr>
        <w:t xml:space="preserve"> </w:t>
      </w:r>
      <w:r w:rsidR="00477750" w:rsidRPr="00477750">
        <w:rPr>
          <w:sz w:val="24"/>
          <w:lang w:val="pl-PL"/>
        </w:rPr>
        <w:tab/>
      </w:r>
      <w:r w:rsidRPr="00477750">
        <w:rPr>
          <w:sz w:val="24"/>
          <w:lang w:val="pl-PL"/>
        </w:rPr>
        <w:t xml:space="preserve">Dz.U. L 433 I z 22.12.2020, s. 28, ELI: </w:t>
      </w:r>
      <w:hyperlink r:id="rId4" w:history="1">
        <w:r w:rsidRPr="00477750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477750">
        <w:rPr>
          <w:sz w:val="24"/>
          <w:lang w:val="pl-PL"/>
        </w:rPr>
        <w:t>.</w:t>
      </w:r>
    </w:p>
  </w:footnote>
  <w:footnote w:id="5">
    <w:p w14:paraId="7DE51BF6" w14:textId="38B9C745" w:rsidR="00444E1E" w:rsidRPr="00A52C0D" w:rsidRDefault="00444E1E" w:rsidP="00477750">
      <w:pPr>
        <w:pStyle w:val="FootnoteText"/>
        <w:ind w:left="567" w:hanging="567"/>
        <w:rPr>
          <w:sz w:val="24"/>
          <w:lang w:val="nl-NL"/>
        </w:rPr>
      </w:pPr>
      <w:r w:rsidRPr="00477750">
        <w:rPr>
          <w:rStyle w:val="FootnoteReference"/>
          <w:sz w:val="24"/>
          <w:lang w:val="pl-PL"/>
        </w:rPr>
        <w:footnoteRef/>
      </w:r>
      <w:r w:rsidR="00477750" w:rsidRPr="00A52C0D">
        <w:rPr>
          <w:sz w:val="24"/>
          <w:lang w:val="nl-NL"/>
        </w:rPr>
        <w:t xml:space="preserve"> </w:t>
      </w:r>
      <w:r w:rsidR="00477750" w:rsidRPr="00A52C0D">
        <w:rPr>
          <w:sz w:val="24"/>
          <w:lang w:val="nl-NL"/>
        </w:rPr>
        <w:tab/>
      </w:r>
      <w:r w:rsidRPr="00A52C0D">
        <w:rPr>
          <w:sz w:val="24"/>
          <w:lang w:val="nl-NL"/>
        </w:rPr>
        <w:t>Vlaamse Dienst voor Arbeidsbemiddeling en Beroepsopleiding</w:t>
      </w:r>
      <w:r w:rsidR="00625AEF">
        <w:rPr>
          <w:sz w:val="24"/>
          <w:lang w:val="nl-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7653E" w14:textId="77777777" w:rsidR="00064002" w:rsidRPr="004777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CA615" w14:textId="77777777" w:rsidR="00064002" w:rsidRPr="004777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7730" w14:textId="77777777" w:rsidR="00064002" w:rsidRPr="004777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4417365">
    <w:abstractNumId w:val="9"/>
  </w:num>
  <w:num w:numId="2" w16cid:durableId="1066075228">
    <w:abstractNumId w:val="9"/>
  </w:num>
  <w:num w:numId="3" w16cid:durableId="966010072">
    <w:abstractNumId w:val="7"/>
  </w:num>
  <w:num w:numId="4" w16cid:durableId="254872877">
    <w:abstractNumId w:val="7"/>
  </w:num>
  <w:num w:numId="5" w16cid:durableId="1480800388">
    <w:abstractNumId w:val="6"/>
  </w:num>
  <w:num w:numId="6" w16cid:durableId="1524436798">
    <w:abstractNumId w:val="6"/>
  </w:num>
  <w:num w:numId="7" w16cid:durableId="1414935280">
    <w:abstractNumId w:val="5"/>
  </w:num>
  <w:num w:numId="8" w16cid:durableId="669797964">
    <w:abstractNumId w:val="5"/>
  </w:num>
  <w:num w:numId="9" w16cid:durableId="1068457456">
    <w:abstractNumId w:val="4"/>
  </w:num>
  <w:num w:numId="10" w16cid:durableId="208883254">
    <w:abstractNumId w:val="4"/>
  </w:num>
  <w:num w:numId="11" w16cid:durableId="21707888">
    <w:abstractNumId w:val="8"/>
  </w:num>
  <w:num w:numId="12" w16cid:durableId="158350386">
    <w:abstractNumId w:val="8"/>
  </w:num>
  <w:num w:numId="13" w16cid:durableId="1589002755">
    <w:abstractNumId w:val="3"/>
  </w:num>
  <w:num w:numId="14" w16cid:durableId="769811338">
    <w:abstractNumId w:val="3"/>
  </w:num>
  <w:num w:numId="15" w16cid:durableId="697465022">
    <w:abstractNumId w:val="2"/>
  </w:num>
  <w:num w:numId="16" w16cid:durableId="981234774">
    <w:abstractNumId w:val="2"/>
  </w:num>
  <w:num w:numId="17" w16cid:durableId="131286938">
    <w:abstractNumId w:val="1"/>
  </w:num>
  <w:num w:numId="18" w16cid:durableId="802120031">
    <w:abstractNumId w:val="1"/>
  </w:num>
  <w:num w:numId="19" w16cid:durableId="1705329586">
    <w:abstractNumId w:val="0"/>
  </w:num>
  <w:num w:numId="20" w16cid:durableId="1365980803">
    <w:abstractNumId w:val="0"/>
  </w:num>
  <w:num w:numId="21" w16cid:durableId="1370958354">
    <w:abstractNumId w:val="9"/>
  </w:num>
  <w:num w:numId="22" w16cid:durableId="649335898">
    <w:abstractNumId w:val="7"/>
  </w:num>
  <w:num w:numId="23" w16cid:durableId="921526769">
    <w:abstractNumId w:val="6"/>
  </w:num>
  <w:num w:numId="24" w16cid:durableId="340667761">
    <w:abstractNumId w:val="5"/>
  </w:num>
  <w:num w:numId="25" w16cid:durableId="124467084">
    <w:abstractNumId w:val="4"/>
  </w:num>
  <w:num w:numId="26" w16cid:durableId="371341945">
    <w:abstractNumId w:val="8"/>
  </w:num>
  <w:num w:numId="27" w16cid:durableId="367871957">
    <w:abstractNumId w:val="3"/>
  </w:num>
  <w:num w:numId="28" w16cid:durableId="639501640">
    <w:abstractNumId w:val="2"/>
  </w:num>
  <w:num w:numId="29" w16cid:durableId="1748457801">
    <w:abstractNumId w:val="1"/>
  </w:num>
  <w:num w:numId="30" w16cid:durableId="224144282">
    <w:abstractNumId w:val="0"/>
  </w:num>
  <w:num w:numId="31" w16cid:durableId="1089615885">
    <w:abstractNumId w:val="9"/>
  </w:num>
  <w:num w:numId="32" w16cid:durableId="1808618345">
    <w:abstractNumId w:val="7"/>
  </w:num>
  <w:num w:numId="33" w16cid:durableId="1722511877">
    <w:abstractNumId w:val="6"/>
  </w:num>
  <w:num w:numId="34" w16cid:durableId="893465650">
    <w:abstractNumId w:val="5"/>
  </w:num>
  <w:num w:numId="35" w16cid:durableId="23675571">
    <w:abstractNumId w:val="4"/>
  </w:num>
  <w:num w:numId="36" w16cid:durableId="984893515">
    <w:abstractNumId w:val="8"/>
  </w:num>
  <w:num w:numId="37" w16cid:durableId="308634528">
    <w:abstractNumId w:val="3"/>
  </w:num>
  <w:num w:numId="38" w16cid:durableId="1253124322">
    <w:abstractNumId w:val="2"/>
  </w:num>
  <w:num w:numId="39" w16cid:durableId="227346053">
    <w:abstractNumId w:val="1"/>
  </w:num>
  <w:num w:numId="40" w16cid:durableId="1861967432">
    <w:abstractNumId w:val="0"/>
  </w:num>
  <w:num w:numId="41" w16cid:durableId="2070573912">
    <w:abstractNumId w:val="10"/>
  </w:num>
  <w:num w:numId="42" w16cid:durableId="2043481944">
    <w:abstractNumId w:val="10"/>
  </w:num>
  <w:num w:numId="43" w16cid:durableId="1731071797">
    <w:abstractNumId w:val="10"/>
  </w:num>
  <w:num w:numId="44" w16cid:durableId="16080740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3/2025"/>
    <w:docVar w:name="dvlangue" w:val="PL"/>
    <w:docVar w:name="dvnumam" w:val="0"/>
    <w:docVar w:name="dvpe" w:val="776.825"/>
    <w:docVar w:name="dvrapporteur" w:val="Sprawozdawca: "/>
    <w:docVar w:name="dvstar" w:val="??"/>
    <w:docVar w:name="dvtitre" w:val="Rezolucja Parlamentu Europejskiego z dnia  2025 r. w sprawie wniosku dotyczącego decyzji Parlamentu Europejskiego i Rady w sprawie uruchomienia Europejskiego Funduszu Dostosowania do Globalizacji dla Zwalnianych Pracowników w następstwie wniosku złożonego przez Belgię – EGF/2025/001 BE/BelGaN(COM(2025)0157 – C10-0188/2025 – 2025/0198(BUD))"/>
  </w:docVars>
  <w:rsids>
    <w:rsidRoot w:val="00F936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6E77"/>
    <w:rsid w:val="002318D0"/>
    <w:rsid w:val="002767FF"/>
    <w:rsid w:val="002B18FE"/>
    <w:rsid w:val="002B5493"/>
    <w:rsid w:val="002F05EA"/>
    <w:rsid w:val="00343214"/>
    <w:rsid w:val="00345598"/>
    <w:rsid w:val="00361C00"/>
    <w:rsid w:val="00395FA1"/>
    <w:rsid w:val="003E15D4"/>
    <w:rsid w:val="00411CCE"/>
    <w:rsid w:val="0041666E"/>
    <w:rsid w:val="00421060"/>
    <w:rsid w:val="004430F4"/>
    <w:rsid w:val="00444E1E"/>
    <w:rsid w:val="00471C19"/>
    <w:rsid w:val="0047775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342"/>
    <w:rsid w:val="005C2568"/>
    <w:rsid w:val="005F1B17"/>
    <w:rsid w:val="006037C0"/>
    <w:rsid w:val="00625AE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F56"/>
    <w:rsid w:val="00A1687D"/>
    <w:rsid w:val="00A43E52"/>
    <w:rsid w:val="00A4678D"/>
    <w:rsid w:val="00A52C0D"/>
    <w:rsid w:val="00A778C7"/>
    <w:rsid w:val="00AB04A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2E5"/>
    <w:rsid w:val="00D56C11"/>
    <w:rsid w:val="00D834A0"/>
    <w:rsid w:val="00D86DA6"/>
    <w:rsid w:val="00D872DF"/>
    <w:rsid w:val="00D91E21"/>
    <w:rsid w:val="00DA7FCD"/>
    <w:rsid w:val="00DF2A9A"/>
    <w:rsid w:val="00E365E1"/>
    <w:rsid w:val="00E547C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62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D9BF9"/>
  <w15:chartTrackingRefBased/>
  <w15:docId w15:val="{A2B0E2BA-7FE7-4951-B699-4B19BCEE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44E1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444E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44E1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44E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44E1E"/>
    <w:rPr>
      <w:sz w:val="24"/>
      <w:lang w:val="pl-PL"/>
    </w:rPr>
  </w:style>
  <w:style w:type="paragraph" w:customStyle="1" w:styleId="NormalBold24a">
    <w:name w:val="NormalBold24a"/>
    <w:basedOn w:val="Normal"/>
    <w:rsid w:val="00444E1E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44E1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44E1E"/>
    <w:pPr>
      <w:spacing w:before="480" w:after="240"/>
    </w:pPr>
  </w:style>
  <w:style w:type="character" w:styleId="Hyperlink">
    <w:name w:val="Hyperlink"/>
    <w:basedOn w:val="DefaultParagraphFont"/>
    <w:rsid w:val="00444E1E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444E1E"/>
    <w:pPr>
      <w:keepNext/>
      <w:snapToGrid w:val="0"/>
      <w:spacing w:after="240"/>
    </w:pPr>
    <w:rPr>
      <w:i/>
      <w:lang w:eastAsia="en-US"/>
    </w:rPr>
  </w:style>
  <w:style w:type="paragraph" w:customStyle="1" w:styleId="Institutionquisigne">
    <w:name w:val="Institution qui signe"/>
    <w:basedOn w:val="Normal"/>
    <w:next w:val="Normal"/>
    <w:rsid w:val="00444E1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44E1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44E1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44E1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44E1E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44E1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444E1E"/>
    <w:rPr>
      <w:sz w:val="24"/>
      <w:lang w:val="pl-PL"/>
    </w:rPr>
  </w:style>
  <w:style w:type="character" w:customStyle="1" w:styleId="PageHeadingChar">
    <w:name w:val="PageHeading Char"/>
    <w:basedOn w:val="DefaultParagraphFont"/>
    <w:link w:val="PageHeading"/>
    <w:rsid w:val="00444E1E"/>
    <w:rPr>
      <w:rFonts w:ascii="Arial" w:hAnsi="Arial" w:cs="Arial"/>
      <w:b/>
      <w:sz w:val="24"/>
      <w:lang w:val="pl-PL"/>
    </w:rPr>
  </w:style>
  <w:style w:type="paragraph" w:styleId="Revision">
    <w:name w:val="Revision"/>
    <w:hidden/>
    <w:uiPriority w:val="99"/>
    <w:semiHidden/>
    <w:rsid w:val="004430F4"/>
    <w:rPr>
      <w:sz w:val="24"/>
      <w:lang w:val="pl-PL"/>
    </w:rPr>
  </w:style>
  <w:style w:type="paragraph" w:styleId="Footer">
    <w:name w:val="footer"/>
    <w:basedOn w:val="Normal"/>
    <w:link w:val="FooterChar"/>
    <w:rsid w:val="00D86D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86DA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1309</Words>
  <Characters>8725</Characters>
  <Application>Microsoft Office Word</Application>
  <DocSecurity>4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GOROPECNIK Tina</cp:lastModifiedBy>
  <cp:revision>2</cp:revision>
  <cp:lastPrinted>2004-11-19T15:42:00Z</cp:lastPrinted>
  <dcterms:created xsi:type="dcterms:W3CDTF">2026-01-22T08:57:00Z</dcterms:created>
  <dcterms:modified xsi:type="dcterms:W3CDTF">2026-01-22T08:57:00Z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P10_TA(2025)0220_</vt:lpwstr>
  </property>
  <property fmtid="{D5CDD505-2E9C-101B-9397-08002B2CF9AE}" pid="4" name="&lt;Type&gt;">
    <vt:lpwstr>RR</vt:lpwstr>
  </property>
</Properties>
</file>