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6BD3" w14:paraId="3A91B632" w14:textId="77777777" w:rsidTr="0010095E">
        <w:trPr>
          <w:trHeight w:hRule="exact" w:val="1418"/>
        </w:trPr>
        <w:tc>
          <w:tcPr>
            <w:tcW w:w="6804" w:type="dxa"/>
            <w:shd w:val="clear" w:color="auto" w:fill="auto"/>
            <w:vAlign w:val="center"/>
          </w:tcPr>
          <w:p w14:paraId="2EB8B013" w14:textId="77777777" w:rsidR="00751A4A" w:rsidRPr="00D46BD3" w:rsidRDefault="0080528B" w:rsidP="0010095E">
            <w:pPr>
              <w:pStyle w:val="EPName"/>
            </w:pPr>
            <w:r w:rsidRPr="00D46BD3">
              <w:t>Evropski parlament</w:t>
            </w:r>
          </w:p>
          <w:p w14:paraId="7E478F8E" w14:textId="77777777" w:rsidR="00751A4A" w:rsidRPr="00D46BD3" w:rsidRDefault="005F1B17" w:rsidP="005F1B17">
            <w:pPr>
              <w:pStyle w:val="EPTerm"/>
              <w:rPr>
                <w:rStyle w:val="HideTWBExt"/>
                <w:noProof w:val="0"/>
                <w:vanish w:val="0"/>
                <w:color w:val="auto"/>
              </w:rPr>
            </w:pPr>
            <w:r w:rsidRPr="00D46BD3">
              <w:t>2024</w:t>
            </w:r>
            <w:r w:rsidR="00817416" w:rsidRPr="00D46BD3">
              <w:t>-202</w:t>
            </w:r>
            <w:r w:rsidRPr="00D46BD3">
              <w:t>9</w:t>
            </w:r>
          </w:p>
        </w:tc>
        <w:tc>
          <w:tcPr>
            <w:tcW w:w="2268" w:type="dxa"/>
            <w:shd w:val="clear" w:color="auto" w:fill="auto"/>
          </w:tcPr>
          <w:p w14:paraId="1A5B45CE" w14:textId="77777777" w:rsidR="00751A4A" w:rsidRPr="00D46BD3" w:rsidRDefault="00187494" w:rsidP="0010095E">
            <w:pPr>
              <w:pStyle w:val="EPLogo"/>
            </w:pPr>
            <w:r w:rsidRPr="00D46BD3">
              <w:rPr>
                <w:noProof/>
                <w:lang w:eastAsia="ja-JP"/>
              </w:rPr>
              <w:drawing>
                <wp:inline distT="0" distB="0" distL="0" distR="0" wp14:anchorId="53370F75" wp14:editId="0258F0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076526" w14:textId="77777777" w:rsidR="00D058B8" w:rsidRPr="00D46BD3" w:rsidRDefault="00D058B8" w:rsidP="004C5D52">
      <w:pPr>
        <w:pStyle w:val="LineTop"/>
      </w:pPr>
    </w:p>
    <w:p w14:paraId="4DC01322" w14:textId="77777777" w:rsidR="00680577" w:rsidRPr="00D46BD3" w:rsidRDefault="0080528B" w:rsidP="00680577">
      <w:pPr>
        <w:pStyle w:val="EPBodyTA1"/>
      </w:pPr>
      <w:r w:rsidRPr="00D46BD3">
        <w:t>SPREJETA BESEDILA</w:t>
      </w:r>
    </w:p>
    <w:p w14:paraId="5CAADF43" w14:textId="77777777" w:rsidR="00D058B8" w:rsidRPr="00D46BD3" w:rsidRDefault="00D058B8" w:rsidP="00D058B8">
      <w:pPr>
        <w:pStyle w:val="LineBottom"/>
      </w:pPr>
    </w:p>
    <w:p w14:paraId="2243EB01" w14:textId="6975E415" w:rsidR="0080528B" w:rsidRPr="00D46BD3" w:rsidRDefault="0080528B" w:rsidP="0080528B">
      <w:pPr>
        <w:pStyle w:val="ATHeading1"/>
      </w:pPr>
      <w:bookmarkStart w:id="0" w:name="TANumber"/>
      <w:r w:rsidRPr="00D46BD3">
        <w:t>P10_TA(2025)0</w:t>
      </w:r>
      <w:r w:rsidR="007D6192" w:rsidRPr="00D46BD3">
        <w:t>220</w:t>
      </w:r>
      <w:bookmarkEnd w:id="0"/>
    </w:p>
    <w:p w14:paraId="229B3ACA" w14:textId="77777777" w:rsidR="0080528B" w:rsidRPr="00D46BD3" w:rsidRDefault="0080528B" w:rsidP="0080528B">
      <w:pPr>
        <w:pStyle w:val="ATHeading2"/>
      </w:pPr>
      <w:bookmarkStart w:id="1" w:name="title"/>
      <w:r w:rsidRPr="00D46BD3">
        <w:t>Uporaba Evropskega sklada za prilagoditev globalizaciji: vloga EGF/2025/001 BE/BelGaN – Belgija</w:t>
      </w:r>
      <w:bookmarkEnd w:id="1"/>
    </w:p>
    <w:p w14:paraId="382B1E6A" w14:textId="77777777" w:rsidR="0080528B" w:rsidRPr="00D46BD3" w:rsidRDefault="0080528B" w:rsidP="0080528B">
      <w:pPr>
        <w:rPr>
          <w:i/>
          <w:vanish/>
        </w:rPr>
      </w:pPr>
      <w:r w:rsidRPr="00D46BD3">
        <w:rPr>
          <w:i/>
        </w:rPr>
        <w:fldChar w:fldCharType="begin"/>
      </w:r>
      <w:r w:rsidRPr="00D46BD3">
        <w:rPr>
          <w:i/>
        </w:rPr>
        <w:instrText xml:space="preserve"> TC"(</w:instrText>
      </w:r>
      <w:bookmarkStart w:id="2" w:name="DocNumber"/>
      <w:r w:rsidRPr="00D46BD3">
        <w:rPr>
          <w:i/>
        </w:rPr>
        <w:instrText>A10-0163/2025</w:instrText>
      </w:r>
      <w:bookmarkEnd w:id="2"/>
      <w:r w:rsidRPr="00D46BD3">
        <w:rPr>
          <w:i/>
        </w:rPr>
        <w:instrText xml:space="preserve"> - Poročevalec: Bogdan Rzońca)"\l3 \n&gt; \* MERGEFORMAT </w:instrText>
      </w:r>
      <w:r w:rsidRPr="00D46BD3">
        <w:rPr>
          <w:i/>
        </w:rPr>
        <w:fldChar w:fldCharType="end"/>
      </w:r>
    </w:p>
    <w:p w14:paraId="693AA9D6" w14:textId="77777777" w:rsidR="0080528B" w:rsidRPr="00D46BD3" w:rsidRDefault="0080528B" w:rsidP="0080528B">
      <w:pPr>
        <w:rPr>
          <w:vanish/>
        </w:rPr>
      </w:pPr>
      <w:bookmarkStart w:id="3" w:name="Commission"/>
      <w:r w:rsidRPr="00D46BD3">
        <w:rPr>
          <w:vanish/>
        </w:rPr>
        <w:t>Odbor za proračun</w:t>
      </w:r>
      <w:bookmarkEnd w:id="3"/>
    </w:p>
    <w:p w14:paraId="0A927513" w14:textId="77777777" w:rsidR="0080528B" w:rsidRPr="00D46BD3" w:rsidRDefault="0080528B" w:rsidP="0080528B">
      <w:pPr>
        <w:rPr>
          <w:vanish/>
        </w:rPr>
      </w:pPr>
      <w:bookmarkStart w:id="4" w:name="PE"/>
      <w:r w:rsidRPr="00D46BD3">
        <w:rPr>
          <w:vanish/>
        </w:rPr>
        <w:t>PE776.825</w:t>
      </w:r>
      <w:bookmarkEnd w:id="4"/>
    </w:p>
    <w:p w14:paraId="2FA216D2" w14:textId="3B248B61" w:rsidR="0080528B" w:rsidRPr="00D46BD3" w:rsidRDefault="0080528B" w:rsidP="0080528B">
      <w:pPr>
        <w:pStyle w:val="ATHeading3"/>
      </w:pPr>
      <w:bookmarkStart w:id="5" w:name="Sujet"/>
      <w:r w:rsidRPr="00D46BD3">
        <w:t xml:space="preserve">Resolucija Evropskega parlamenta z dne </w:t>
      </w:r>
      <w:r w:rsidR="00D15B57" w:rsidRPr="00D46BD3">
        <w:t>8</w:t>
      </w:r>
      <w:r w:rsidRPr="00D46BD3">
        <w:t>. oktobra 2025 o predlogu sklepa Evropskega parlamenta in Sveta o uporabi Evropskega sklada za prilagoditev globalizaciji za presežne delavce na podlagi vloge Belgije – EGF/2025/001 BE/BelGaN</w:t>
      </w:r>
      <w:bookmarkEnd w:id="5"/>
      <w:r w:rsidRPr="00D46BD3">
        <w:t xml:space="preserve"> </w:t>
      </w:r>
      <w:bookmarkStart w:id="6" w:name="References"/>
      <w:r w:rsidRPr="00D46BD3">
        <w:t>(COM(2025)0157 – C10-0188/2025 – 2025/0198(BUD))</w:t>
      </w:r>
      <w:bookmarkEnd w:id="6"/>
    </w:p>
    <w:p w14:paraId="1F871480" w14:textId="77777777" w:rsidR="003431A6" w:rsidRPr="00D46BD3" w:rsidRDefault="003431A6" w:rsidP="003431A6">
      <w:pPr>
        <w:pStyle w:val="EPComma"/>
        <w:rPr>
          <w:noProof/>
        </w:rPr>
      </w:pPr>
      <w:r w:rsidRPr="00D46BD3">
        <w:rPr>
          <w:i/>
        </w:rPr>
        <w:t>Evropski parlament</w:t>
      </w:r>
      <w:r w:rsidRPr="00D46BD3">
        <w:t>,</w:t>
      </w:r>
    </w:p>
    <w:p w14:paraId="1C2A38C9" w14:textId="77777777" w:rsidR="003431A6" w:rsidRPr="00D46BD3" w:rsidRDefault="003431A6" w:rsidP="003431A6">
      <w:pPr>
        <w:pStyle w:val="NormalHanging12a"/>
        <w:rPr>
          <w:noProof/>
        </w:rPr>
      </w:pPr>
      <w:r w:rsidRPr="00D46BD3">
        <w:t>–</w:t>
      </w:r>
      <w:r w:rsidRPr="00D46BD3">
        <w:tab/>
        <w:t>ob upoštevanju predloga Komisije Evropskemu parlamentu in Svetu (COM(2025)0157 – C10</w:t>
      </w:r>
      <w:r w:rsidRPr="00D46BD3">
        <w:noBreakHyphen/>
        <w:t>0188/2025),</w:t>
      </w:r>
    </w:p>
    <w:p w14:paraId="1AD13909" w14:textId="69EAD1A4" w:rsidR="003431A6" w:rsidRPr="00D46BD3" w:rsidRDefault="003431A6" w:rsidP="003431A6">
      <w:pPr>
        <w:pStyle w:val="NormalHanging12a"/>
        <w:rPr>
          <w:noProof/>
        </w:rPr>
      </w:pPr>
      <w:r w:rsidRPr="00D46BD3">
        <w:t>–</w:t>
      </w:r>
      <w:r w:rsidRPr="00D46BD3">
        <w:tab/>
        <w:t xml:space="preserve">ob upoštevanju Uredbe </w:t>
      </w:r>
      <w:r w:rsidR="00585E66" w:rsidRPr="00D46BD3">
        <w:t xml:space="preserve">(EU) 2021/691 </w:t>
      </w:r>
      <w:r w:rsidRPr="00D46BD3">
        <w:t>Evropskega parlamenta in Sveta z dne 28. aprila 2021 o Evropskem skladu za prilagoditev globalizaciji za presežne delavce (ESPG) in razveljavitvi Uredbe (EU) št. 1309/2013</w:t>
      </w:r>
      <w:r w:rsidRPr="00D46BD3">
        <w:rPr>
          <w:rStyle w:val="FootnoteReference"/>
        </w:rPr>
        <w:footnoteReference w:id="1"/>
      </w:r>
      <w:r w:rsidR="00585E66" w:rsidRPr="00D46BD3">
        <w:t xml:space="preserve"> (v nadaljnjem besedilu: uredba o ESPG)</w:t>
      </w:r>
      <w:r w:rsidRPr="00D46BD3">
        <w:t>,</w:t>
      </w:r>
    </w:p>
    <w:p w14:paraId="6785C2B8" w14:textId="77777777" w:rsidR="003431A6" w:rsidRPr="00D46BD3" w:rsidRDefault="003431A6" w:rsidP="003431A6">
      <w:pPr>
        <w:pStyle w:val="NormalHanging12a"/>
        <w:rPr>
          <w:noProof/>
        </w:rPr>
      </w:pPr>
      <w:r w:rsidRPr="00D46BD3">
        <w:t>–</w:t>
      </w:r>
      <w:r w:rsidRPr="00D46BD3">
        <w:tab/>
        <w:t>ob upoštevanju Uredbe Sveta (EU, Euratom) 2020/2093 z dne 17. decembra 2020 o določitvi večletnega finančnega okvira za obdobje 2021–2027</w:t>
      </w:r>
      <w:r w:rsidRPr="00D46BD3">
        <w:rPr>
          <w:rStyle w:val="FootnoteReference"/>
          <w:noProof/>
        </w:rPr>
        <w:footnoteReference w:id="2"/>
      </w:r>
      <w:r w:rsidRPr="00D46BD3">
        <w:t>, kot je bila spremenjena z Uredbo (EU, Euratom) 2024/765</w:t>
      </w:r>
      <w:r w:rsidRPr="00D46BD3">
        <w:rPr>
          <w:rStyle w:val="FootnoteReference"/>
          <w:noProof/>
        </w:rPr>
        <w:footnoteReference w:id="3"/>
      </w:r>
      <w:r w:rsidRPr="00D46BD3">
        <w:t xml:space="preserve"> in zlasti člena 8 Uredbe,</w:t>
      </w:r>
    </w:p>
    <w:p w14:paraId="118BEC61" w14:textId="77777777" w:rsidR="003431A6" w:rsidRPr="00D46BD3" w:rsidRDefault="003431A6" w:rsidP="003431A6">
      <w:pPr>
        <w:pStyle w:val="NormalHanging12a"/>
        <w:rPr>
          <w:noProof/>
        </w:rPr>
      </w:pPr>
      <w:r w:rsidRPr="00D46BD3">
        <w:t>–</w:t>
      </w:r>
      <w:r w:rsidRPr="00D46BD3">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Pr="00D46BD3">
        <w:rPr>
          <w:rStyle w:val="FootnoteReference"/>
          <w:noProof/>
        </w:rPr>
        <w:footnoteReference w:id="4"/>
      </w:r>
      <w:r w:rsidRPr="00D46BD3">
        <w:t>, in zlasti točke 12,</w:t>
      </w:r>
    </w:p>
    <w:p w14:paraId="3FF80F6B" w14:textId="77777777" w:rsidR="003431A6" w:rsidRPr="00D46BD3" w:rsidRDefault="003431A6" w:rsidP="003431A6">
      <w:pPr>
        <w:pStyle w:val="NormalHanging12a"/>
      </w:pPr>
      <w:r w:rsidRPr="00D46BD3">
        <w:t>–</w:t>
      </w:r>
      <w:r w:rsidRPr="00D46BD3">
        <w:tab/>
        <w:t>ob upoštevanju mnenja Odbora za zaposlovanje in socialne zadeve,</w:t>
      </w:r>
    </w:p>
    <w:p w14:paraId="2A744EF8" w14:textId="77777777" w:rsidR="003431A6" w:rsidRPr="00D46BD3" w:rsidRDefault="003431A6" w:rsidP="003431A6">
      <w:pPr>
        <w:pStyle w:val="NormalHanging12a"/>
      </w:pPr>
      <w:r w:rsidRPr="00D46BD3">
        <w:lastRenderedPageBreak/>
        <w:t>–</w:t>
      </w:r>
      <w:r w:rsidRPr="00D46BD3">
        <w:tab/>
        <w:t>ob upoštevanju poročila Odbora za proračun (A10</w:t>
      </w:r>
      <w:r w:rsidRPr="00D46BD3">
        <w:noBreakHyphen/>
        <w:t>0163/2025),</w:t>
      </w:r>
    </w:p>
    <w:p w14:paraId="4B06446E" w14:textId="77777777" w:rsidR="003431A6" w:rsidRPr="00D46BD3" w:rsidRDefault="003431A6" w:rsidP="003431A6">
      <w:pPr>
        <w:pStyle w:val="NormalHanging12a"/>
        <w:rPr>
          <w:noProof/>
        </w:rPr>
      </w:pPr>
      <w:r w:rsidRPr="00D46BD3">
        <w:t>A.</w:t>
      </w:r>
      <w:r w:rsidRPr="00D46BD3">
        <w:tab/>
        <w:t>ker je Unija vzpostavila zakonodajne in proračunske instrumente za dodatno podporo delavcem, ki so jih prizadele posledice velikih strukturnih sprememb v svetovnih trgovinskih tokovih ali svetovna finančna in gospodarska kriza, ter za pomoč pri njihovem ponovnem vključevanju na trg dela; ker se ta pomoč zagotovi v obliki finančne podpore delavcem in podjetjem, za katera so delali;</w:t>
      </w:r>
    </w:p>
    <w:p w14:paraId="4A7BFC9D" w14:textId="77777777" w:rsidR="003431A6" w:rsidRPr="00D46BD3" w:rsidRDefault="003431A6" w:rsidP="003431A6">
      <w:pPr>
        <w:pStyle w:val="NormalHanging12a"/>
        <w:rPr>
          <w:noProof/>
        </w:rPr>
      </w:pPr>
      <w:r w:rsidRPr="00D46BD3">
        <w:t xml:space="preserve">B. </w:t>
      </w:r>
      <w:r w:rsidRPr="00D46BD3">
        <w:tab/>
        <w:t xml:space="preserve">ker je Belgija vložila vlogo EGF/2025/001 BE/BelGaN za finančni prispevek iz Evropskega sklada za prilagoditev globalizaciji (ESPG) zaradi odpustitve 417 presežnih delavcev v gospodarskem sektorju, razvrščenem v oddelek 26 NACE po reviziji 2 (Proizvodnja računalnikov, elektronskih in optičnih izdelkov) v regiji Provincie Oost-Vlaanderen (BE23) v štirimesečnem referenčnem obdobju od 31. julija 2024 do 30. novembra 2024; </w:t>
      </w:r>
    </w:p>
    <w:p w14:paraId="1196E5E9" w14:textId="77777777" w:rsidR="003431A6" w:rsidRPr="00D46BD3" w:rsidRDefault="003431A6" w:rsidP="003431A6">
      <w:pPr>
        <w:pStyle w:val="NormalHanging12a"/>
        <w:rPr>
          <w:noProof/>
        </w:rPr>
      </w:pPr>
      <w:r w:rsidRPr="00D46BD3">
        <w:t xml:space="preserve">C. </w:t>
      </w:r>
      <w:r w:rsidRPr="00D46BD3">
        <w:tab/>
        <w:t>ker vloga temelji na merilu za pomoč iz člena 4(2), točka (a), uredbe o ESPG, ki zahteva prenehanje opravljanja dejavnosti za vsaj 200 presežnih delavcev ali samozaposlenih oseb v štirimesečnem referenčnem obdobju v podjetju v državi članici, vključno s presežnimi delavci pri dobaviteljih ali proizvajalcih v poproizvodni fazi;</w:t>
      </w:r>
    </w:p>
    <w:p w14:paraId="64FECB12" w14:textId="488C5352" w:rsidR="003431A6" w:rsidRPr="00D46BD3" w:rsidRDefault="003431A6" w:rsidP="003431A6">
      <w:pPr>
        <w:pStyle w:val="NormalHanging12a"/>
        <w:rPr>
          <w:noProof/>
        </w:rPr>
      </w:pPr>
      <w:bookmarkStart w:id="7" w:name="_Hlk207698597"/>
      <w:r w:rsidRPr="00D46BD3">
        <w:t xml:space="preserve">D. </w:t>
      </w:r>
      <w:r w:rsidRPr="00D46BD3">
        <w:tab/>
        <w:t>ker sta ruska vojaška agresija proti Ukrajini in rastoča inflacija vplivali na stroške energije, materialov in dela ter povečali pritisk na marž</w:t>
      </w:r>
      <w:r w:rsidR="00D15B57" w:rsidRPr="00D46BD3">
        <w:t>e</w:t>
      </w:r>
      <w:r w:rsidRPr="00D46BD3">
        <w:t xml:space="preserve"> </w:t>
      </w:r>
      <w:r w:rsidR="00D15B57" w:rsidRPr="00D46BD3">
        <w:t>BelGaN</w:t>
      </w:r>
      <w:r w:rsidRPr="00D46BD3">
        <w:t>;</w:t>
      </w:r>
    </w:p>
    <w:bookmarkEnd w:id="7"/>
    <w:p w14:paraId="1DC170EB" w14:textId="77777777" w:rsidR="003431A6" w:rsidRPr="00D46BD3" w:rsidRDefault="003431A6" w:rsidP="003431A6">
      <w:pPr>
        <w:pStyle w:val="NormalHanging12a"/>
        <w:rPr>
          <w:noProof/>
        </w:rPr>
      </w:pPr>
      <w:r w:rsidRPr="00D46BD3">
        <w:t xml:space="preserve">E. </w:t>
      </w:r>
      <w:r w:rsidRPr="00D46BD3">
        <w:tab/>
        <w:t>ker je bil BelGaN specializiran za proizvodnjo polprevodnikov za avtomobilski sektor; ker se evropska avtomobilska in dobavna industrija spoprijemata z neprimerljivim pritiskom zaradi zunanjih in notranjih izzivov, kot so izkrivljanje konkurence in visoki stroški energije;</w:t>
      </w:r>
    </w:p>
    <w:p w14:paraId="2115B91F" w14:textId="77777777" w:rsidR="003431A6" w:rsidRPr="00D46BD3" w:rsidRDefault="003431A6" w:rsidP="003431A6">
      <w:pPr>
        <w:pStyle w:val="NormalHanging12a"/>
        <w:rPr>
          <w:noProof/>
        </w:rPr>
      </w:pPr>
      <w:r w:rsidRPr="00D46BD3">
        <w:t>F.</w:t>
      </w:r>
      <w:r w:rsidRPr="00D46BD3">
        <w:tab/>
        <w:t xml:space="preserve">ker se je dobičkonosnost podjetja znatno zmanjšala zaradi omejitev denarnega toka, do katerih je prišlo zaradi prehoda s čipov na osnovi silicija na tehnologijo galijevega nitrida (GaN), ki so ga ovirali visoki proizvodni stroški in nezadostne naložbe v prehodnem obdobju; </w:t>
      </w:r>
    </w:p>
    <w:p w14:paraId="596B9441" w14:textId="77777777" w:rsidR="003431A6" w:rsidRPr="00D46BD3" w:rsidRDefault="003431A6" w:rsidP="003431A6">
      <w:pPr>
        <w:pStyle w:val="NormalHanging12a"/>
        <w:rPr>
          <w:noProof/>
        </w:rPr>
      </w:pPr>
      <w:r w:rsidRPr="00D46BD3">
        <w:t>G.</w:t>
      </w:r>
      <w:r w:rsidRPr="00D46BD3">
        <w:tab/>
        <w:t>ker je podjetje BelGaN 30. julija 2024 prijavilo stečaj;</w:t>
      </w:r>
    </w:p>
    <w:p w14:paraId="0F237215" w14:textId="77777777" w:rsidR="003431A6" w:rsidRPr="00D46BD3" w:rsidRDefault="003431A6" w:rsidP="003431A6">
      <w:pPr>
        <w:pStyle w:val="NormalHanging12a"/>
        <w:rPr>
          <w:noProof/>
        </w:rPr>
      </w:pPr>
      <w:r w:rsidRPr="00D46BD3">
        <w:t>H.</w:t>
      </w:r>
      <w:r w:rsidRPr="00D46BD3">
        <w:tab/>
        <w:t>ker flamska služba za zaposlovanje (VDAB</w:t>
      </w:r>
      <w:r w:rsidRPr="00D46BD3">
        <w:rPr>
          <w:rStyle w:val="FootnoteReference"/>
          <w:noProof/>
        </w:rPr>
        <w:footnoteReference w:id="5"/>
      </w:r>
      <w:r w:rsidRPr="00D46BD3">
        <w:t>) zagotavlja nacionalno predhodno financiranje in sofinanciranje ukrepov;</w:t>
      </w:r>
    </w:p>
    <w:p w14:paraId="5DDC5BC1" w14:textId="77777777" w:rsidR="003431A6" w:rsidRPr="00D46BD3" w:rsidRDefault="003431A6" w:rsidP="003431A6">
      <w:pPr>
        <w:pStyle w:val="NormalHanging12a"/>
        <w:rPr>
          <w:noProof/>
        </w:rPr>
      </w:pPr>
      <w:r w:rsidRPr="00D46BD3">
        <w:t>I.</w:t>
      </w:r>
      <w:r w:rsidRPr="00D46BD3">
        <w:tab/>
        <w:t xml:space="preserve">ker je podjetje v skladu z belgijsko zakonodajo upoštevalo obvezni postopek obveščanja predstavnikov delavcev in posvetovanja z njimi; ker zahteva po ustanovitvi enote za zaposlovanje, katere namen je delavcem, odpuščenim v okviru kolektivnega odpuščanja, zagotoviti storitve v zvezi z iskanjem nadomestne zaposlitve, ne velja v primeru stečaja, zato je te storitve zagotovila služba VDAB; </w:t>
      </w:r>
    </w:p>
    <w:p w14:paraId="69B8E9EE" w14:textId="77777777" w:rsidR="003431A6" w:rsidRPr="00D46BD3" w:rsidRDefault="003431A6" w:rsidP="003431A6">
      <w:pPr>
        <w:pStyle w:val="NormalHanging12a"/>
        <w:rPr>
          <w:noProof/>
        </w:rPr>
      </w:pPr>
      <w:r w:rsidRPr="00D46BD3">
        <w:t>J.</w:t>
      </w:r>
      <w:r w:rsidRPr="00D46BD3">
        <w:tab/>
        <w:t>ker bi morali biti finančni prispevki iz ESPG usmerjeni predvsem v aktivne ukrepe politike trga dela in prilagojene storitve, katerih cilj je, da se upravičence hitro in ponovno vključi v dostojno in trajnostno zaposlitev v njihovem prvotnem sektorju dejavnosti ali zunaj njega, hkrati pa pripravi na bolj zeleno in bolj digitalno evropsko gospodarstvo;</w:t>
      </w:r>
    </w:p>
    <w:p w14:paraId="75F34219" w14:textId="77777777" w:rsidR="003431A6" w:rsidRPr="00D46BD3" w:rsidRDefault="003431A6" w:rsidP="003431A6">
      <w:pPr>
        <w:pStyle w:val="NormalHanging12a"/>
        <w:rPr>
          <w:noProof/>
        </w:rPr>
      </w:pPr>
      <w:r w:rsidRPr="00D46BD3">
        <w:t>K.</w:t>
      </w:r>
      <w:r w:rsidRPr="00D46BD3">
        <w:tab/>
        <w:t xml:space="preserve">ker sredstva ESPG ne smejo presegati najvišjega letnega zneska 30 milijonov EUR (v </w:t>
      </w:r>
      <w:r w:rsidRPr="00D46BD3">
        <w:lastRenderedPageBreak/>
        <w:t>cenah iz leta 2018), kot je določeno v členu 8 Uredbe Sveta (EU, Euratom) 2020/2093, spremenjene z Uredbo Sveta (EU, Euratom) 2024/765;</w:t>
      </w:r>
    </w:p>
    <w:p w14:paraId="5DBBBD37" w14:textId="40CFD30B" w:rsidR="003431A6" w:rsidRPr="00D46BD3" w:rsidRDefault="003431A6" w:rsidP="003431A6">
      <w:pPr>
        <w:pStyle w:val="NormalHanging12a"/>
        <w:rPr>
          <w:noProof/>
        </w:rPr>
      </w:pPr>
      <w:r w:rsidRPr="00D46BD3">
        <w:t>1.</w:t>
      </w:r>
      <w:r w:rsidRPr="00D46BD3">
        <w:tab/>
        <w:t xml:space="preserve">se strinja s Komisijo, da so pogoji iz člena 4(2), točka (a) uredbe o ESPG izpolnjeni in da je Belgija na podlagi </w:t>
      </w:r>
      <w:r w:rsidR="00E92031" w:rsidRPr="00D46BD3">
        <w:t>navedene</w:t>
      </w:r>
      <w:r w:rsidRPr="00D46BD3">
        <w:t xml:space="preserve"> uredbe upravičena do finančnega prispevka v znesku 931 690 EUR, kar je 85 % skupnih stroškov v znesku 1 096 107 EUR, od česar stroški posameznikom prilagojenih storitev znašajo 1 052 607 EUR, stroški priprave, upravljanja, informiranja in obveščanja javnosti ter nadzora in poročanja pa 43 500 EUR;</w:t>
      </w:r>
    </w:p>
    <w:p w14:paraId="0656C518" w14:textId="77777777" w:rsidR="003431A6" w:rsidRPr="00D46BD3" w:rsidRDefault="003431A6" w:rsidP="003431A6">
      <w:pPr>
        <w:pStyle w:val="NormalHanging12a"/>
        <w:rPr>
          <w:noProof/>
        </w:rPr>
      </w:pPr>
      <w:r w:rsidRPr="00D46BD3">
        <w:t xml:space="preserve">2. </w:t>
      </w:r>
      <w:r w:rsidRPr="00D46BD3">
        <w:tab/>
        <w:t>ugotavlja, da so belgijski organi vlogo predložili 21. februarja 2025, Komisija pa je na osnovi dodatnih informacij, ki jih je posredovala Belgija, oceno te vloge dokončala 7. julija 2025 in jo skoraj pet mesecev kasneje, 26. avgusta 2025, posredovala Parlamentu; poudarja, da je treba skrajšati čas med vložitvijo vloge za pomoč iz ESPG in sklepom o financiranju; poudarja, da je treba poenostaviti in pospešiti notranje postopke, ne da bi pri tem ogrozili institucionalno ravnovesje, zlasti pravice Evropskega parlamenta kot proračunskega organa;</w:t>
      </w:r>
    </w:p>
    <w:p w14:paraId="49D3E297" w14:textId="77777777" w:rsidR="003431A6" w:rsidRPr="00D46BD3" w:rsidRDefault="003431A6" w:rsidP="003431A6">
      <w:pPr>
        <w:pStyle w:val="NormalHanging12a"/>
        <w:rPr>
          <w:noProof/>
        </w:rPr>
      </w:pPr>
      <w:r w:rsidRPr="00D46BD3">
        <w:t>3.</w:t>
      </w:r>
      <w:r w:rsidRPr="00D46BD3">
        <w:tab/>
        <w:t>ugotavlja, da se vloga nanaša na 417 ciljnih upravičencev, ki so postali presežni v podjetju BelGaN;</w:t>
      </w:r>
    </w:p>
    <w:p w14:paraId="60A88F86" w14:textId="77777777" w:rsidR="003431A6" w:rsidRPr="00D46BD3" w:rsidRDefault="003431A6" w:rsidP="003431A6">
      <w:pPr>
        <w:pStyle w:val="NormalHanging12a"/>
        <w:rPr>
          <w:noProof/>
        </w:rPr>
      </w:pPr>
      <w:r w:rsidRPr="00D46BD3">
        <w:t>4.</w:t>
      </w:r>
      <w:r w:rsidRPr="00D46BD3">
        <w:tab/>
        <w:t>poudarja, da se je zaradi odpustitve presežnih delavcev v podjetju BelGaN letna stopnja brezposelnosti na območju Oudenaarde povečala na 9 %, zlasti med visoko in srednje usposobljenimi brezposelnimi delavci; ugotavlja, da se je hkrati število novih delovnih mest na tem območju zmanjšalo za 22 % zaradi znatnega povečanja števila podjetij, ki so v zadnjih treh letih prijavila stečaj;</w:t>
      </w:r>
    </w:p>
    <w:p w14:paraId="3D96EB43" w14:textId="77777777" w:rsidR="003431A6" w:rsidRPr="00D46BD3" w:rsidRDefault="003431A6" w:rsidP="003431A6">
      <w:pPr>
        <w:pStyle w:val="NormalHanging12a"/>
        <w:rPr>
          <w:noProof/>
        </w:rPr>
      </w:pPr>
      <w:r w:rsidRPr="00D46BD3">
        <w:t>5.</w:t>
      </w:r>
      <w:r w:rsidRPr="00D46BD3">
        <w:tab/>
        <w:t>opozarja, da prilagojene storitve, ki se zagotavljajo delavcem, vključujejo naslednje ukrepe: informativne sestanke, prezaposlovanje, usposabljanje in preusposabljanje, usposabljanje na delovnem mestu, zaposlitveni sejem, pomoč pri iskanju zaposlitve, iskanje delovnih mest ter povezovanje ponudbe delovnih mest in povpraševanja po njih, da bi delavcem omogočili čimprejšnji ponovni vstop na trg dela, jih opremili z visokokakovostnimi znanji in spretnostmi ter usposabljanjem, pomembnim za morebitne delodajalce v sektorju, hkrati pa spodbujali njihovo zmogljivost za razvoj podjetniških pobud in novih projektov; v zvezi s tem poudarja, da je dobro usposobljena delovna sila ključna za evropsko gospodarstvo, ki bo kos izzivom prihodnosti;</w:t>
      </w:r>
    </w:p>
    <w:p w14:paraId="61CC2C2D" w14:textId="77777777" w:rsidR="003431A6" w:rsidRPr="00D46BD3" w:rsidRDefault="003431A6" w:rsidP="003431A6">
      <w:pPr>
        <w:pStyle w:val="NormalHanging12a"/>
        <w:rPr>
          <w:bCs/>
          <w:iCs/>
          <w:noProof/>
        </w:rPr>
      </w:pPr>
      <w:r w:rsidRPr="00D46BD3">
        <w:t>6.</w:t>
      </w:r>
      <w:r w:rsidRPr="00D46BD3">
        <w:tab/>
        <w:t>poziva k celoviti končni oceni izvedenih ukrepov, vključno s podatki o številu delavcev, ki so se uspešno ponovno zaposlili, in povratnimi informacijami upravičencev o kakovosti in ustreznosti zagotovljene podpore;</w:t>
      </w:r>
    </w:p>
    <w:p w14:paraId="70C79515" w14:textId="7FE02CFA" w:rsidR="003431A6" w:rsidRPr="00D46BD3" w:rsidRDefault="003431A6" w:rsidP="003431A6">
      <w:pPr>
        <w:pStyle w:val="NormalHanging12a"/>
        <w:rPr>
          <w:noProof/>
        </w:rPr>
      </w:pPr>
      <w:r w:rsidRPr="00D46BD3">
        <w:t>7.</w:t>
      </w:r>
      <w:r w:rsidRPr="00D46BD3">
        <w:tab/>
        <w:t>ugotavlja, da je Belgija prilagojene storitve za ciljne upravičence začela izvajati 8. avgusta 2024 in da je torej obdobje upravičenosti do finančnega prispevka iz ESPG začelo teči istega dne in se bo končalo 24 mesecev po začetku veljavnosti sklepa</w:t>
      </w:r>
      <w:r w:rsidR="00D15B57" w:rsidRPr="00D46BD3">
        <w:t>, ki je priložen tej resoluciji</w:t>
      </w:r>
      <w:r w:rsidRPr="00D46BD3">
        <w:t>;</w:t>
      </w:r>
    </w:p>
    <w:p w14:paraId="33AF458F" w14:textId="562A66CF" w:rsidR="003431A6" w:rsidRPr="00D46BD3" w:rsidRDefault="003431A6" w:rsidP="003431A6">
      <w:pPr>
        <w:pStyle w:val="NormalHanging12a"/>
        <w:rPr>
          <w:noProof/>
        </w:rPr>
      </w:pPr>
      <w:r w:rsidRPr="00D46BD3">
        <w:t>8.</w:t>
      </w:r>
      <w:r w:rsidRPr="00D46BD3">
        <w:tab/>
        <w:t>ugotavlja, da je Belgija prve upravne odhodke za izvajanje ESPG imela 31. julija 2024 in da bodo tovrstni odhodki torej upravičeni do finančnega prispevka iz ESPG od tega datuma do izteka 31 mesecev od datuma začetka veljavnosti sklepa</w:t>
      </w:r>
      <w:r w:rsidR="00D15B57" w:rsidRPr="00D46BD3">
        <w:t>, ki je priložen tej resoluciji</w:t>
      </w:r>
      <w:r w:rsidRPr="00D46BD3">
        <w:t>;</w:t>
      </w:r>
    </w:p>
    <w:p w14:paraId="660C4D66" w14:textId="77777777" w:rsidR="003431A6" w:rsidRPr="00D46BD3" w:rsidRDefault="003431A6" w:rsidP="003431A6">
      <w:pPr>
        <w:pStyle w:val="NormalHanging12a"/>
        <w:rPr>
          <w:noProof/>
        </w:rPr>
      </w:pPr>
      <w:r w:rsidRPr="00D46BD3">
        <w:t>9.</w:t>
      </w:r>
      <w:r w:rsidRPr="00D46BD3">
        <w:tab/>
        <w:t xml:space="preserve">poudarja, da so belgijski organi dali zagotovila, da bosta pri dostopu do predlaganih </w:t>
      </w:r>
      <w:r w:rsidRPr="00D46BD3">
        <w:lastRenderedPageBreak/>
        <w:t>ukrepov in njihovem izvajanju spoštovani načeli enake obravnave in nediskriminacije ter da bo preprečeno vsakršno dvojno financiranje;</w:t>
      </w:r>
    </w:p>
    <w:p w14:paraId="010222B7" w14:textId="77777777" w:rsidR="003431A6" w:rsidRPr="00D46BD3" w:rsidRDefault="003431A6" w:rsidP="003431A6">
      <w:pPr>
        <w:pStyle w:val="NormalHanging12a"/>
        <w:rPr>
          <w:bCs/>
          <w:iCs/>
          <w:noProof/>
        </w:rPr>
      </w:pPr>
      <w:r w:rsidRPr="00D46BD3">
        <w:t>10.</w:t>
      </w:r>
      <w:r w:rsidRPr="00D46BD3">
        <w:tab/>
        <w:t>poudarja, da je treba poskrbeti za jasno priznanje in prepoznavnost financiranja Unije, da bi poudarili njegovo dodano vrednost; poziva k doslednemu in ciljno usmerjenemu komuniciranju z upravičenci, regionalnimi in lokalnimi organi, socialnimi partnerji, mediji in širšo javnostjo;</w:t>
      </w:r>
    </w:p>
    <w:p w14:paraId="49FA8618" w14:textId="77777777" w:rsidR="003431A6" w:rsidRPr="00D46BD3" w:rsidRDefault="003431A6" w:rsidP="003431A6">
      <w:pPr>
        <w:pStyle w:val="NormalHanging12a"/>
        <w:rPr>
          <w:noProof/>
        </w:rPr>
      </w:pPr>
      <w:r w:rsidRPr="00D46BD3">
        <w:t>11.</w:t>
      </w:r>
      <w:r w:rsidRPr="00D46BD3">
        <w:tab/>
        <w:t>ponavlja, da pomoč iz ESPG ne sme nadomestiti ukrepov, za katere so odgovorna podjetja na podlagi nacionalnega prava ali kolektivnih pogodb;</w:t>
      </w:r>
    </w:p>
    <w:p w14:paraId="2AF728BA" w14:textId="77777777" w:rsidR="003431A6" w:rsidRPr="00D46BD3" w:rsidRDefault="003431A6" w:rsidP="003431A6">
      <w:pPr>
        <w:pStyle w:val="NormalHanging12a"/>
        <w:rPr>
          <w:noProof/>
        </w:rPr>
      </w:pPr>
      <w:r w:rsidRPr="00D46BD3">
        <w:t>12.</w:t>
      </w:r>
      <w:r w:rsidRPr="00D46BD3">
        <w:tab/>
        <w:t>odobri sklep, priložen tej resoluciji;</w:t>
      </w:r>
    </w:p>
    <w:p w14:paraId="66E23CFD" w14:textId="77777777" w:rsidR="003431A6" w:rsidRPr="00D46BD3" w:rsidRDefault="003431A6" w:rsidP="003431A6">
      <w:pPr>
        <w:pStyle w:val="NormalHanging12a"/>
        <w:rPr>
          <w:noProof/>
        </w:rPr>
      </w:pPr>
      <w:r w:rsidRPr="00D46BD3">
        <w:t>13.</w:t>
      </w:r>
      <w:r w:rsidRPr="00D46BD3">
        <w:tab/>
        <w:t xml:space="preserve">naroči svoji predsednici, naj podpiše ta sklep skupaj s predsedujočim Svetu ter poskrbi za njegovo objavo v </w:t>
      </w:r>
      <w:r w:rsidRPr="00D46BD3">
        <w:rPr>
          <w:i/>
        </w:rPr>
        <w:t>Uradnem listu Evropske unije</w:t>
      </w:r>
      <w:r w:rsidRPr="00D46BD3">
        <w:t>;</w:t>
      </w:r>
    </w:p>
    <w:p w14:paraId="104A9273" w14:textId="77777777" w:rsidR="003431A6" w:rsidRPr="00D46BD3" w:rsidRDefault="003431A6" w:rsidP="003431A6">
      <w:pPr>
        <w:pStyle w:val="NormalHanging12a"/>
        <w:rPr>
          <w:noProof/>
        </w:rPr>
      </w:pPr>
      <w:r w:rsidRPr="00D46BD3">
        <w:t>14.</w:t>
      </w:r>
      <w:r w:rsidRPr="00D46BD3">
        <w:tab/>
        <w:t>naroči svoji predsednici, naj resolucijo skupaj s prilogo posreduje Svetu in Komisiji.</w:t>
      </w:r>
    </w:p>
    <w:p w14:paraId="17E105C5" w14:textId="77777777" w:rsidR="003431A6" w:rsidRPr="00D46BD3" w:rsidRDefault="003431A6" w:rsidP="003431A6">
      <w:pPr>
        <w:rPr>
          <w:noProof/>
        </w:rPr>
      </w:pPr>
    </w:p>
    <w:p w14:paraId="2EA70EB0" w14:textId="77777777" w:rsidR="003431A6" w:rsidRPr="00D46BD3" w:rsidRDefault="003431A6" w:rsidP="003431A6">
      <w:pPr>
        <w:pStyle w:val="PageHeading"/>
        <w:rPr>
          <w:noProof/>
        </w:rPr>
        <w:sectPr w:rsidR="003431A6" w:rsidRPr="00D46BD3" w:rsidSect="005B100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C0CE429" w14:textId="77777777" w:rsidR="00443961" w:rsidRPr="00443961" w:rsidRDefault="003431A6" w:rsidP="003431A6">
      <w:pPr>
        <w:pStyle w:val="PageHeading"/>
        <w:rPr>
          <w:rFonts w:ascii="Times New Roman" w:hAnsi="Times New Roman" w:cs="Times New Roman"/>
        </w:rPr>
      </w:pPr>
      <w:bookmarkStart w:id="8" w:name="_Toc210230051"/>
      <w:r w:rsidRPr="00443961">
        <w:rPr>
          <w:rFonts w:ascii="Times New Roman" w:hAnsi="Times New Roman" w:cs="Times New Roman"/>
        </w:rPr>
        <w:lastRenderedPageBreak/>
        <w:t>PRILOGA</w:t>
      </w:r>
    </w:p>
    <w:p w14:paraId="59EB51A6" w14:textId="3C9CF26C" w:rsidR="003431A6" w:rsidRPr="00443961" w:rsidRDefault="003431A6" w:rsidP="003431A6">
      <w:pPr>
        <w:pStyle w:val="PageHeading"/>
        <w:rPr>
          <w:rFonts w:ascii="Times New Roman" w:hAnsi="Times New Roman" w:cs="Times New Roman"/>
          <w:noProof/>
        </w:rPr>
      </w:pPr>
      <w:r w:rsidRPr="00443961">
        <w:rPr>
          <w:rFonts w:ascii="Times New Roman" w:hAnsi="Times New Roman" w:cs="Times New Roman"/>
        </w:rPr>
        <w:t>SKLEP EVROPSKEGA PARLAMENTA IN SVETA</w:t>
      </w:r>
      <w:bookmarkEnd w:id="8"/>
    </w:p>
    <w:p w14:paraId="33A833BC" w14:textId="33B6F3EF" w:rsidR="003431A6" w:rsidRPr="00443961" w:rsidRDefault="003431A6" w:rsidP="00443961">
      <w:pPr>
        <w:pStyle w:val="NormalBold24a"/>
        <w:jc w:val="center"/>
      </w:pPr>
      <w:r w:rsidRPr="00443961">
        <w:t xml:space="preserve">o uporabi Evropskega sklada za prilagoditev globalizaciji za presežne delavce na podlagi vloge Belgije </w:t>
      </w:r>
      <w:r w:rsidR="00D15B57" w:rsidRPr="00443961">
        <w:t>(</w:t>
      </w:r>
      <w:r w:rsidRPr="00443961">
        <w:t>EGF/2025/001 BE/BelGaN</w:t>
      </w:r>
      <w:r w:rsidR="00D15B57" w:rsidRPr="00443961">
        <w:t>)</w:t>
      </w:r>
    </w:p>
    <w:p w14:paraId="53A47987" w14:textId="2AC33705" w:rsidR="00443961" w:rsidRPr="00D46BD3" w:rsidRDefault="00443961" w:rsidP="00443961">
      <w:pPr>
        <w:spacing w:before="360" w:after="120"/>
      </w:pPr>
      <w:r w:rsidRPr="00772036">
        <w:rPr>
          <w:i/>
        </w:rPr>
        <w:t>(Besedilo te priloge tukaj ni navedeno, saj je enako končnemu aktu, Sklepu (EU) 2025/</w:t>
      </w:r>
      <w:r>
        <w:rPr>
          <w:i/>
        </w:rPr>
        <w:t>213</w:t>
      </w:r>
      <w:r>
        <w:rPr>
          <w:i/>
        </w:rPr>
        <w:t>3</w:t>
      </w:r>
      <w:r w:rsidRPr="00772036">
        <w:rPr>
          <w:i/>
        </w:rPr>
        <w:t>.)</w:t>
      </w:r>
    </w:p>
    <w:sectPr w:rsidR="00443961" w:rsidRPr="00D46BD3" w:rsidSect="005B100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40560" w14:textId="77777777" w:rsidR="0080528B" w:rsidRPr="005B1002" w:rsidRDefault="0080528B">
      <w:r w:rsidRPr="005B1002">
        <w:separator/>
      </w:r>
    </w:p>
  </w:endnote>
  <w:endnote w:type="continuationSeparator" w:id="0">
    <w:p w14:paraId="5094FFAF" w14:textId="77777777" w:rsidR="0080528B" w:rsidRPr="005B1002" w:rsidRDefault="0080528B">
      <w:r w:rsidRPr="005B10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C4530" w14:textId="77777777" w:rsidR="003431A6" w:rsidRPr="005B1002" w:rsidRDefault="003431A6" w:rsidP="0077622E">
    <w:pPr>
      <w:pStyle w:val="EPFooter"/>
    </w:pPr>
    <w:r w:rsidRPr="005B1002">
      <w:t>PE</w:t>
    </w:r>
    <w:r w:rsidRPr="005B1002">
      <w:rPr>
        <w:rStyle w:val="HideTWBExt"/>
      </w:rPr>
      <w:t>&lt;NoPE&gt;</w:t>
    </w:r>
    <w:r w:rsidRPr="005B1002">
      <w:t>776.825</w:t>
    </w:r>
    <w:r w:rsidRPr="005B1002">
      <w:rPr>
        <w:rStyle w:val="HideTWBExt"/>
      </w:rPr>
      <w:t>&lt;/NoPE&gt;&lt;Version&gt;</w:t>
    </w:r>
    <w:r w:rsidRPr="005B1002">
      <w:t>v02-00</w:t>
    </w:r>
    <w:r w:rsidRPr="005B1002">
      <w:rPr>
        <w:rStyle w:val="HideTWBExt"/>
      </w:rPr>
      <w:t>&lt;/Version&gt;</w:t>
    </w:r>
    <w:r w:rsidRPr="005B1002">
      <w:tab/>
    </w:r>
    <w:r w:rsidRPr="005B1002">
      <w:fldChar w:fldCharType="begin"/>
    </w:r>
    <w:r w:rsidRPr="005B1002">
      <w:instrText xml:space="preserve"> PAGE  \* MERGEFORMAT </w:instrText>
    </w:r>
    <w:r w:rsidRPr="005B1002">
      <w:fldChar w:fldCharType="separate"/>
    </w:r>
    <w:r w:rsidRPr="005B1002">
      <w:rPr>
        <w:noProof/>
      </w:rPr>
      <w:t>2</w:t>
    </w:r>
    <w:r w:rsidRPr="005B1002">
      <w:fldChar w:fldCharType="end"/>
    </w:r>
    <w:r w:rsidRPr="005B1002">
      <w:t>/</w:t>
    </w:r>
    <w:fldSimple w:instr=" NUMPAGES  \* MERGEFORMAT ">
      <w:r w:rsidRPr="005B1002">
        <w:rPr>
          <w:noProof/>
        </w:rPr>
        <w:t>17</w:t>
      </w:r>
    </w:fldSimple>
    <w:r w:rsidRPr="005B1002">
      <w:tab/>
    </w:r>
    <w:r w:rsidRPr="005B1002">
      <w:rPr>
        <w:rStyle w:val="HideTWBExt"/>
      </w:rPr>
      <w:t>&lt;PathFdR&gt;</w:t>
    </w:r>
    <w:r w:rsidRPr="005B1002">
      <w:t>RR\1328419SL.docx</w:t>
    </w:r>
    <w:r w:rsidRPr="005B1002">
      <w:rPr>
        <w:rStyle w:val="HideTWBExt"/>
      </w:rPr>
      <w:t>&lt;/PathFdR&gt;</w:t>
    </w:r>
  </w:p>
  <w:p w14:paraId="47E6E97A" w14:textId="77777777" w:rsidR="003431A6" w:rsidRPr="005B1002" w:rsidRDefault="003431A6" w:rsidP="0077622E">
    <w:pPr>
      <w:pStyle w:val="EPFooter2"/>
    </w:pPr>
    <w:r w:rsidRPr="005B1002">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75D64" w14:textId="77777777" w:rsidR="003431A6" w:rsidRPr="005B1002" w:rsidRDefault="003431A6" w:rsidP="0077622E">
    <w:pPr>
      <w:pStyle w:val="EPFooter"/>
    </w:pPr>
    <w:r w:rsidRPr="005B1002">
      <w:rPr>
        <w:rStyle w:val="HideTWBExt"/>
      </w:rPr>
      <w:t>&lt;PathFdR&gt;</w:t>
    </w:r>
    <w:r w:rsidRPr="005B1002">
      <w:t>RR\1328419SL.docx</w:t>
    </w:r>
    <w:r w:rsidRPr="005B1002">
      <w:rPr>
        <w:rStyle w:val="HideTWBExt"/>
      </w:rPr>
      <w:t>&lt;/PathFdR&gt;</w:t>
    </w:r>
    <w:r w:rsidRPr="005B1002">
      <w:tab/>
    </w:r>
    <w:r w:rsidRPr="005B1002">
      <w:tab/>
      <w:t>PE</w:t>
    </w:r>
    <w:r w:rsidRPr="005B1002">
      <w:rPr>
        <w:rStyle w:val="HideTWBExt"/>
      </w:rPr>
      <w:t>&lt;NoPE&gt;</w:t>
    </w:r>
    <w:r w:rsidRPr="005B1002">
      <w:t>776.825</w:t>
    </w:r>
    <w:r w:rsidRPr="005B1002">
      <w:rPr>
        <w:rStyle w:val="HideTWBExt"/>
      </w:rPr>
      <w:t>&lt;/NoPE&gt;&lt;Version&gt;</w:t>
    </w:r>
    <w:r w:rsidRPr="005B1002">
      <w:t>v02-00</w:t>
    </w:r>
    <w:r w:rsidRPr="005B1002">
      <w:rPr>
        <w:rStyle w:val="HideTWBExt"/>
      </w:rPr>
      <w:t>&lt;/Version&gt;</w:t>
    </w:r>
  </w:p>
  <w:p w14:paraId="0406919C" w14:textId="77777777" w:rsidR="003431A6" w:rsidRPr="005B1002" w:rsidRDefault="003431A6" w:rsidP="0077622E">
    <w:pPr>
      <w:pStyle w:val="EPFooter2"/>
    </w:pPr>
    <w:r w:rsidRPr="005B1002">
      <w:t>SL</w:t>
    </w:r>
    <w:r w:rsidRPr="005B1002">
      <w:tab/>
    </w:r>
    <w:r w:rsidRPr="005B1002">
      <w:rPr>
        <w:b w:val="0"/>
        <w:i/>
        <w:color w:val="C0C0C0"/>
        <w:sz w:val="22"/>
      </w:rPr>
      <w:t>Združena v raznolikosti</w:t>
    </w:r>
    <w:r w:rsidRPr="005B1002">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797CB" w14:textId="77777777" w:rsidR="00064002" w:rsidRPr="005B100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5E3C7" w14:textId="77777777" w:rsidR="00064002" w:rsidRPr="005B100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8A5D8" w14:textId="77777777" w:rsidR="00064002" w:rsidRPr="005B10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DFE61" w14:textId="77777777" w:rsidR="0080528B" w:rsidRPr="005B1002" w:rsidRDefault="0080528B">
      <w:r w:rsidRPr="005B1002">
        <w:separator/>
      </w:r>
    </w:p>
  </w:footnote>
  <w:footnote w:type="continuationSeparator" w:id="0">
    <w:p w14:paraId="00E9A3D6" w14:textId="77777777" w:rsidR="0080528B" w:rsidRPr="005B1002" w:rsidRDefault="0080528B">
      <w:r w:rsidRPr="005B1002">
        <w:continuationSeparator/>
      </w:r>
    </w:p>
  </w:footnote>
  <w:footnote w:id="1">
    <w:p w14:paraId="1D362B3F" w14:textId="77F9EF5D" w:rsidR="003431A6" w:rsidRPr="005B1002" w:rsidRDefault="003431A6" w:rsidP="005B1002">
      <w:pPr>
        <w:pStyle w:val="FootnoteText"/>
        <w:ind w:left="567" w:hanging="567"/>
        <w:rPr>
          <w:sz w:val="24"/>
          <w:lang w:val="sl-SI"/>
        </w:rPr>
      </w:pPr>
      <w:r w:rsidRPr="005B1002">
        <w:rPr>
          <w:rStyle w:val="FootnoteReference"/>
          <w:sz w:val="24"/>
          <w:lang w:val="sl-SI"/>
        </w:rPr>
        <w:footnoteRef/>
      </w:r>
      <w:r w:rsidR="005B1002" w:rsidRPr="005B1002">
        <w:rPr>
          <w:sz w:val="24"/>
          <w:lang w:val="sl-SI"/>
        </w:rPr>
        <w:t xml:space="preserve"> </w:t>
      </w:r>
      <w:r w:rsidR="005B1002" w:rsidRPr="005B1002">
        <w:rPr>
          <w:sz w:val="24"/>
          <w:lang w:val="sl-SI"/>
        </w:rPr>
        <w:tab/>
      </w:r>
      <w:r w:rsidRPr="005B1002">
        <w:rPr>
          <w:sz w:val="24"/>
          <w:lang w:val="sl-SI"/>
        </w:rPr>
        <w:t xml:space="preserve">UL L 153, 3.5.2021, str. 48, ELI: </w:t>
      </w:r>
      <w:hyperlink r:id="rId1" w:history="1">
        <w:r w:rsidRPr="005B1002">
          <w:rPr>
            <w:rStyle w:val="Hyperlink"/>
            <w:sz w:val="24"/>
            <w:lang w:val="sl-SI"/>
          </w:rPr>
          <w:t>http://data.europa.eu/eli/reg/2021/691/oj</w:t>
        </w:r>
      </w:hyperlink>
      <w:r w:rsidRPr="005B1002">
        <w:rPr>
          <w:sz w:val="24"/>
          <w:lang w:val="sl-SI"/>
        </w:rPr>
        <w:t>.</w:t>
      </w:r>
    </w:p>
  </w:footnote>
  <w:footnote w:id="2">
    <w:p w14:paraId="4225DE1D" w14:textId="7CDA7904" w:rsidR="003431A6" w:rsidRPr="005B1002" w:rsidRDefault="003431A6" w:rsidP="005B1002">
      <w:pPr>
        <w:pStyle w:val="FootnoteText"/>
        <w:ind w:left="567" w:hanging="567"/>
        <w:rPr>
          <w:sz w:val="24"/>
          <w:lang w:val="sl-SI"/>
        </w:rPr>
      </w:pPr>
      <w:r w:rsidRPr="005B1002">
        <w:rPr>
          <w:rStyle w:val="FootnoteReference"/>
          <w:sz w:val="24"/>
          <w:lang w:val="sl-SI"/>
        </w:rPr>
        <w:footnoteRef/>
      </w:r>
      <w:r w:rsidR="005B1002" w:rsidRPr="005B1002">
        <w:rPr>
          <w:sz w:val="24"/>
          <w:lang w:val="sl-SI"/>
        </w:rPr>
        <w:t xml:space="preserve"> </w:t>
      </w:r>
      <w:r w:rsidR="005B1002" w:rsidRPr="005B1002">
        <w:rPr>
          <w:sz w:val="24"/>
          <w:lang w:val="sl-SI"/>
        </w:rPr>
        <w:tab/>
      </w:r>
      <w:r w:rsidRPr="005B1002">
        <w:rPr>
          <w:sz w:val="24"/>
          <w:lang w:val="sl-SI"/>
        </w:rPr>
        <w:t xml:space="preserve">UL L 433 I, 22.12.2020, str. 11, ELI: </w:t>
      </w:r>
      <w:r w:rsidR="00443961">
        <w:fldChar w:fldCharType="begin"/>
      </w:r>
      <w:r w:rsidR="00443961" w:rsidRPr="00443961">
        <w:rPr>
          <w:lang w:val="pl-PL"/>
        </w:rPr>
        <w:instrText>HYPERLINK "http://data.europa.eu/eli/reg/2020/2093/oj"</w:instrText>
      </w:r>
      <w:r w:rsidR="00443961">
        <w:fldChar w:fldCharType="separate"/>
      </w:r>
      <w:r w:rsidRPr="005B1002">
        <w:rPr>
          <w:rStyle w:val="Hyperlink"/>
          <w:sz w:val="24"/>
          <w:lang w:val="sl-SI"/>
        </w:rPr>
        <w:t>http://data.europa.eu/eli/reg/2020/2093/oj</w:t>
      </w:r>
      <w:r w:rsidR="00443961">
        <w:rPr>
          <w:rStyle w:val="Hyperlink"/>
          <w:sz w:val="24"/>
          <w:lang w:val="sl-SI"/>
        </w:rPr>
        <w:fldChar w:fldCharType="end"/>
      </w:r>
      <w:r w:rsidRPr="005B1002">
        <w:rPr>
          <w:sz w:val="24"/>
          <w:lang w:val="sl-SI"/>
        </w:rPr>
        <w:t>.</w:t>
      </w:r>
    </w:p>
  </w:footnote>
  <w:footnote w:id="3">
    <w:p w14:paraId="41C6CA4A" w14:textId="554AE80A" w:rsidR="003431A6" w:rsidRPr="005B1002" w:rsidRDefault="003431A6" w:rsidP="005B1002">
      <w:pPr>
        <w:pStyle w:val="FootnoteText"/>
        <w:ind w:left="567" w:hanging="567"/>
        <w:rPr>
          <w:sz w:val="24"/>
          <w:lang w:val="sl-SI"/>
        </w:rPr>
      </w:pPr>
      <w:r w:rsidRPr="005B1002">
        <w:rPr>
          <w:rStyle w:val="FootnoteReference"/>
          <w:sz w:val="24"/>
          <w:lang w:val="sl-SI"/>
        </w:rPr>
        <w:footnoteRef/>
      </w:r>
      <w:r w:rsidR="005B1002" w:rsidRPr="005B1002">
        <w:rPr>
          <w:sz w:val="24"/>
          <w:lang w:val="sl-SI"/>
        </w:rPr>
        <w:t xml:space="preserve"> </w:t>
      </w:r>
      <w:r w:rsidR="005B1002" w:rsidRPr="005B1002">
        <w:rPr>
          <w:sz w:val="24"/>
          <w:lang w:val="sl-SI"/>
        </w:rPr>
        <w:tab/>
      </w:r>
      <w:r w:rsidRPr="005B1002">
        <w:rPr>
          <w:sz w:val="24"/>
          <w:lang w:val="sl-SI"/>
        </w:rPr>
        <w:t xml:space="preserve">Uredba Sveta (EU, Euratom) 2024/765 z dne 29. februarja 2024 o spremembi Uredbe (EU, Euratom) 2020/2093 o določitvi večletnega finančnega okvira za obdobje 2021–2027 (UL L, 2024/765, 29.2.2024, ELI: </w:t>
      </w:r>
      <w:r w:rsidR="00443961">
        <w:fldChar w:fldCharType="begin"/>
      </w:r>
      <w:r w:rsidR="00443961" w:rsidRPr="00443961">
        <w:rPr>
          <w:lang w:val="sl-SI"/>
        </w:rPr>
        <w:instrText>HYPERLINK "http://data.europa.eu/eli/reg/2024/765/oj"</w:instrText>
      </w:r>
      <w:r w:rsidR="00443961">
        <w:fldChar w:fldCharType="separate"/>
      </w:r>
      <w:r w:rsidRPr="00D15B57">
        <w:rPr>
          <w:rStyle w:val="Hyperlink"/>
          <w:sz w:val="24"/>
          <w:lang w:val="sl-SI"/>
        </w:rPr>
        <w:t>http://data.europa.eu/eli/reg/2024/765/oj</w:t>
      </w:r>
      <w:r w:rsidR="00443961">
        <w:rPr>
          <w:rStyle w:val="Hyperlink"/>
          <w:sz w:val="24"/>
          <w:lang w:val="sl-SI"/>
        </w:rPr>
        <w:fldChar w:fldCharType="end"/>
      </w:r>
      <w:r w:rsidRPr="005B1002">
        <w:rPr>
          <w:sz w:val="24"/>
          <w:lang w:val="sl-SI"/>
        </w:rPr>
        <w:t>).</w:t>
      </w:r>
    </w:p>
  </w:footnote>
  <w:footnote w:id="4">
    <w:p w14:paraId="024B44DD" w14:textId="39565108" w:rsidR="003431A6" w:rsidRPr="005B1002" w:rsidRDefault="003431A6" w:rsidP="005B1002">
      <w:pPr>
        <w:pStyle w:val="FootnoteText"/>
        <w:ind w:left="567" w:hanging="567"/>
        <w:rPr>
          <w:sz w:val="24"/>
          <w:lang w:val="sl-SI"/>
        </w:rPr>
      </w:pPr>
      <w:r w:rsidRPr="005B1002">
        <w:rPr>
          <w:rStyle w:val="FootnoteReference"/>
          <w:sz w:val="24"/>
          <w:lang w:val="sl-SI"/>
        </w:rPr>
        <w:footnoteRef/>
      </w:r>
      <w:r w:rsidR="005B1002" w:rsidRPr="005B1002">
        <w:rPr>
          <w:sz w:val="24"/>
          <w:lang w:val="sl-SI"/>
        </w:rPr>
        <w:t xml:space="preserve"> </w:t>
      </w:r>
      <w:r w:rsidR="005B1002" w:rsidRPr="005B1002">
        <w:rPr>
          <w:sz w:val="24"/>
          <w:lang w:val="sl-SI"/>
        </w:rPr>
        <w:tab/>
      </w:r>
      <w:r w:rsidRPr="005B1002">
        <w:rPr>
          <w:sz w:val="24"/>
          <w:lang w:val="sl-SI"/>
        </w:rPr>
        <w:t xml:space="preserve">UL L 433 I, 22.12.2020, str. 28, ELI: </w:t>
      </w:r>
      <w:r w:rsidR="00443961">
        <w:fldChar w:fldCharType="begin"/>
      </w:r>
      <w:r w:rsidR="00443961" w:rsidRPr="00443961">
        <w:rPr>
          <w:lang w:val="pl-PL"/>
        </w:rPr>
        <w:instrText>HYPERLINK "http://data.europa.eu/eli/agree_interinstit/2020/1222/oj"</w:instrText>
      </w:r>
      <w:r w:rsidR="00443961">
        <w:fldChar w:fldCharType="separate"/>
      </w:r>
      <w:r w:rsidRPr="005B1002">
        <w:rPr>
          <w:rStyle w:val="Hyperlink"/>
          <w:sz w:val="24"/>
          <w:lang w:val="sl-SI"/>
        </w:rPr>
        <w:t>http://data.europa.eu/eli/agree_interinstit/2020/1222/oj</w:t>
      </w:r>
      <w:r w:rsidR="00443961">
        <w:rPr>
          <w:rStyle w:val="Hyperlink"/>
          <w:sz w:val="24"/>
          <w:lang w:val="sl-SI"/>
        </w:rPr>
        <w:fldChar w:fldCharType="end"/>
      </w:r>
      <w:r w:rsidRPr="005B1002">
        <w:rPr>
          <w:sz w:val="24"/>
          <w:lang w:val="sl-SI"/>
        </w:rPr>
        <w:t>.</w:t>
      </w:r>
    </w:p>
  </w:footnote>
  <w:footnote w:id="5">
    <w:p w14:paraId="1C9D8CCF" w14:textId="2161DE3C" w:rsidR="003431A6" w:rsidRPr="005B1002" w:rsidRDefault="003431A6" w:rsidP="005B1002">
      <w:pPr>
        <w:pStyle w:val="FootnoteText"/>
        <w:ind w:left="567" w:hanging="567"/>
        <w:rPr>
          <w:sz w:val="24"/>
          <w:lang w:val="sl-SI"/>
        </w:rPr>
      </w:pPr>
      <w:r w:rsidRPr="005B1002">
        <w:rPr>
          <w:rStyle w:val="FootnoteReference"/>
          <w:sz w:val="24"/>
          <w:lang w:val="sl-SI"/>
        </w:rPr>
        <w:footnoteRef/>
      </w:r>
      <w:r w:rsidR="005B1002" w:rsidRPr="005B1002">
        <w:rPr>
          <w:sz w:val="24"/>
          <w:lang w:val="sl-SI"/>
        </w:rPr>
        <w:t xml:space="preserve"> </w:t>
      </w:r>
      <w:r w:rsidR="005B1002" w:rsidRPr="005B1002">
        <w:rPr>
          <w:sz w:val="24"/>
          <w:lang w:val="sl-SI"/>
        </w:rPr>
        <w:tab/>
      </w:r>
      <w:r w:rsidRPr="005B1002">
        <w:rPr>
          <w:sz w:val="24"/>
          <w:lang w:val="sl-SI"/>
        </w:rPr>
        <w:t>Vlaamse Dienst voor Arbeidsbemiddeling en Beroepsopleiding.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7F3E" w14:textId="77777777" w:rsidR="00064002" w:rsidRPr="005B10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DD710" w14:textId="77777777" w:rsidR="00064002" w:rsidRPr="005B10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95758" w14:textId="77777777" w:rsidR="00064002" w:rsidRPr="005B10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1367616">
    <w:abstractNumId w:val="9"/>
  </w:num>
  <w:num w:numId="2" w16cid:durableId="244844203">
    <w:abstractNumId w:val="9"/>
  </w:num>
  <w:num w:numId="3" w16cid:durableId="201015533">
    <w:abstractNumId w:val="7"/>
  </w:num>
  <w:num w:numId="4" w16cid:durableId="995761277">
    <w:abstractNumId w:val="7"/>
  </w:num>
  <w:num w:numId="5" w16cid:durableId="1732269764">
    <w:abstractNumId w:val="6"/>
  </w:num>
  <w:num w:numId="6" w16cid:durableId="891499279">
    <w:abstractNumId w:val="6"/>
  </w:num>
  <w:num w:numId="7" w16cid:durableId="459421356">
    <w:abstractNumId w:val="5"/>
  </w:num>
  <w:num w:numId="8" w16cid:durableId="627275629">
    <w:abstractNumId w:val="5"/>
  </w:num>
  <w:num w:numId="9" w16cid:durableId="162743242">
    <w:abstractNumId w:val="4"/>
  </w:num>
  <w:num w:numId="10" w16cid:durableId="1264805048">
    <w:abstractNumId w:val="4"/>
  </w:num>
  <w:num w:numId="11" w16cid:durableId="1468862641">
    <w:abstractNumId w:val="8"/>
  </w:num>
  <w:num w:numId="12" w16cid:durableId="1222671275">
    <w:abstractNumId w:val="8"/>
  </w:num>
  <w:num w:numId="13" w16cid:durableId="1580602907">
    <w:abstractNumId w:val="3"/>
  </w:num>
  <w:num w:numId="14" w16cid:durableId="820267778">
    <w:abstractNumId w:val="3"/>
  </w:num>
  <w:num w:numId="15" w16cid:durableId="1941601785">
    <w:abstractNumId w:val="2"/>
  </w:num>
  <w:num w:numId="16" w16cid:durableId="1832866886">
    <w:abstractNumId w:val="2"/>
  </w:num>
  <w:num w:numId="17" w16cid:durableId="200627905">
    <w:abstractNumId w:val="1"/>
  </w:num>
  <w:num w:numId="18" w16cid:durableId="1647852807">
    <w:abstractNumId w:val="1"/>
  </w:num>
  <w:num w:numId="19" w16cid:durableId="1435248710">
    <w:abstractNumId w:val="0"/>
  </w:num>
  <w:num w:numId="20" w16cid:durableId="715279598">
    <w:abstractNumId w:val="0"/>
  </w:num>
  <w:num w:numId="21" w16cid:durableId="1243291488">
    <w:abstractNumId w:val="9"/>
  </w:num>
  <w:num w:numId="22" w16cid:durableId="80683383">
    <w:abstractNumId w:val="7"/>
  </w:num>
  <w:num w:numId="23" w16cid:durableId="1238436538">
    <w:abstractNumId w:val="6"/>
  </w:num>
  <w:num w:numId="24" w16cid:durableId="1973559654">
    <w:abstractNumId w:val="5"/>
  </w:num>
  <w:num w:numId="25" w16cid:durableId="121656875">
    <w:abstractNumId w:val="4"/>
  </w:num>
  <w:num w:numId="26" w16cid:durableId="447284243">
    <w:abstractNumId w:val="8"/>
  </w:num>
  <w:num w:numId="27" w16cid:durableId="1924338249">
    <w:abstractNumId w:val="3"/>
  </w:num>
  <w:num w:numId="28" w16cid:durableId="2099212784">
    <w:abstractNumId w:val="2"/>
  </w:num>
  <w:num w:numId="29" w16cid:durableId="875695332">
    <w:abstractNumId w:val="1"/>
  </w:num>
  <w:num w:numId="30" w16cid:durableId="1572958276">
    <w:abstractNumId w:val="0"/>
  </w:num>
  <w:num w:numId="31" w16cid:durableId="1362318317">
    <w:abstractNumId w:val="9"/>
  </w:num>
  <w:num w:numId="32" w16cid:durableId="2034502077">
    <w:abstractNumId w:val="7"/>
  </w:num>
  <w:num w:numId="33" w16cid:durableId="1511486632">
    <w:abstractNumId w:val="6"/>
  </w:num>
  <w:num w:numId="34" w16cid:durableId="1537044594">
    <w:abstractNumId w:val="5"/>
  </w:num>
  <w:num w:numId="35" w16cid:durableId="384725143">
    <w:abstractNumId w:val="4"/>
  </w:num>
  <w:num w:numId="36" w16cid:durableId="1182355349">
    <w:abstractNumId w:val="8"/>
  </w:num>
  <w:num w:numId="37" w16cid:durableId="825783033">
    <w:abstractNumId w:val="3"/>
  </w:num>
  <w:num w:numId="38" w16cid:durableId="511795053">
    <w:abstractNumId w:val="2"/>
  </w:num>
  <w:num w:numId="39" w16cid:durableId="910188833">
    <w:abstractNumId w:val="1"/>
  </w:num>
  <w:num w:numId="40" w16cid:durableId="1072504542">
    <w:abstractNumId w:val="0"/>
  </w:num>
  <w:num w:numId="41" w16cid:durableId="263079414">
    <w:abstractNumId w:val="10"/>
  </w:num>
  <w:num w:numId="42" w16cid:durableId="1600941996">
    <w:abstractNumId w:val="10"/>
  </w:num>
  <w:num w:numId="43" w16cid:durableId="747729680">
    <w:abstractNumId w:val="10"/>
  </w:num>
  <w:num w:numId="44" w16cid:durableId="9311614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SL"/>
    <w:docVar w:name="dvnumam" w:val="0"/>
    <w:docVar w:name="dvpe" w:val="776.825"/>
    <w:docVar w:name="dvrapporteur" w:val="Poročevalec: "/>
    <w:docVar w:name="dvtitre" w:val="Resolucija Evropskega parlamenta z dne XX. oktobra 2025 o predlogu sklepa Evropskega parlamenta in Sveta o uporabi Evropskega sklada za prilagoditev globalizaciji za presežne delavce na podlagi vloge Belgije – EGF/2025/001 BE/BelGaN(COM(2025)0157 – C10-0188/2025 – 2025/0198(BUD))"/>
  </w:docVars>
  <w:rsids>
    <w:rsidRoot w:val="0080528B"/>
    <w:rsid w:val="00002272"/>
    <w:rsid w:val="00064002"/>
    <w:rsid w:val="000677B9"/>
    <w:rsid w:val="000831BA"/>
    <w:rsid w:val="000A42CC"/>
    <w:rsid w:val="000E7DD9"/>
    <w:rsid w:val="0010095E"/>
    <w:rsid w:val="00125B37"/>
    <w:rsid w:val="00187494"/>
    <w:rsid w:val="001F32AE"/>
    <w:rsid w:val="00245160"/>
    <w:rsid w:val="002767FF"/>
    <w:rsid w:val="002B18FE"/>
    <w:rsid w:val="002B5493"/>
    <w:rsid w:val="003431A6"/>
    <w:rsid w:val="00343214"/>
    <w:rsid w:val="00361C00"/>
    <w:rsid w:val="00395FA1"/>
    <w:rsid w:val="003C0C3D"/>
    <w:rsid w:val="003C5BB1"/>
    <w:rsid w:val="003E15D4"/>
    <w:rsid w:val="00411CCE"/>
    <w:rsid w:val="0041666E"/>
    <w:rsid w:val="00421060"/>
    <w:rsid w:val="00443961"/>
    <w:rsid w:val="00471C19"/>
    <w:rsid w:val="004867E3"/>
    <w:rsid w:val="00494A28"/>
    <w:rsid w:val="004C0004"/>
    <w:rsid w:val="004C5D52"/>
    <w:rsid w:val="0050519A"/>
    <w:rsid w:val="005072A1"/>
    <w:rsid w:val="00514517"/>
    <w:rsid w:val="0053202B"/>
    <w:rsid w:val="00545827"/>
    <w:rsid w:val="00560270"/>
    <w:rsid w:val="00585E66"/>
    <w:rsid w:val="005B100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192"/>
    <w:rsid w:val="007E22AD"/>
    <w:rsid w:val="0080528B"/>
    <w:rsid w:val="00817416"/>
    <w:rsid w:val="00827C4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8A3"/>
    <w:rsid w:val="00AB441E"/>
    <w:rsid w:val="00AB6293"/>
    <w:rsid w:val="00AE0928"/>
    <w:rsid w:val="00AF3B82"/>
    <w:rsid w:val="00B12E95"/>
    <w:rsid w:val="00B22876"/>
    <w:rsid w:val="00B26104"/>
    <w:rsid w:val="00B40DC0"/>
    <w:rsid w:val="00B558F0"/>
    <w:rsid w:val="00BD48FE"/>
    <w:rsid w:val="00BD7BD8"/>
    <w:rsid w:val="00BE6ADC"/>
    <w:rsid w:val="00C05BFE"/>
    <w:rsid w:val="00C23CD4"/>
    <w:rsid w:val="00C61C0C"/>
    <w:rsid w:val="00C941CB"/>
    <w:rsid w:val="00CC2357"/>
    <w:rsid w:val="00CF071A"/>
    <w:rsid w:val="00D058B8"/>
    <w:rsid w:val="00D15B57"/>
    <w:rsid w:val="00D46BD3"/>
    <w:rsid w:val="00D56C11"/>
    <w:rsid w:val="00D834A0"/>
    <w:rsid w:val="00D872DF"/>
    <w:rsid w:val="00D91E21"/>
    <w:rsid w:val="00DA13EE"/>
    <w:rsid w:val="00DA7FCD"/>
    <w:rsid w:val="00E365E1"/>
    <w:rsid w:val="00E820A4"/>
    <w:rsid w:val="00E9203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80A06"/>
  <w15:chartTrackingRefBased/>
  <w15:docId w15:val="{5C0BA3C3-3FFE-4297-B4F8-061924D28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431A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431A6"/>
    <w:pPr>
      <w:keepNext/>
      <w:spacing w:after="480"/>
      <w:jc w:val="center"/>
    </w:pPr>
    <w:rPr>
      <w:rFonts w:ascii="Arial" w:hAnsi="Arial" w:cs="Arial"/>
      <w:b/>
    </w:rPr>
  </w:style>
  <w:style w:type="paragraph" w:customStyle="1" w:styleId="NormalHanging12a">
    <w:name w:val="NormalHanging12a"/>
    <w:basedOn w:val="Normal"/>
    <w:link w:val="NormalHanging12aChar"/>
    <w:rsid w:val="003431A6"/>
    <w:pPr>
      <w:spacing w:after="240"/>
      <w:ind w:left="567" w:hanging="567"/>
    </w:pPr>
  </w:style>
  <w:style w:type="paragraph" w:styleId="Header">
    <w:name w:val="header"/>
    <w:basedOn w:val="Normal"/>
    <w:link w:val="HeaderChar"/>
    <w:rsid w:val="003431A6"/>
    <w:pPr>
      <w:tabs>
        <w:tab w:val="center" w:pos="4513"/>
        <w:tab w:val="right" w:pos="9026"/>
      </w:tabs>
    </w:pPr>
  </w:style>
  <w:style w:type="character" w:customStyle="1" w:styleId="HeaderChar">
    <w:name w:val="Header Char"/>
    <w:basedOn w:val="DefaultParagraphFont"/>
    <w:link w:val="Header"/>
    <w:rsid w:val="003431A6"/>
    <w:rPr>
      <w:sz w:val="24"/>
      <w:lang w:val="sl-SI"/>
    </w:rPr>
  </w:style>
  <w:style w:type="paragraph" w:customStyle="1" w:styleId="NormalBold24a">
    <w:name w:val="NormalBold24a"/>
    <w:basedOn w:val="Normal"/>
    <w:rsid w:val="003431A6"/>
    <w:pPr>
      <w:spacing w:after="480"/>
    </w:pPr>
    <w:rPr>
      <w:b/>
      <w:bCs/>
    </w:rPr>
  </w:style>
  <w:style w:type="paragraph" w:customStyle="1" w:styleId="EPFooter">
    <w:name w:val="EPFooter"/>
    <w:basedOn w:val="Normal"/>
    <w:rsid w:val="003431A6"/>
    <w:pPr>
      <w:tabs>
        <w:tab w:val="center" w:pos="4535"/>
        <w:tab w:val="right" w:pos="9071"/>
      </w:tabs>
      <w:spacing w:before="240" w:after="240"/>
    </w:pPr>
    <w:rPr>
      <w:color w:val="010000"/>
      <w:sz w:val="22"/>
    </w:rPr>
  </w:style>
  <w:style w:type="paragraph" w:customStyle="1" w:styleId="EPComma">
    <w:name w:val="EPComma"/>
    <w:basedOn w:val="Normal"/>
    <w:rsid w:val="003431A6"/>
    <w:pPr>
      <w:spacing w:before="480" w:after="240"/>
    </w:pPr>
  </w:style>
  <w:style w:type="character" w:styleId="Hyperlink">
    <w:name w:val="Hyperlink"/>
    <w:basedOn w:val="DefaultParagraphFont"/>
    <w:rsid w:val="003431A6"/>
    <w:rPr>
      <w:color w:val="0563C1" w:themeColor="hyperlink"/>
      <w:u w:val="single"/>
    </w:rPr>
  </w:style>
  <w:style w:type="paragraph" w:customStyle="1" w:styleId="Institutionquiagit">
    <w:name w:val="Institution qui agit"/>
    <w:basedOn w:val="Normal"/>
    <w:next w:val="Normal"/>
    <w:rsid w:val="003431A6"/>
    <w:pPr>
      <w:keepNext/>
      <w:snapToGrid w:val="0"/>
      <w:spacing w:after="240"/>
    </w:pPr>
    <w:rPr>
      <w:i/>
      <w:lang w:eastAsia="en-US"/>
    </w:rPr>
  </w:style>
  <w:style w:type="paragraph" w:customStyle="1" w:styleId="Institutionquisigne">
    <w:name w:val="Institution qui signe"/>
    <w:basedOn w:val="Normal"/>
    <w:next w:val="Normal"/>
    <w:rsid w:val="003431A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431A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431A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431A6"/>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3431A6"/>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3431A6"/>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3431A6"/>
    <w:rPr>
      <w:sz w:val="24"/>
      <w:lang w:val="sl-SI"/>
    </w:rPr>
  </w:style>
  <w:style w:type="character" w:customStyle="1" w:styleId="PageHeadingChar">
    <w:name w:val="PageHeading Char"/>
    <w:basedOn w:val="DefaultParagraphFont"/>
    <w:link w:val="PageHeading"/>
    <w:rsid w:val="003431A6"/>
    <w:rPr>
      <w:rFonts w:ascii="Arial" w:hAnsi="Arial" w:cs="Arial"/>
      <w:b/>
      <w:sz w:val="24"/>
      <w:lang w:val="sl-SI"/>
    </w:rPr>
  </w:style>
  <w:style w:type="paragraph" w:styleId="Footer">
    <w:name w:val="footer"/>
    <w:basedOn w:val="Normal"/>
    <w:link w:val="FooterChar"/>
    <w:rsid w:val="0053202B"/>
    <w:pPr>
      <w:tabs>
        <w:tab w:val="center" w:pos="4513"/>
        <w:tab w:val="right" w:pos="9026"/>
      </w:tabs>
    </w:pPr>
  </w:style>
  <w:style w:type="character" w:customStyle="1" w:styleId="FooterChar">
    <w:name w:val="Footer Char"/>
    <w:basedOn w:val="DefaultParagraphFont"/>
    <w:link w:val="Footer"/>
    <w:rsid w:val="0053202B"/>
    <w:rPr>
      <w:sz w:val="24"/>
      <w:lang w:val="sl-SI"/>
    </w:rPr>
  </w:style>
  <w:style w:type="paragraph" w:styleId="Revision">
    <w:name w:val="Revision"/>
    <w:hidden/>
    <w:uiPriority w:val="99"/>
    <w:semiHidden/>
    <w:rsid w:val="00D15B57"/>
    <w:rPr>
      <w:sz w:val="24"/>
      <w:lang w:val="sl-SI"/>
    </w:rPr>
  </w:style>
  <w:style w:type="character" w:styleId="UnresolvedMention">
    <w:name w:val="Unresolved Mention"/>
    <w:basedOn w:val="DefaultParagraphFont"/>
    <w:uiPriority w:val="99"/>
    <w:semiHidden/>
    <w:unhideWhenUsed/>
    <w:rsid w:val="00D15B57"/>
    <w:rPr>
      <w:color w:val="605E5C"/>
      <w:shd w:val="clear" w:color="auto" w:fill="E1DFDD"/>
    </w:rPr>
  </w:style>
  <w:style w:type="character" w:styleId="CommentReference">
    <w:name w:val="annotation reference"/>
    <w:basedOn w:val="DefaultParagraphFont"/>
    <w:rsid w:val="003C0C3D"/>
    <w:rPr>
      <w:sz w:val="16"/>
      <w:szCs w:val="16"/>
    </w:rPr>
  </w:style>
  <w:style w:type="paragraph" w:styleId="CommentText">
    <w:name w:val="annotation text"/>
    <w:basedOn w:val="Normal"/>
    <w:link w:val="CommentTextChar"/>
    <w:rsid w:val="003C0C3D"/>
    <w:rPr>
      <w:sz w:val="20"/>
    </w:rPr>
  </w:style>
  <w:style w:type="character" w:customStyle="1" w:styleId="CommentTextChar">
    <w:name w:val="Comment Text Char"/>
    <w:basedOn w:val="DefaultParagraphFont"/>
    <w:link w:val="CommentText"/>
    <w:rsid w:val="003C0C3D"/>
    <w:rPr>
      <w:lang w:val="sl-SI"/>
    </w:rPr>
  </w:style>
  <w:style w:type="paragraph" w:styleId="CommentSubject">
    <w:name w:val="annotation subject"/>
    <w:basedOn w:val="CommentText"/>
    <w:next w:val="CommentText"/>
    <w:link w:val="CommentSubjectChar"/>
    <w:rsid w:val="003C0C3D"/>
    <w:rPr>
      <w:b/>
      <w:bCs/>
    </w:rPr>
  </w:style>
  <w:style w:type="character" w:customStyle="1" w:styleId="CommentSubjectChar">
    <w:name w:val="Comment Subject Char"/>
    <w:basedOn w:val="CommentTextChar"/>
    <w:link w:val="CommentSubject"/>
    <w:rsid w:val="003C0C3D"/>
    <w:rPr>
      <w:b/>
      <w:bCs/>
      <w:lang w:val="sl-SI"/>
    </w:rPr>
  </w:style>
  <w:style w:type="character" w:styleId="FollowedHyperlink">
    <w:name w:val="FollowedHyperlink"/>
    <w:basedOn w:val="DefaultParagraphFont"/>
    <w:rsid w:val="00585E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1247</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2025-12-15T09:25:00Z</dcterms:created>
  <dcterms:modified xsi:type="dcterms:W3CDTF">2025-12-15T09:25:00Z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P10_TA(2025)0220_</vt:lpwstr>
  </property>
  <property fmtid="{D5CDD505-2E9C-101B-9397-08002B2CF9AE}" pid="4" name="&lt;Type&gt;">
    <vt:lpwstr>RR</vt:lpwstr>
  </property>
</Properties>
</file>