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4E89" w14:paraId="5598BACE" w14:textId="77777777" w:rsidTr="0010095E">
        <w:trPr>
          <w:trHeight w:hRule="exact" w:val="1418"/>
        </w:trPr>
        <w:tc>
          <w:tcPr>
            <w:tcW w:w="6804" w:type="dxa"/>
            <w:shd w:val="clear" w:color="auto" w:fill="auto"/>
            <w:vAlign w:val="center"/>
          </w:tcPr>
          <w:p w14:paraId="407985DF" w14:textId="77777777" w:rsidR="00751A4A" w:rsidRPr="00374E89" w:rsidRDefault="00F5566F" w:rsidP="0010095E">
            <w:pPr>
              <w:pStyle w:val="EPName"/>
            </w:pPr>
            <w:r w:rsidRPr="00374E89">
              <w:t>Europaparlamentet</w:t>
            </w:r>
          </w:p>
          <w:p w14:paraId="11119A20" w14:textId="77777777" w:rsidR="00751A4A" w:rsidRPr="00374E89" w:rsidRDefault="005F1B17" w:rsidP="005F1B17">
            <w:pPr>
              <w:pStyle w:val="EPTerm"/>
              <w:rPr>
                <w:rStyle w:val="HideTWBExt"/>
                <w:noProof w:val="0"/>
                <w:vanish w:val="0"/>
                <w:color w:val="auto"/>
              </w:rPr>
            </w:pPr>
            <w:r w:rsidRPr="00374E89">
              <w:t>2024</w:t>
            </w:r>
            <w:r w:rsidR="00817416" w:rsidRPr="00374E89">
              <w:t>-202</w:t>
            </w:r>
            <w:r w:rsidRPr="00374E89">
              <w:t>9</w:t>
            </w:r>
          </w:p>
        </w:tc>
        <w:tc>
          <w:tcPr>
            <w:tcW w:w="2268" w:type="dxa"/>
            <w:shd w:val="clear" w:color="auto" w:fill="auto"/>
          </w:tcPr>
          <w:p w14:paraId="6B52767E" w14:textId="77777777" w:rsidR="00751A4A" w:rsidRPr="00374E89" w:rsidRDefault="00187494" w:rsidP="0010095E">
            <w:pPr>
              <w:pStyle w:val="EPLogo"/>
            </w:pPr>
            <w:r w:rsidRPr="00374E89">
              <w:rPr>
                <w:noProof/>
                <w:lang w:eastAsia="ja-JP"/>
              </w:rPr>
              <w:drawing>
                <wp:inline distT="0" distB="0" distL="0" distR="0" wp14:anchorId="3935D867" wp14:editId="61BBBD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435490" w14:textId="77777777" w:rsidR="00D058B8" w:rsidRPr="00374E89" w:rsidRDefault="00D058B8" w:rsidP="004C5D52">
      <w:pPr>
        <w:pStyle w:val="LineTop"/>
      </w:pPr>
    </w:p>
    <w:p w14:paraId="35100F73" w14:textId="77777777" w:rsidR="00680577" w:rsidRPr="00374E89" w:rsidRDefault="00F5566F" w:rsidP="00680577">
      <w:pPr>
        <w:pStyle w:val="EPBodyTA1"/>
      </w:pPr>
      <w:r w:rsidRPr="00374E89">
        <w:t>ANTAGNA TEXTER</w:t>
      </w:r>
    </w:p>
    <w:p w14:paraId="442D8146" w14:textId="77777777" w:rsidR="00D058B8" w:rsidRPr="00374E89" w:rsidRDefault="00D058B8" w:rsidP="00D058B8">
      <w:pPr>
        <w:pStyle w:val="LineBottom"/>
      </w:pPr>
    </w:p>
    <w:p w14:paraId="20C533BF" w14:textId="7646552B" w:rsidR="00F5566F" w:rsidRPr="00625BCF" w:rsidRDefault="00F5566F" w:rsidP="00F5566F">
      <w:pPr>
        <w:pStyle w:val="ATHeading1"/>
      </w:pPr>
      <w:bookmarkStart w:id="0" w:name="TANumber"/>
      <w:r w:rsidRPr="00374E89">
        <w:t>P</w:t>
      </w:r>
      <w:r w:rsidRPr="00625BCF">
        <w:t>10_TA(2025)0</w:t>
      </w:r>
      <w:bookmarkEnd w:id="0"/>
      <w:r w:rsidR="009E644B">
        <w:t>220</w:t>
      </w:r>
    </w:p>
    <w:p w14:paraId="485EEDA5" w14:textId="128BE365" w:rsidR="00F5566F" w:rsidRPr="00625BCF" w:rsidRDefault="00F5566F" w:rsidP="00F5566F">
      <w:pPr>
        <w:pStyle w:val="ATHeading2"/>
      </w:pPr>
      <w:bookmarkStart w:id="1" w:name="title"/>
      <w:r w:rsidRPr="00625BCF">
        <w:t>Utnyttjande av Europeiska fonden för justering för globaliseringseffekter</w:t>
      </w:r>
      <w:r w:rsidR="00D17B93" w:rsidRPr="00625BCF">
        <w:t xml:space="preserve"> för uppsagda arbetstagare efter en </w:t>
      </w:r>
      <w:r w:rsidRPr="00625BCF">
        <w:t xml:space="preserve">ansökan </w:t>
      </w:r>
      <w:r w:rsidR="00D17B93" w:rsidRPr="00625BCF">
        <w:t xml:space="preserve">från Belgien – </w:t>
      </w:r>
      <w:r w:rsidRPr="00625BCF">
        <w:t>EGF/2025/001 BE/</w:t>
      </w:r>
      <w:proofErr w:type="spellStart"/>
      <w:r w:rsidRPr="00625BCF">
        <w:t>BelGaN</w:t>
      </w:r>
      <w:proofErr w:type="spellEnd"/>
      <w:r w:rsidRPr="00625BCF">
        <w:t xml:space="preserve"> </w:t>
      </w:r>
      <w:bookmarkEnd w:id="1"/>
    </w:p>
    <w:p w14:paraId="7CCFA2D0" w14:textId="77777777" w:rsidR="00F5566F" w:rsidRPr="00625BCF" w:rsidRDefault="00F5566F" w:rsidP="00F5566F">
      <w:pPr>
        <w:rPr>
          <w:i/>
          <w:vanish/>
        </w:rPr>
      </w:pPr>
      <w:r w:rsidRPr="00625BCF">
        <w:rPr>
          <w:i/>
        </w:rPr>
        <w:fldChar w:fldCharType="begin"/>
      </w:r>
      <w:r w:rsidRPr="00625BCF">
        <w:rPr>
          <w:i/>
        </w:rPr>
        <w:instrText xml:space="preserve"> TC"(</w:instrText>
      </w:r>
      <w:bookmarkStart w:id="2" w:name="DocNumber"/>
      <w:r w:rsidRPr="00625BCF">
        <w:rPr>
          <w:i/>
        </w:rPr>
        <w:instrText>A10-0163/2025</w:instrText>
      </w:r>
      <w:bookmarkEnd w:id="2"/>
      <w:r w:rsidRPr="00625BCF">
        <w:rPr>
          <w:i/>
        </w:rPr>
        <w:instrText xml:space="preserve"> - Föredragande: Bogdan Rzońca)"\l3 \n&gt; \* MERGEFORMAT </w:instrText>
      </w:r>
      <w:r w:rsidRPr="00625BCF">
        <w:rPr>
          <w:i/>
        </w:rPr>
        <w:fldChar w:fldCharType="end"/>
      </w:r>
    </w:p>
    <w:p w14:paraId="44A5F787" w14:textId="77777777" w:rsidR="00F5566F" w:rsidRPr="00625BCF" w:rsidRDefault="00F5566F" w:rsidP="00F5566F">
      <w:pPr>
        <w:rPr>
          <w:vanish/>
        </w:rPr>
      </w:pPr>
      <w:bookmarkStart w:id="3" w:name="Commission"/>
      <w:r w:rsidRPr="00625BCF">
        <w:rPr>
          <w:vanish/>
        </w:rPr>
        <w:t>Budgetutskottet</w:t>
      </w:r>
      <w:bookmarkEnd w:id="3"/>
    </w:p>
    <w:p w14:paraId="2E15DA86" w14:textId="77777777" w:rsidR="00F5566F" w:rsidRPr="00625BCF" w:rsidRDefault="00F5566F" w:rsidP="00F5566F">
      <w:pPr>
        <w:rPr>
          <w:vanish/>
        </w:rPr>
      </w:pPr>
      <w:bookmarkStart w:id="4" w:name="PE"/>
      <w:r w:rsidRPr="00625BCF">
        <w:rPr>
          <w:vanish/>
        </w:rPr>
        <w:t>PE776.825</w:t>
      </w:r>
      <w:bookmarkEnd w:id="4"/>
    </w:p>
    <w:p w14:paraId="176D1069" w14:textId="45FBEE6C" w:rsidR="00F5566F" w:rsidRPr="00625BCF" w:rsidRDefault="00F5566F" w:rsidP="00F5566F">
      <w:pPr>
        <w:pStyle w:val="ATHeading3"/>
      </w:pPr>
      <w:bookmarkStart w:id="5" w:name="Sujet"/>
      <w:r w:rsidRPr="00625BCF">
        <w:t xml:space="preserve">Europaparlamentets resolution av den </w:t>
      </w:r>
      <w:r w:rsidR="00406945" w:rsidRPr="00625BCF">
        <w:t xml:space="preserve">8 oktober </w:t>
      </w:r>
      <w:r w:rsidRPr="00625BCF">
        <w:t>2025 om förslaget till Europaparlamentets och rådets beslut om utnyttjande av Europeiska fonden för justering för globaliseringseffekter för uppsagda arbetstagare efter en ansökan från Belgien – EGF/2025/001 BE/</w:t>
      </w:r>
      <w:proofErr w:type="spellStart"/>
      <w:r w:rsidRPr="00625BCF">
        <w:t>BelGaN</w:t>
      </w:r>
      <w:bookmarkEnd w:id="5"/>
      <w:proofErr w:type="spellEnd"/>
      <w:r w:rsidRPr="00625BCF">
        <w:t xml:space="preserve"> </w:t>
      </w:r>
      <w:bookmarkStart w:id="6" w:name="References"/>
      <w:r w:rsidRPr="00625BCF">
        <w:t>(COM(2025)0157 – C10-0188/2025 – 2025/0198(BUD))</w:t>
      </w:r>
      <w:bookmarkEnd w:id="6"/>
    </w:p>
    <w:p w14:paraId="46D766B4" w14:textId="77777777" w:rsidR="009B4D34" w:rsidRPr="00625BCF" w:rsidRDefault="009B4D34" w:rsidP="009B4D34">
      <w:pPr>
        <w:pStyle w:val="EPComma"/>
        <w:widowControl/>
        <w:rPr>
          <w:noProof/>
        </w:rPr>
      </w:pPr>
      <w:r w:rsidRPr="00625BCF">
        <w:rPr>
          <w:i/>
        </w:rPr>
        <w:t>Europaparlamentet utfärdar denna resolution</w:t>
      </w:r>
    </w:p>
    <w:p w14:paraId="508BEE44" w14:textId="77777777" w:rsidR="009B4D34" w:rsidRPr="00625BCF" w:rsidRDefault="009B4D34" w:rsidP="009B4D34">
      <w:pPr>
        <w:pStyle w:val="NormalHanging12a"/>
        <w:widowControl/>
        <w:rPr>
          <w:noProof/>
        </w:rPr>
      </w:pPr>
      <w:r w:rsidRPr="00625BCF">
        <w:t>–</w:t>
      </w:r>
      <w:r w:rsidRPr="00625BCF">
        <w:tab/>
        <w:t>med beaktande av kommissionens förslag till Europaparlamentet och rådet (COM(2025)0157 – C10</w:t>
      </w:r>
      <w:r w:rsidRPr="00625BCF">
        <w:noBreakHyphen/>
        <w:t>0188/2025),</w:t>
      </w:r>
    </w:p>
    <w:p w14:paraId="23408F9B" w14:textId="77777777" w:rsidR="009B4D34" w:rsidRPr="00625BCF" w:rsidRDefault="009B4D34" w:rsidP="009B4D34">
      <w:pPr>
        <w:pStyle w:val="NormalHanging12a"/>
        <w:widowControl/>
        <w:rPr>
          <w:noProof/>
        </w:rPr>
      </w:pPr>
      <w:r w:rsidRPr="00625BCF">
        <w:t>–</w:t>
      </w:r>
      <w:r w:rsidRPr="00625BCF">
        <w:tab/>
        <w:t>med beaktande av Europaparlamentets och rådets förordning (EU) 2021/691 av den 28 april 2021 om Europeiska fonden för justering för globaliseringseffekter för uppsagda arbetstagare (EGF) och om upphävande av förordning (EU) nr 1309/2013</w:t>
      </w:r>
      <w:r w:rsidRPr="00625BCF">
        <w:rPr>
          <w:rStyle w:val="FootnoteReference"/>
        </w:rPr>
        <w:footnoteReference w:id="1"/>
      </w:r>
      <w:r w:rsidRPr="00625BCF">
        <w:t>,</w:t>
      </w:r>
    </w:p>
    <w:p w14:paraId="7ED1EC2C" w14:textId="77777777" w:rsidR="009B4D34" w:rsidRPr="00625BCF" w:rsidRDefault="009B4D34" w:rsidP="009B4D34">
      <w:pPr>
        <w:pStyle w:val="NormalHanging12a"/>
        <w:widowControl/>
        <w:rPr>
          <w:noProof/>
        </w:rPr>
      </w:pPr>
      <w:r w:rsidRPr="00625BCF">
        <w:t>–</w:t>
      </w:r>
      <w:r w:rsidRPr="00625BCF">
        <w:tab/>
        <w:t>med beaktande av rådets förordning (EU, Euratom) 2020/2093 av den 17 december 2020 om den fleråriga budgetramen för 2021–2027</w:t>
      </w:r>
      <w:r w:rsidRPr="00625BCF">
        <w:rPr>
          <w:rStyle w:val="FootnoteReference"/>
          <w:noProof/>
        </w:rPr>
        <w:footnoteReference w:id="2"/>
      </w:r>
      <w:r w:rsidRPr="00625BCF">
        <w:t xml:space="preserve"> ändrad genom förordning (EU, Euratom) 2024/765</w:t>
      </w:r>
      <w:r w:rsidRPr="00625BCF">
        <w:rPr>
          <w:rStyle w:val="FootnoteReference"/>
          <w:noProof/>
        </w:rPr>
        <w:footnoteReference w:id="3"/>
      </w:r>
      <w:r w:rsidRPr="00625BCF">
        <w:t>, särskilt artikel 8,</w:t>
      </w:r>
    </w:p>
    <w:p w14:paraId="565E3D08" w14:textId="77777777" w:rsidR="009B4D34" w:rsidRPr="00625BCF" w:rsidRDefault="009B4D34" w:rsidP="009B4D34">
      <w:pPr>
        <w:pStyle w:val="NormalHanging12a"/>
        <w:widowControl/>
        <w:rPr>
          <w:noProof/>
        </w:rPr>
      </w:pPr>
      <w:r w:rsidRPr="00625BCF">
        <w:t>–</w:t>
      </w:r>
      <w:r w:rsidRPr="00625BCF">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625BCF">
        <w:rPr>
          <w:rStyle w:val="FootnoteReference"/>
          <w:noProof/>
        </w:rPr>
        <w:footnoteReference w:id="4"/>
      </w:r>
      <w:r w:rsidRPr="00625BCF">
        <w:t>, särskilt punkt 12,</w:t>
      </w:r>
    </w:p>
    <w:p w14:paraId="78584F38" w14:textId="77777777" w:rsidR="009B4D34" w:rsidRPr="00625BCF" w:rsidRDefault="009B4D34" w:rsidP="009B4D34">
      <w:pPr>
        <w:pStyle w:val="NormalHanging12a"/>
        <w:widowControl/>
        <w:rPr>
          <w:noProof/>
        </w:rPr>
      </w:pPr>
      <w:r w:rsidRPr="00625BCF">
        <w:lastRenderedPageBreak/>
        <w:t>–</w:t>
      </w:r>
      <w:r w:rsidRPr="00625BCF">
        <w:tab/>
        <w:t>med beaktande av yttrandet från utskottet för sysselsättning och sociala frågor,</w:t>
      </w:r>
    </w:p>
    <w:p w14:paraId="6EE40616" w14:textId="77777777" w:rsidR="009B4D34" w:rsidRPr="00625BCF" w:rsidRDefault="009B4D34" w:rsidP="009B4D34">
      <w:pPr>
        <w:pStyle w:val="NormalHanging12a"/>
        <w:widowControl/>
      </w:pPr>
      <w:r w:rsidRPr="00625BCF">
        <w:t>–</w:t>
      </w:r>
      <w:r w:rsidRPr="00625BCF">
        <w:tab/>
        <w:t>med beaktande av betänkandet från budgetutskottet (A10-0163/2025), och av följande skäl:</w:t>
      </w:r>
    </w:p>
    <w:p w14:paraId="3CCA65D1" w14:textId="3A9A4468" w:rsidR="009B4D34" w:rsidRPr="00625BCF" w:rsidRDefault="009B4D34" w:rsidP="009B4D34">
      <w:pPr>
        <w:pStyle w:val="NormalHanging12a"/>
        <w:widowControl/>
        <w:rPr>
          <w:noProof/>
        </w:rPr>
      </w:pPr>
      <w:r w:rsidRPr="00625BCF">
        <w:t>A.</w:t>
      </w:r>
      <w:r w:rsidRPr="00625BCF">
        <w:tab/>
        <w:t xml:space="preserve">Unionen har inrättat lagstiftnings- och budgetinstrument för att kunna ge kompletterande stöd till arbetstagare som drabbas av konsekvenserna av genomgripande strukturförändringar inom världshandeln eller av den globala finansiella och ekonomiska krisen, och för att underlätta deras återinträde på arbetsmarknaden. Detta </w:t>
      </w:r>
      <w:r w:rsidR="009D46F2" w:rsidRPr="00625BCF">
        <w:t>tillhandahålls genom</w:t>
      </w:r>
      <w:r w:rsidRPr="00625BCF">
        <w:t xml:space="preserve"> ekonomiskt stöd till arbetstagare och till de företag som de har arbetat för.</w:t>
      </w:r>
    </w:p>
    <w:p w14:paraId="3BB0C517" w14:textId="4B3F1097" w:rsidR="009B4D34" w:rsidRPr="00625BCF" w:rsidRDefault="009B4D34" w:rsidP="009B4D34">
      <w:pPr>
        <w:pStyle w:val="NormalHanging12a"/>
        <w:widowControl/>
        <w:rPr>
          <w:noProof/>
        </w:rPr>
      </w:pPr>
      <w:r w:rsidRPr="00625BCF">
        <w:t>B.</w:t>
      </w:r>
      <w:r w:rsidRPr="00625BCF">
        <w:tab/>
        <w:t>Belgien har lämnat in ansökan EGF/2025/001 BE/</w:t>
      </w:r>
      <w:proofErr w:type="spellStart"/>
      <w:r w:rsidRPr="00625BCF">
        <w:t>BelGaN</w:t>
      </w:r>
      <w:proofErr w:type="spellEnd"/>
      <w:r w:rsidRPr="00625BCF">
        <w:t xml:space="preserve"> om ekonomiskt bidrag från Europeiska fonden för justering för globaliseringseffekter (EGF), efter uppsägningar av 417 arbetstagare inom den ekonomiska sektor som ingår i huvudgrupp 26 i </w:t>
      </w:r>
      <w:proofErr w:type="spellStart"/>
      <w:r w:rsidRPr="00625BCF">
        <w:t>Nace</w:t>
      </w:r>
      <w:proofErr w:type="spellEnd"/>
      <w:r w:rsidRPr="00625BCF">
        <w:t xml:space="preserve"> Rev. 2 (Tillverkning av datorer, elektronikvaror och optik) i regionen Östflandern (BE23), inom en referensperiod på fyra månader för ansökan från den 31 juli 2024 till den 30 november 2024. </w:t>
      </w:r>
    </w:p>
    <w:p w14:paraId="0785C5BF" w14:textId="4D6C3D48" w:rsidR="009B4D34" w:rsidRPr="00625BCF" w:rsidRDefault="009B4D34" w:rsidP="009B4D34">
      <w:pPr>
        <w:pStyle w:val="NormalHanging12a"/>
        <w:widowControl/>
        <w:rPr>
          <w:noProof/>
        </w:rPr>
      </w:pPr>
      <w:r w:rsidRPr="00625BCF">
        <w:t>C.</w:t>
      </w:r>
      <w:r w:rsidRPr="00625BCF">
        <w:tab/>
        <w:t>Ansökan baseras på insatskriteriet i artikel 4.2 a i EGF-förordningen, som föreskriver att verksamheten för minst 200 uppsagda arbetstagare eller egenföretagare ska ha upphört under en referensperiod på fyra månader i ett företag i en medlemsstat, inbegripet arbetstagare som har blivit uppsagda hos underleverantörer eller producenter i efterföljande produktionsled.</w:t>
      </w:r>
    </w:p>
    <w:p w14:paraId="31FFE151" w14:textId="2C929234" w:rsidR="009B4D34" w:rsidRPr="00625BCF" w:rsidRDefault="009B4D34" w:rsidP="009B4D34">
      <w:pPr>
        <w:pStyle w:val="NormalHanging12a"/>
        <w:widowControl/>
        <w:rPr>
          <w:noProof/>
        </w:rPr>
      </w:pPr>
      <w:bookmarkStart w:id="7" w:name="_Hlk207698597"/>
      <w:r w:rsidRPr="00625BCF">
        <w:t>D.</w:t>
      </w:r>
      <w:r w:rsidRPr="00625BCF">
        <w:tab/>
        <w:t xml:space="preserve">Rysslands anfallskrig mot Ukraina och den stigande inflationen har påverkat energi-, material- och arbetskraftskostnaderna och ökat trycket på </w:t>
      </w:r>
      <w:proofErr w:type="spellStart"/>
      <w:r w:rsidR="002651FF" w:rsidRPr="00625BCF">
        <w:t>BelGaN</w:t>
      </w:r>
      <w:r w:rsidRPr="00625BCF">
        <w:t>s</w:t>
      </w:r>
      <w:proofErr w:type="spellEnd"/>
      <w:r w:rsidRPr="00625BCF">
        <w:t xml:space="preserve"> marginal</w:t>
      </w:r>
      <w:r w:rsidR="002651FF" w:rsidRPr="00625BCF">
        <w:t>er</w:t>
      </w:r>
      <w:r w:rsidRPr="00625BCF">
        <w:t xml:space="preserve">. </w:t>
      </w:r>
    </w:p>
    <w:bookmarkEnd w:id="7"/>
    <w:p w14:paraId="4073AB5B" w14:textId="2C564375" w:rsidR="009B4D34" w:rsidRPr="00625BCF" w:rsidRDefault="009B4D34" w:rsidP="009B4D34">
      <w:pPr>
        <w:pStyle w:val="NormalHanging12a"/>
        <w:widowControl/>
        <w:rPr>
          <w:noProof/>
        </w:rPr>
      </w:pPr>
      <w:r w:rsidRPr="00625BCF">
        <w:t>E.</w:t>
      </w:r>
      <w:r w:rsidRPr="00625BCF">
        <w:tab/>
      </w:r>
      <w:proofErr w:type="spellStart"/>
      <w:r w:rsidRPr="00625BCF">
        <w:t>BelGaN</w:t>
      </w:r>
      <w:proofErr w:type="spellEnd"/>
      <w:r w:rsidRPr="00625BCF">
        <w:t xml:space="preserve"> var specialiserat på tillverkning av halvledare för bilindustrin. Den europeiska fordons- och underleverantörsindustrin står inför ett aldrig tidigare skådat tryck från både externa och interna utmaningar, såsom snedvridning av konkurrensen och höga energikostnader.</w:t>
      </w:r>
    </w:p>
    <w:p w14:paraId="30818E1D" w14:textId="77777777" w:rsidR="009B4D34" w:rsidRPr="00625BCF" w:rsidRDefault="009B4D34" w:rsidP="009B4D34">
      <w:pPr>
        <w:pStyle w:val="NormalHanging12a"/>
        <w:widowControl/>
        <w:rPr>
          <w:noProof/>
        </w:rPr>
      </w:pPr>
      <w:r w:rsidRPr="00625BCF">
        <w:t>F.</w:t>
      </w:r>
      <w:r w:rsidRPr="00625BCF">
        <w:tab/>
        <w:t xml:space="preserve">Företaget upplevde en betydande minskning av lönsamheten på grund av kassaflödesproblem till följd av omställningen från kiselbaserade chips till </w:t>
      </w:r>
      <w:proofErr w:type="spellStart"/>
      <w:r w:rsidRPr="00625BCF">
        <w:t>galliumnitridteknik</w:t>
      </w:r>
      <w:proofErr w:type="spellEnd"/>
      <w:r w:rsidRPr="00625BCF">
        <w:t xml:space="preserve"> (</w:t>
      </w:r>
      <w:proofErr w:type="spellStart"/>
      <w:r w:rsidRPr="00625BCF">
        <w:t>GaN</w:t>
      </w:r>
      <w:proofErr w:type="spellEnd"/>
      <w:r w:rsidRPr="00625BCF">
        <w:t xml:space="preserve">), som hämmades av höga produktionskostnader och otillräckliga investeringar under övergångsperioden. </w:t>
      </w:r>
    </w:p>
    <w:p w14:paraId="7535B005" w14:textId="77777777" w:rsidR="009B4D34" w:rsidRPr="00625BCF" w:rsidRDefault="009B4D34" w:rsidP="009B4D34">
      <w:pPr>
        <w:pStyle w:val="NormalHanging12a"/>
        <w:widowControl/>
        <w:rPr>
          <w:noProof/>
        </w:rPr>
      </w:pPr>
      <w:r w:rsidRPr="00625BCF">
        <w:t>G.</w:t>
      </w:r>
      <w:r w:rsidRPr="00625BCF">
        <w:tab/>
      </w:r>
      <w:proofErr w:type="spellStart"/>
      <w:r w:rsidRPr="00625BCF">
        <w:t>BelGaN</w:t>
      </w:r>
      <w:proofErr w:type="spellEnd"/>
      <w:r w:rsidRPr="00625BCF">
        <w:t xml:space="preserve"> ansökte om konkurs den 30 juli 2024.</w:t>
      </w:r>
    </w:p>
    <w:p w14:paraId="27AEA694" w14:textId="77777777" w:rsidR="009B4D34" w:rsidRPr="00625BCF" w:rsidRDefault="009B4D34" w:rsidP="009B4D34">
      <w:pPr>
        <w:pStyle w:val="NormalHanging12a"/>
        <w:widowControl/>
        <w:rPr>
          <w:noProof/>
        </w:rPr>
      </w:pPr>
      <w:r w:rsidRPr="00625BCF">
        <w:t>H.</w:t>
      </w:r>
      <w:r w:rsidRPr="00625BCF">
        <w:tab/>
        <w:t>Den flamländska arbetsförmedlingen (VDAB</w:t>
      </w:r>
      <w:r w:rsidRPr="00625BCF">
        <w:rPr>
          <w:rStyle w:val="FootnoteReference"/>
          <w:noProof/>
        </w:rPr>
        <w:footnoteReference w:id="5"/>
      </w:r>
      <w:r w:rsidRPr="00625BCF">
        <w:t>) tillhandahåller nationell förfinansiering och samfinansiering av åtgärderna.</w:t>
      </w:r>
    </w:p>
    <w:p w14:paraId="723951DB" w14:textId="77777777" w:rsidR="009B4D34" w:rsidRPr="00625BCF" w:rsidRDefault="009B4D34" w:rsidP="009B4D34">
      <w:pPr>
        <w:pStyle w:val="NormalHanging12a"/>
        <w:widowControl/>
        <w:rPr>
          <w:noProof/>
        </w:rPr>
      </w:pPr>
      <w:r w:rsidRPr="00625BCF">
        <w:t>I.</w:t>
      </w:r>
      <w:r w:rsidRPr="00625BCF">
        <w:tab/>
        <w:t xml:space="preserve">Företaget följde, i enlighet med belgisk lagstiftning, det obligatoriska förfarandet för information till och samråd med arbetstagarrepresentanter. Kravet på att inrätta en särskild sysselsättningsenhet, vars uppgift är att erbjuda arbetstagare som har sagts upp i samband med kollektiva uppsägningar omställningstjänster, gäller inte vid konkurs och omställningstjänsterna erbjöds därför av VDAB. </w:t>
      </w:r>
    </w:p>
    <w:p w14:paraId="1C063373" w14:textId="77777777" w:rsidR="009B4D34" w:rsidRPr="00625BCF" w:rsidRDefault="009B4D34" w:rsidP="009B4D34">
      <w:pPr>
        <w:pStyle w:val="NormalHanging12a"/>
        <w:widowControl/>
        <w:rPr>
          <w:noProof/>
        </w:rPr>
      </w:pPr>
      <w:r w:rsidRPr="00625BCF">
        <w:t>J.</w:t>
      </w:r>
      <w:r w:rsidRPr="00625BCF">
        <w:tab/>
        <w:t xml:space="preserve">Ekonomiskt stöd från EGF bör i första hand inriktas på aktiva arbetsmarknadsåtgärder och individanpassade tjänster som syftar till att snabbt återintegrera stödmottagarna i en </w:t>
      </w:r>
      <w:r w:rsidRPr="00625BCF">
        <w:lastRenderedPageBreak/>
        <w:t>anständig och hållbar anställning inom eller utanför deras ursprungliga verksamhetssektor, samtidigt som de förbereder sig för en grönare och mer digital europeisk ekonomi.</w:t>
      </w:r>
    </w:p>
    <w:p w14:paraId="34F0840A" w14:textId="77777777" w:rsidR="009B4D34" w:rsidRPr="00625BCF" w:rsidRDefault="009B4D34" w:rsidP="009B4D34">
      <w:pPr>
        <w:pStyle w:val="NormalHanging12a"/>
        <w:widowControl/>
        <w:rPr>
          <w:noProof/>
        </w:rPr>
      </w:pPr>
      <w:r w:rsidRPr="00625BCF">
        <w:t>K.</w:t>
      </w:r>
      <w:r w:rsidRPr="00625BCF">
        <w:tab/>
        <w:t>Enligt artikel 8 i rådets förordning (EU, Euratom) 2020/2093, i dess ändrade lydelse enligt rådets förordning (EU, Euratom) 2024/765, får EGF inte överstiga ett årligt maximibelopp på 30 miljoner EUR (i 2018 års priser).</w:t>
      </w:r>
    </w:p>
    <w:p w14:paraId="300A7ECB" w14:textId="77777777" w:rsidR="009B4D34" w:rsidRPr="00625BCF" w:rsidRDefault="009B4D34" w:rsidP="009B4D34">
      <w:pPr>
        <w:pStyle w:val="NormalHanging12a"/>
        <w:widowControl/>
        <w:rPr>
          <w:noProof/>
        </w:rPr>
      </w:pPr>
      <w:r w:rsidRPr="00625BCF">
        <w:t>1.</w:t>
      </w:r>
      <w:r w:rsidRPr="00625BCF">
        <w:tab/>
        <w:t>Europaparlamentet delar kommissionens åsikt att villkoren i artikel 4.2 a i EGF</w:t>
      </w:r>
      <w:r w:rsidRPr="00625BCF">
        <w:noBreakHyphen/>
        <w:t>förordningen är uppfyllda och att Belgien är berättigat till ekonomiskt stöd på 931 690 EUR enligt den förordningen, vilket utgör 85 % av de totala kostnaderna på 1 096 107 EUR, bestående av utgifter för individanpassade tjänster på 1 052 607 EUR och utgifter för förberedande åtgärder samt för förvaltning, information och marknadsföring, kontroll och rapportering på 43 500 EUR.</w:t>
      </w:r>
    </w:p>
    <w:p w14:paraId="1DAEF82E" w14:textId="0466BBAB" w:rsidR="009B4D34" w:rsidRPr="00625BCF" w:rsidRDefault="009B4D34" w:rsidP="009B4D34">
      <w:pPr>
        <w:pStyle w:val="NormalHanging12a"/>
        <w:widowControl/>
        <w:rPr>
          <w:noProof/>
        </w:rPr>
      </w:pPr>
      <w:r w:rsidRPr="00625BCF">
        <w:t>2.</w:t>
      </w:r>
      <w:r w:rsidRPr="00625BCF">
        <w:tab/>
        <w:t>Europaparlamentet noterar att de belgiska myndigheterna lämnade in ansökan den 21 februari 2025 och att kommissionen, utifrån den ytterligare information som Belgien lämnade, slutförde sin bedömning den 7 juli 2025, nästan fem månader senare, och underrättade parlamentet den 26 augusti 2025. Parlamentet betonar vikten av att förkorta tiden mellan inlämnandet av en ansökan om stöd från fonden och finansieringsbeslutet. Parlamentet understryker behovet av att förenkla och påskynda de interna förfarandena utan att undergräva den institutionella balansen, särskilt Europaparlamentets rättigheter som budgetmyndighet.</w:t>
      </w:r>
    </w:p>
    <w:p w14:paraId="5C73CCA8" w14:textId="77777777" w:rsidR="009B4D34" w:rsidRPr="00625BCF" w:rsidRDefault="009B4D34" w:rsidP="009B4D34">
      <w:pPr>
        <w:pStyle w:val="NormalHanging12a"/>
        <w:widowControl/>
        <w:rPr>
          <w:noProof/>
        </w:rPr>
      </w:pPr>
      <w:r w:rsidRPr="00625BCF">
        <w:t>3.</w:t>
      </w:r>
      <w:r w:rsidRPr="00625BCF">
        <w:tab/>
        <w:t xml:space="preserve">Europaparlamentet noterar att ansökan gäller 417 arbetstagare som blivit uppsagda av företaget </w:t>
      </w:r>
      <w:proofErr w:type="spellStart"/>
      <w:r w:rsidRPr="00625BCF">
        <w:t>BelGaN</w:t>
      </w:r>
      <w:proofErr w:type="spellEnd"/>
      <w:r w:rsidRPr="00625BCF">
        <w:t>.</w:t>
      </w:r>
    </w:p>
    <w:p w14:paraId="617F41F7" w14:textId="77777777" w:rsidR="009B4D34" w:rsidRPr="00625BCF" w:rsidRDefault="009B4D34" w:rsidP="009B4D34">
      <w:pPr>
        <w:pStyle w:val="NormalHanging12a"/>
        <w:widowControl/>
        <w:rPr>
          <w:noProof/>
        </w:rPr>
      </w:pPr>
      <w:r w:rsidRPr="00625BCF">
        <w:t>4.</w:t>
      </w:r>
      <w:r w:rsidRPr="00625BCF">
        <w:tab/>
        <w:t xml:space="preserve">Europaparlamentet påpekar att uppsägningarna i </w:t>
      </w:r>
      <w:proofErr w:type="spellStart"/>
      <w:r w:rsidRPr="00625BCF">
        <w:t>BelGaN</w:t>
      </w:r>
      <w:proofErr w:type="spellEnd"/>
      <w:r w:rsidRPr="00625BCF">
        <w:t xml:space="preserve"> ledde till att antalet arbetslösa arbetssökande i </w:t>
      </w:r>
      <w:proofErr w:type="spellStart"/>
      <w:r w:rsidRPr="00625BCF">
        <w:t>Oudenaarde</w:t>
      </w:r>
      <w:proofErr w:type="spellEnd"/>
      <w:r w:rsidRPr="00625BCF">
        <w:t xml:space="preserve"> ökade med 9 % på årsbasis. Parlamentet noterar samtidigt att antalet lediga jobb i området minskade med 22 % på grund av en betydande ökning av antalet företag som ansökt om konkurs under de senaste tre åren.</w:t>
      </w:r>
    </w:p>
    <w:p w14:paraId="6A128103" w14:textId="77777777" w:rsidR="009B4D34" w:rsidRPr="00625BCF" w:rsidRDefault="009B4D34" w:rsidP="009B4D34">
      <w:pPr>
        <w:pStyle w:val="NormalHanging12a"/>
        <w:widowControl/>
        <w:rPr>
          <w:noProof/>
        </w:rPr>
      </w:pPr>
      <w:r w:rsidRPr="00625BCF">
        <w:t>5.</w:t>
      </w:r>
      <w:r w:rsidRPr="00625BCF">
        <w:tab/>
        <w:t>Europaparlamentet påminner om att de individanpassade tjänster som kommer att erbjudas arbetstagare består av följande åtgärder: informationsmöten, omställning, utbildning och omskolning, arbetsplatsförlagd utbildning, jobbmässor, stöd vid arbetssökandet, kartläggning av jobb och jobbmatchning i syfte att göra det möjligt för arbetstagarna att komma tillbaka in på arbetsmarknaden så snart som möjligt och förse dem med den kompetens och utbildning av hög kvalitet som är relevant för potentiella arbetsgivare inom sektorn, samtidigt som deras förmåga att utveckla entreprenörsinitiativ och nya projekt främjas. Parlamentet betonar i detta sammanhang att välutbildad arbetskraft är avgörande för en framtidssäkrad europeisk ekonomi.</w:t>
      </w:r>
    </w:p>
    <w:p w14:paraId="62EC3996" w14:textId="77777777" w:rsidR="009B4D34" w:rsidRPr="00625BCF" w:rsidRDefault="009B4D34" w:rsidP="009B4D34">
      <w:pPr>
        <w:pStyle w:val="NormalHanging12a"/>
        <w:widowControl/>
        <w:rPr>
          <w:bCs/>
          <w:iCs/>
          <w:noProof/>
        </w:rPr>
      </w:pPr>
      <w:r w:rsidRPr="00625BCF">
        <w:t>6.</w:t>
      </w:r>
      <w:r w:rsidRPr="00625BCF">
        <w:tab/>
        <w:t>Europaparlamentet efterlyser omfattande slutliga utvärderingar av de genomförda åtgärderna, inbegripet uppgifter om antalet arbetstagare som framgångsrikt återintegrerats i arbetslivet och återkoppling från stödmottagarna om det tillhandahållna stödets kvalitet och relevans.</w:t>
      </w:r>
    </w:p>
    <w:p w14:paraId="1B6A261B" w14:textId="743A52A1" w:rsidR="009B4D34" w:rsidRPr="00625BCF" w:rsidRDefault="009B4D34" w:rsidP="009B4D34">
      <w:pPr>
        <w:pStyle w:val="NormalHanging12a"/>
        <w:widowControl/>
        <w:rPr>
          <w:noProof/>
        </w:rPr>
      </w:pPr>
      <w:r w:rsidRPr="00625BCF">
        <w:t>7.</w:t>
      </w:r>
      <w:r w:rsidRPr="00625BCF">
        <w:tab/>
        <w:t xml:space="preserve">Europarlamentet noterar att Belgien började tillhandahålla individanpassade tjänster till de berörda stödmottagarna den 8 augusti 2024 och att perioden för berättigande till ekonomiskt bidrag från EGF därför kommer att löpa från och med detta datum till och med 24 månader efter den dag då </w:t>
      </w:r>
      <w:r w:rsidR="00EF73DE" w:rsidRPr="00625BCF">
        <w:t xml:space="preserve">det bifogade beslutet </w:t>
      </w:r>
      <w:r w:rsidRPr="00625BCF">
        <w:t>träder i kraft.</w:t>
      </w:r>
    </w:p>
    <w:p w14:paraId="5244A1E4" w14:textId="7C80DD93" w:rsidR="009B4D34" w:rsidRPr="00625BCF" w:rsidRDefault="009B4D34" w:rsidP="009B4D34">
      <w:pPr>
        <w:pStyle w:val="NormalHanging12a"/>
        <w:widowControl/>
        <w:rPr>
          <w:noProof/>
        </w:rPr>
      </w:pPr>
      <w:r w:rsidRPr="00625BCF">
        <w:lastRenderedPageBreak/>
        <w:t>8.</w:t>
      </w:r>
      <w:r w:rsidRPr="00625BCF">
        <w:tab/>
        <w:t xml:space="preserve">Europaparlamentet noterar att Belgien började ådra sig administrativa kostnader för att genomföra EGF den 31 juli 2024, och att dessa utgifter därför ska berättiga till ekonomiskt bidrag från EGF från och med detta datum och till och med 31 månader efter den dag då </w:t>
      </w:r>
      <w:r w:rsidR="00EF73DE" w:rsidRPr="00625BCF">
        <w:t xml:space="preserve">det bifogade beslutet </w:t>
      </w:r>
      <w:r w:rsidRPr="00625BCF">
        <w:t>träder i kraft.</w:t>
      </w:r>
    </w:p>
    <w:p w14:paraId="2E0377A1" w14:textId="77777777" w:rsidR="009B4D34" w:rsidRPr="00625BCF" w:rsidRDefault="009B4D34" w:rsidP="009B4D34">
      <w:pPr>
        <w:pStyle w:val="NormalHanging12a"/>
        <w:widowControl/>
        <w:rPr>
          <w:noProof/>
        </w:rPr>
      </w:pPr>
      <w:r w:rsidRPr="00625BCF">
        <w:t>9.</w:t>
      </w:r>
      <w:r w:rsidRPr="00625BCF">
        <w:tab/>
        <w:t>Europaparlamentet betonar att de belgiska myndigheterna har bekräftat att principerna om likabehandling och icke-diskriminering kommer att respekteras när det gäller tillgången till de föreslagna åtgärderna och deras genomförande och att dubbelfinansiering kommer att förhindras.</w:t>
      </w:r>
    </w:p>
    <w:p w14:paraId="5611201F" w14:textId="76C1509A" w:rsidR="009B4D34" w:rsidRPr="00625BCF" w:rsidRDefault="009B4D34" w:rsidP="009B4D34">
      <w:pPr>
        <w:pStyle w:val="NormalHanging12a"/>
        <w:widowControl/>
        <w:rPr>
          <w:bCs/>
          <w:iCs/>
          <w:noProof/>
        </w:rPr>
      </w:pPr>
      <w:r w:rsidRPr="00625BCF">
        <w:t>10.</w:t>
      </w:r>
      <w:r w:rsidRPr="00625BCF">
        <w:tab/>
        <w:t xml:space="preserve">Europaparlamentet betonar behovet av att säkerställa ett tydligt erkännande av och synlighet för </w:t>
      </w:r>
      <w:r w:rsidR="00834B6D" w:rsidRPr="00625BCF">
        <w:t>unionens</w:t>
      </w:r>
      <w:r w:rsidRPr="00625BCF">
        <w:t xml:space="preserve"> finansiering för att belysa dess mervärde. Parlamentet efterlyser konsekvent och välriktad kommunikation med stödmottagare, regionala och lokala myndigheter, arbetsmarknadens parter, medierna och allmänheten.</w:t>
      </w:r>
    </w:p>
    <w:p w14:paraId="6A0A2DC9" w14:textId="77777777" w:rsidR="009B4D34" w:rsidRPr="00625BCF" w:rsidRDefault="009B4D34" w:rsidP="009B4D34">
      <w:pPr>
        <w:pStyle w:val="NormalHanging12a"/>
        <w:widowControl/>
        <w:rPr>
          <w:noProof/>
        </w:rPr>
      </w:pPr>
      <w:r w:rsidRPr="00625BCF">
        <w:t>11.</w:t>
      </w:r>
      <w:r w:rsidRPr="00625BCF">
        <w:tab/>
        <w:t>Europaparlamentet upprepar att bidrag från EGF inte får ersätta åtgärder som enligt nationell rätt eller kollektivavtal åligger företagen.</w:t>
      </w:r>
    </w:p>
    <w:p w14:paraId="238B60C5" w14:textId="77777777" w:rsidR="009B4D34" w:rsidRPr="00625BCF" w:rsidRDefault="009B4D34" w:rsidP="009B4D34">
      <w:pPr>
        <w:pStyle w:val="NormalHanging12a"/>
        <w:widowControl/>
        <w:rPr>
          <w:noProof/>
        </w:rPr>
      </w:pPr>
      <w:r w:rsidRPr="00625BCF">
        <w:t>12.</w:t>
      </w:r>
      <w:r w:rsidRPr="00625BCF">
        <w:tab/>
        <w:t>Europaparlamentet godkänner det bifogade beslutet.</w:t>
      </w:r>
    </w:p>
    <w:p w14:paraId="350C3CDC" w14:textId="77777777" w:rsidR="009B4D34" w:rsidRPr="00625BCF" w:rsidRDefault="009B4D34" w:rsidP="009B4D34">
      <w:pPr>
        <w:pStyle w:val="NormalHanging12a"/>
        <w:widowControl/>
        <w:rPr>
          <w:noProof/>
        </w:rPr>
      </w:pPr>
      <w:r w:rsidRPr="00625BCF">
        <w:t>13.</w:t>
      </w:r>
      <w:r w:rsidRPr="00625BCF">
        <w:tab/>
        <w:t xml:space="preserve">Europaparlamentet uppdrar åt talmannen att tillsammans med rådets ordförande underteckna beslutet och se till att det offentliggörs i </w:t>
      </w:r>
      <w:r w:rsidRPr="00625BCF">
        <w:rPr>
          <w:i/>
        </w:rPr>
        <w:t>Europeiska unionens officiella tidning</w:t>
      </w:r>
      <w:r w:rsidRPr="00625BCF">
        <w:t>.</w:t>
      </w:r>
    </w:p>
    <w:p w14:paraId="31878EDA" w14:textId="77777777" w:rsidR="009B4D34" w:rsidRPr="00625BCF" w:rsidRDefault="009B4D34" w:rsidP="009B4D34">
      <w:pPr>
        <w:pStyle w:val="NormalHanging12a"/>
        <w:widowControl/>
        <w:rPr>
          <w:noProof/>
        </w:rPr>
      </w:pPr>
      <w:r w:rsidRPr="00625BCF">
        <w:t>14.</w:t>
      </w:r>
      <w:r w:rsidRPr="00625BCF">
        <w:tab/>
        <w:t>Europaparlamentet uppdrar åt talmannen att översända denna resolution med bilaga till rådet och kommissionen.</w:t>
      </w:r>
    </w:p>
    <w:p w14:paraId="38800D40" w14:textId="77777777" w:rsidR="009B4D34" w:rsidRPr="00625BCF" w:rsidRDefault="009B4D34" w:rsidP="009B4D34">
      <w:pPr>
        <w:widowControl/>
        <w:rPr>
          <w:noProof/>
        </w:rPr>
      </w:pPr>
    </w:p>
    <w:p w14:paraId="238911BD" w14:textId="77777777" w:rsidR="009B4D34" w:rsidRPr="00625BCF" w:rsidRDefault="009B4D34" w:rsidP="009B4D34">
      <w:pPr>
        <w:widowControl/>
        <w:rPr>
          <w:rFonts w:ascii="Arial" w:hAnsi="Arial" w:cs="Arial"/>
          <w:b/>
          <w:noProof/>
        </w:rPr>
      </w:pPr>
      <w:r w:rsidRPr="00625BCF">
        <w:br w:type="page"/>
      </w:r>
    </w:p>
    <w:p w14:paraId="5C7A500F" w14:textId="77777777" w:rsidR="009B4D34" w:rsidRPr="00625BCF" w:rsidRDefault="009B4D34" w:rsidP="009B4D34">
      <w:pPr>
        <w:widowControl/>
        <w:rPr>
          <w:rFonts w:ascii="Arial" w:hAnsi="Arial" w:cs="Arial"/>
          <w:b/>
          <w:noProof/>
        </w:rPr>
        <w:sectPr w:rsidR="009B4D34" w:rsidRPr="00625BCF" w:rsidSect="00374E89">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59F4178E" w14:textId="77777777" w:rsidR="00C50B19" w:rsidRDefault="009B4D34" w:rsidP="009B4D34">
      <w:pPr>
        <w:pStyle w:val="PageHeading"/>
        <w:widowControl/>
      </w:pPr>
      <w:bookmarkStart w:id="8" w:name="_Toc206749163"/>
      <w:bookmarkStart w:id="9" w:name="_Toc209684381"/>
      <w:bookmarkStart w:id="10" w:name="_Toc210296420"/>
      <w:r w:rsidRPr="00625BCF">
        <w:lastRenderedPageBreak/>
        <w:t>BILAGA</w:t>
      </w:r>
    </w:p>
    <w:p w14:paraId="5B5E2577" w14:textId="68F35440" w:rsidR="009B4D34" w:rsidRPr="00625BCF" w:rsidRDefault="009B4D34" w:rsidP="009B4D34">
      <w:pPr>
        <w:pStyle w:val="PageHeading"/>
        <w:widowControl/>
        <w:rPr>
          <w:noProof/>
        </w:rPr>
      </w:pPr>
      <w:r w:rsidRPr="00625BCF">
        <w:t>EUROPAPARLAMENTETS OCH RÅDETS BESLUT</w:t>
      </w:r>
      <w:bookmarkEnd w:id="8"/>
      <w:bookmarkEnd w:id="9"/>
      <w:bookmarkEnd w:id="10"/>
    </w:p>
    <w:p w14:paraId="45D03426" w14:textId="77777777" w:rsidR="009B4D34" w:rsidRDefault="009B4D34" w:rsidP="009B4D34">
      <w:pPr>
        <w:pStyle w:val="NormalBold24a"/>
        <w:widowControl/>
      </w:pPr>
      <w:r w:rsidRPr="00625BCF">
        <w:t>om utnyttjande av Europeiska fonden för justering för globaliseringseffekter för uppsagda arbetstagare efter en ansökan från Belgien – EGF/2025/001 BE/</w:t>
      </w:r>
      <w:proofErr w:type="spellStart"/>
      <w:r w:rsidRPr="00625BCF">
        <w:t>BelGaN</w:t>
      </w:r>
      <w:proofErr w:type="spellEnd"/>
    </w:p>
    <w:p w14:paraId="7C29FA5F" w14:textId="20DE3ABB" w:rsidR="00C50B19" w:rsidRPr="00C50B19" w:rsidRDefault="00C50B19" w:rsidP="00C50B19">
      <w:pPr>
        <w:widowControl/>
        <w:jc w:val="both"/>
        <w:rPr>
          <w:rFonts w:eastAsia="Calibri"/>
          <w:i/>
          <w:szCs w:val="24"/>
          <w:lang w:eastAsia="en-US"/>
        </w:rPr>
      </w:pPr>
      <w:r w:rsidRPr="00C50B19">
        <w:rPr>
          <w:rFonts w:eastAsia="Calibri"/>
          <w:i/>
          <w:szCs w:val="24"/>
          <w:lang w:eastAsia="en-US"/>
        </w:rPr>
        <w:t xml:space="preserve">(Texten till denna bilaga återges inte här eftersom den motsvaras av den slutliga rättsakten, beslut (EU) </w:t>
      </w:r>
      <w:r>
        <w:rPr>
          <w:rFonts w:eastAsia="Calibri"/>
          <w:i/>
          <w:szCs w:val="24"/>
          <w:lang w:eastAsia="en-US"/>
        </w:rPr>
        <w:t>2025</w:t>
      </w:r>
      <w:r w:rsidRPr="00C50B19">
        <w:rPr>
          <w:rFonts w:eastAsia="Calibri"/>
          <w:i/>
          <w:szCs w:val="24"/>
          <w:lang w:eastAsia="en-US"/>
        </w:rPr>
        <w:t>/</w:t>
      </w:r>
      <w:r>
        <w:rPr>
          <w:rFonts w:eastAsia="Calibri"/>
          <w:i/>
          <w:szCs w:val="24"/>
          <w:lang w:eastAsia="en-US"/>
        </w:rPr>
        <w:t>2133</w:t>
      </w:r>
      <w:r w:rsidRPr="00C50B19">
        <w:rPr>
          <w:rFonts w:eastAsia="Calibri"/>
          <w:i/>
          <w:szCs w:val="24"/>
          <w:lang w:eastAsia="en-US"/>
        </w:rPr>
        <w:t>.)</w:t>
      </w:r>
    </w:p>
    <w:p w14:paraId="08013CA4" w14:textId="77777777" w:rsidR="00C50B19" w:rsidRPr="00625BCF" w:rsidRDefault="00C50B19" w:rsidP="009B4D34">
      <w:pPr>
        <w:pStyle w:val="NormalBold24a"/>
        <w:widowControl/>
      </w:pPr>
    </w:p>
    <w:sectPr w:rsidR="00C50B19" w:rsidRPr="00625BCF" w:rsidSect="00374E8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EE038" w14:textId="77777777" w:rsidR="00F5566F" w:rsidRPr="00374E89" w:rsidRDefault="00F5566F">
      <w:r w:rsidRPr="00374E89">
        <w:separator/>
      </w:r>
    </w:p>
  </w:endnote>
  <w:endnote w:type="continuationSeparator" w:id="0">
    <w:p w14:paraId="346BBD0F" w14:textId="77777777" w:rsidR="00F5566F" w:rsidRPr="00374E89" w:rsidRDefault="00F5566F">
      <w:r w:rsidRPr="00374E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71F95" w14:textId="77777777" w:rsidR="009B4D34" w:rsidRPr="00374E89" w:rsidRDefault="009B4D34" w:rsidP="003B62E7">
    <w:pPr>
      <w:pStyle w:val="EPFooter"/>
    </w:pPr>
    <w:r w:rsidRPr="00374E89">
      <w:t>PE</w:t>
    </w:r>
    <w:r w:rsidRPr="00374E89">
      <w:rPr>
        <w:rStyle w:val="HideTWBExt"/>
      </w:rPr>
      <w:t>&lt;NoPE&gt;</w:t>
    </w:r>
    <w:r w:rsidRPr="00374E89">
      <w:t>776.825</w:t>
    </w:r>
    <w:r w:rsidRPr="00374E89">
      <w:rPr>
        <w:rStyle w:val="HideTWBExt"/>
      </w:rPr>
      <w:t>&lt;/NoPE&gt;&lt;Version&gt;</w:t>
    </w:r>
    <w:r w:rsidRPr="00374E89">
      <w:t>v02-00</w:t>
    </w:r>
    <w:r w:rsidRPr="00374E89">
      <w:rPr>
        <w:rStyle w:val="HideTWBExt"/>
      </w:rPr>
      <w:t>&lt;/Version&gt;</w:t>
    </w:r>
    <w:r w:rsidRPr="00374E89">
      <w:tab/>
    </w:r>
    <w:r w:rsidRPr="00374E89">
      <w:fldChar w:fldCharType="begin"/>
    </w:r>
    <w:r w:rsidRPr="00374E89">
      <w:instrText xml:space="preserve"> PAGE  \* MERGEFORMAT </w:instrText>
    </w:r>
    <w:r w:rsidRPr="00374E89">
      <w:fldChar w:fldCharType="separate"/>
    </w:r>
    <w:r w:rsidRPr="00374E89">
      <w:rPr>
        <w:noProof/>
      </w:rPr>
      <w:t>1</w:t>
    </w:r>
    <w:r w:rsidRPr="00374E89">
      <w:fldChar w:fldCharType="end"/>
    </w:r>
    <w:r w:rsidRPr="00374E89">
      <w:t>/</w:t>
    </w:r>
    <w:fldSimple w:instr=" NUMPAGES  \* MERGEFORMAT ">
      <w:r w:rsidRPr="00374E89">
        <w:rPr>
          <w:noProof/>
        </w:rPr>
        <w:t>1</w:t>
      </w:r>
    </w:fldSimple>
    <w:r w:rsidRPr="00374E89">
      <w:tab/>
    </w:r>
    <w:r w:rsidRPr="00374E89">
      <w:rPr>
        <w:rStyle w:val="HideTWBExt"/>
      </w:rPr>
      <w:t>&lt;PathFdR&gt;</w:t>
    </w:r>
    <w:r w:rsidRPr="00374E89">
      <w:t>RR\1328419SV.docx</w:t>
    </w:r>
    <w:r w:rsidRPr="00374E89">
      <w:rPr>
        <w:rStyle w:val="HideTWBExt"/>
      </w:rPr>
      <w:t>&lt;/PathFdR&gt;</w:t>
    </w:r>
  </w:p>
  <w:p w14:paraId="1B0372D8" w14:textId="77777777" w:rsidR="009B4D34" w:rsidRPr="00374E89" w:rsidRDefault="009B4D34" w:rsidP="003B62E7">
    <w:pPr>
      <w:pStyle w:val="EPFooter2"/>
    </w:pPr>
    <w:r w:rsidRPr="00374E89">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DBC5" w14:textId="77777777" w:rsidR="009B4D34" w:rsidRPr="00374E89" w:rsidRDefault="009B4D34" w:rsidP="003B62E7">
    <w:pPr>
      <w:pStyle w:val="EPFooter"/>
    </w:pPr>
    <w:r w:rsidRPr="00374E89">
      <w:rPr>
        <w:rStyle w:val="HideTWBExt"/>
      </w:rPr>
      <w:t>&lt;PathFdR&gt;</w:t>
    </w:r>
    <w:r w:rsidRPr="00374E89">
      <w:t>RR\1328419SV.docx</w:t>
    </w:r>
    <w:r w:rsidRPr="00374E89">
      <w:rPr>
        <w:rStyle w:val="HideTWBExt"/>
      </w:rPr>
      <w:t>&lt;/PathFdR&gt;</w:t>
    </w:r>
    <w:r w:rsidRPr="00374E89">
      <w:tab/>
    </w:r>
    <w:r w:rsidRPr="00374E89">
      <w:tab/>
      <w:t>PE</w:t>
    </w:r>
    <w:r w:rsidRPr="00374E89">
      <w:rPr>
        <w:rStyle w:val="HideTWBExt"/>
      </w:rPr>
      <w:t>&lt;NoPE&gt;</w:t>
    </w:r>
    <w:r w:rsidRPr="00374E89">
      <w:t>776.825</w:t>
    </w:r>
    <w:r w:rsidRPr="00374E89">
      <w:rPr>
        <w:rStyle w:val="HideTWBExt"/>
      </w:rPr>
      <w:t>&lt;/NoPE&gt;&lt;Version&gt;</w:t>
    </w:r>
    <w:r w:rsidRPr="00374E89">
      <w:t>v02-00</w:t>
    </w:r>
    <w:r w:rsidRPr="00374E89">
      <w:rPr>
        <w:rStyle w:val="HideTWBExt"/>
      </w:rPr>
      <w:t>&lt;/Version&gt;</w:t>
    </w:r>
  </w:p>
  <w:p w14:paraId="193DDE86" w14:textId="77777777" w:rsidR="009B4D34" w:rsidRPr="00374E89" w:rsidRDefault="009B4D34" w:rsidP="003B62E7">
    <w:pPr>
      <w:pStyle w:val="EPFooter2"/>
    </w:pPr>
    <w:r w:rsidRPr="00374E89">
      <w:t>SV</w:t>
    </w:r>
    <w:r w:rsidRPr="00374E89">
      <w:tab/>
    </w:r>
    <w:r w:rsidRPr="00374E89">
      <w:rPr>
        <w:b w:val="0"/>
        <w:i/>
        <w:color w:val="C0C0C0"/>
        <w:sz w:val="22"/>
      </w:rPr>
      <w:t>Förenade i mångfalden</w:t>
    </w:r>
    <w:r w:rsidRPr="00374E89">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B60E0" w14:textId="77777777" w:rsidR="00064002" w:rsidRPr="00374E8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9E9D" w14:textId="77777777" w:rsidR="00064002" w:rsidRPr="00374E8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CC594" w14:textId="77777777" w:rsidR="00064002" w:rsidRPr="00374E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3EB46" w14:textId="77777777" w:rsidR="00F5566F" w:rsidRPr="00374E89" w:rsidRDefault="00F5566F">
      <w:r w:rsidRPr="00374E89">
        <w:separator/>
      </w:r>
    </w:p>
  </w:footnote>
  <w:footnote w:type="continuationSeparator" w:id="0">
    <w:p w14:paraId="1C997B81" w14:textId="77777777" w:rsidR="00F5566F" w:rsidRPr="00374E89" w:rsidRDefault="00F5566F">
      <w:r w:rsidRPr="00374E89">
        <w:continuationSeparator/>
      </w:r>
    </w:p>
  </w:footnote>
  <w:footnote w:id="1">
    <w:p w14:paraId="39C1A47A" w14:textId="65ED69C5" w:rsidR="009B4D34" w:rsidRPr="00625BCF" w:rsidRDefault="009B4D34" w:rsidP="00374E89">
      <w:pPr>
        <w:pStyle w:val="FootnoteText"/>
        <w:ind w:left="567" w:hanging="567"/>
        <w:rPr>
          <w:sz w:val="24"/>
          <w:lang w:val="fi-FI"/>
        </w:rPr>
      </w:pPr>
      <w:r w:rsidRPr="00625BCF">
        <w:rPr>
          <w:rStyle w:val="FootnoteReference"/>
          <w:sz w:val="24"/>
          <w:lang w:val="sv-SE"/>
        </w:rPr>
        <w:footnoteRef/>
      </w:r>
      <w:r w:rsidR="00374E89" w:rsidRPr="00625BCF">
        <w:rPr>
          <w:sz w:val="24"/>
          <w:lang w:val="fi-FI"/>
        </w:rPr>
        <w:t xml:space="preserve"> </w:t>
      </w:r>
      <w:r w:rsidR="00374E89" w:rsidRPr="00625BCF">
        <w:rPr>
          <w:sz w:val="24"/>
          <w:lang w:val="fi-FI"/>
        </w:rPr>
        <w:tab/>
      </w:r>
      <w:r w:rsidRPr="00625BCF">
        <w:rPr>
          <w:sz w:val="24"/>
          <w:lang w:val="fi-FI"/>
        </w:rPr>
        <w:t xml:space="preserve">EUT L 153, 3.5.2021, s. 48, ELI: </w:t>
      </w:r>
      <w:hyperlink r:id="rId1" w:history="1">
        <w:r w:rsidRPr="00625BCF">
          <w:rPr>
            <w:rStyle w:val="Hyperlink"/>
            <w:sz w:val="24"/>
            <w:lang w:val="fi-FI"/>
          </w:rPr>
          <w:t>http://data.europa.eu/eli/reg/2021/691/oj</w:t>
        </w:r>
      </w:hyperlink>
      <w:r w:rsidRPr="00625BCF">
        <w:rPr>
          <w:sz w:val="24"/>
          <w:lang w:val="fi-FI"/>
        </w:rPr>
        <w:t>.</w:t>
      </w:r>
    </w:p>
  </w:footnote>
  <w:footnote w:id="2">
    <w:p w14:paraId="54CFA753" w14:textId="776BB87F" w:rsidR="009B4D34" w:rsidRPr="00625BCF" w:rsidRDefault="009B4D34" w:rsidP="00374E89">
      <w:pPr>
        <w:pStyle w:val="FootnoteText"/>
        <w:ind w:left="567" w:hanging="567"/>
        <w:rPr>
          <w:sz w:val="24"/>
          <w:lang w:val="fi-FI"/>
        </w:rPr>
      </w:pPr>
      <w:r w:rsidRPr="00625BCF">
        <w:rPr>
          <w:rStyle w:val="FootnoteReference"/>
          <w:sz w:val="24"/>
          <w:lang w:val="sv-SE"/>
        </w:rPr>
        <w:footnoteRef/>
      </w:r>
      <w:r w:rsidR="00374E89" w:rsidRPr="00625BCF">
        <w:rPr>
          <w:sz w:val="24"/>
          <w:lang w:val="fi-FI"/>
        </w:rPr>
        <w:t xml:space="preserve"> </w:t>
      </w:r>
      <w:r w:rsidR="00374E89" w:rsidRPr="00625BCF">
        <w:rPr>
          <w:sz w:val="24"/>
          <w:lang w:val="fi-FI"/>
        </w:rPr>
        <w:tab/>
      </w:r>
      <w:r w:rsidRPr="00625BCF">
        <w:rPr>
          <w:sz w:val="24"/>
          <w:lang w:val="fi-FI"/>
        </w:rPr>
        <w:t>EUT L 433</w:t>
      </w:r>
      <w:r w:rsidR="00AC7CE4" w:rsidRPr="00625BCF">
        <w:rPr>
          <w:sz w:val="24"/>
          <w:lang w:val="fi-FI"/>
        </w:rPr>
        <w:t xml:space="preserve"> I</w:t>
      </w:r>
      <w:r w:rsidRPr="00625BCF">
        <w:rPr>
          <w:sz w:val="24"/>
          <w:lang w:val="fi-FI"/>
        </w:rPr>
        <w:t xml:space="preserve">, 22.12.2020, s. 11, ELI: </w:t>
      </w:r>
      <w:hyperlink r:id="rId2" w:history="1">
        <w:r w:rsidRPr="00625BCF">
          <w:rPr>
            <w:rStyle w:val="Hyperlink"/>
            <w:sz w:val="24"/>
            <w:lang w:val="fi-FI"/>
          </w:rPr>
          <w:t>http://data.europa.eu/eli/reg/2020/2093/oj</w:t>
        </w:r>
      </w:hyperlink>
      <w:r w:rsidRPr="00625BCF">
        <w:rPr>
          <w:sz w:val="24"/>
          <w:lang w:val="fi-FI"/>
        </w:rPr>
        <w:t>.</w:t>
      </w:r>
    </w:p>
  </w:footnote>
  <w:footnote w:id="3">
    <w:p w14:paraId="3D52EE2C" w14:textId="61A744BD" w:rsidR="009B4D34" w:rsidRPr="00625BCF" w:rsidRDefault="009B4D34" w:rsidP="00374E89">
      <w:pPr>
        <w:pStyle w:val="FootnoteText"/>
        <w:ind w:left="567" w:hanging="567"/>
        <w:rPr>
          <w:sz w:val="24"/>
          <w:lang w:val="sv-SE"/>
        </w:rPr>
      </w:pPr>
      <w:r w:rsidRPr="00625BCF">
        <w:rPr>
          <w:rStyle w:val="FootnoteReference"/>
          <w:sz w:val="24"/>
          <w:lang w:val="sv-SE"/>
        </w:rPr>
        <w:footnoteRef/>
      </w:r>
      <w:r w:rsidR="00374E89" w:rsidRPr="00625BCF">
        <w:rPr>
          <w:sz w:val="24"/>
          <w:lang w:val="sv-SE"/>
        </w:rPr>
        <w:t xml:space="preserve"> </w:t>
      </w:r>
      <w:r w:rsidR="00374E89" w:rsidRPr="00625BCF">
        <w:rPr>
          <w:sz w:val="24"/>
          <w:lang w:val="sv-SE"/>
        </w:rPr>
        <w:tab/>
      </w:r>
      <w:r w:rsidRPr="00625BCF">
        <w:rPr>
          <w:sz w:val="24"/>
          <w:lang w:val="sv-SE"/>
        </w:rPr>
        <w:t>Rådets förordning (EU, Euratom) 2024/765 av den 29 februari 2024 om ändring av förordning (EU, Euratom) 2020/2093 om den fleråriga budgetramen 2021–2027 (EUT L</w:t>
      </w:r>
      <w:r w:rsidR="00666930">
        <w:rPr>
          <w:sz w:val="24"/>
          <w:lang w:val="sv-SE"/>
        </w:rPr>
        <w:t>,</w:t>
      </w:r>
      <w:r w:rsidRPr="00625BCF">
        <w:rPr>
          <w:sz w:val="24"/>
          <w:lang w:val="sv-SE"/>
        </w:rPr>
        <w:t xml:space="preserve"> 2024/765, 29.2.2024, ELI: </w:t>
      </w:r>
      <w:hyperlink r:id="rId3" w:history="1">
        <w:r w:rsidRPr="00625BCF">
          <w:rPr>
            <w:rStyle w:val="Hyperlink"/>
            <w:sz w:val="24"/>
            <w:lang w:val="sv-SE"/>
          </w:rPr>
          <w:t>http://data.europa.eu/eli/reg/2024/765/oj</w:t>
        </w:r>
      </w:hyperlink>
      <w:r w:rsidRPr="00625BCF">
        <w:rPr>
          <w:sz w:val="24"/>
          <w:lang w:val="sv-SE"/>
        </w:rPr>
        <w:t>).</w:t>
      </w:r>
    </w:p>
  </w:footnote>
  <w:footnote w:id="4">
    <w:p w14:paraId="3187F1B7" w14:textId="3F297490" w:rsidR="009B4D34" w:rsidRPr="00625BCF" w:rsidRDefault="009B4D34" w:rsidP="00374E89">
      <w:pPr>
        <w:pStyle w:val="FootnoteText"/>
        <w:ind w:left="567" w:hanging="567"/>
        <w:rPr>
          <w:sz w:val="24"/>
          <w:lang w:val="fi-FI"/>
        </w:rPr>
      </w:pPr>
      <w:r w:rsidRPr="00625BCF">
        <w:rPr>
          <w:rStyle w:val="FootnoteReference"/>
          <w:sz w:val="24"/>
          <w:lang w:val="sv-SE"/>
        </w:rPr>
        <w:footnoteRef/>
      </w:r>
      <w:r w:rsidR="00374E89" w:rsidRPr="00625BCF">
        <w:rPr>
          <w:sz w:val="24"/>
          <w:lang w:val="fi-FI"/>
        </w:rPr>
        <w:t xml:space="preserve"> </w:t>
      </w:r>
      <w:r w:rsidR="00374E89" w:rsidRPr="00625BCF">
        <w:rPr>
          <w:sz w:val="24"/>
          <w:lang w:val="fi-FI"/>
        </w:rPr>
        <w:tab/>
      </w:r>
      <w:r w:rsidRPr="00625BCF">
        <w:rPr>
          <w:sz w:val="24"/>
          <w:lang w:val="fi-FI"/>
        </w:rPr>
        <w:t xml:space="preserve">EUT L 433 I, 22.12.2020, s. 28, ELI: </w:t>
      </w:r>
      <w:hyperlink r:id="rId4" w:history="1">
        <w:r w:rsidRPr="00625BCF">
          <w:rPr>
            <w:rStyle w:val="Hyperlink"/>
            <w:sz w:val="24"/>
            <w:lang w:val="fi-FI"/>
          </w:rPr>
          <w:t>http://data.europa.eu/eli/agree_interinstit/2020/1222/oj</w:t>
        </w:r>
      </w:hyperlink>
      <w:r w:rsidRPr="00625BCF">
        <w:rPr>
          <w:sz w:val="24"/>
          <w:lang w:val="fi-FI"/>
        </w:rPr>
        <w:t>.</w:t>
      </w:r>
    </w:p>
  </w:footnote>
  <w:footnote w:id="5">
    <w:p w14:paraId="4750CA41" w14:textId="0D079852" w:rsidR="009B4D34" w:rsidRPr="00625BCF" w:rsidRDefault="009B4D34" w:rsidP="00374E89">
      <w:pPr>
        <w:pStyle w:val="FootnoteText"/>
        <w:ind w:left="567" w:hanging="567"/>
        <w:rPr>
          <w:sz w:val="24"/>
          <w:lang w:val="nl-NL"/>
        </w:rPr>
      </w:pPr>
      <w:r w:rsidRPr="00625BCF">
        <w:rPr>
          <w:rStyle w:val="FootnoteReference"/>
          <w:sz w:val="24"/>
          <w:lang w:val="sv-SE"/>
        </w:rPr>
        <w:footnoteRef/>
      </w:r>
      <w:r w:rsidR="00374E89" w:rsidRPr="00625BCF">
        <w:rPr>
          <w:sz w:val="24"/>
          <w:lang w:val="nl-NL"/>
        </w:rPr>
        <w:t xml:space="preserve"> </w:t>
      </w:r>
      <w:r w:rsidR="00374E89" w:rsidRPr="00625BCF">
        <w:rPr>
          <w:sz w:val="24"/>
          <w:lang w:val="nl-NL"/>
        </w:rPr>
        <w:tab/>
      </w:r>
      <w:r w:rsidRPr="00625BCF">
        <w:rPr>
          <w:sz w:val="24"/>
          <w:lang w:val="nl-NL"/>
        </w:rPr>
        <w:t>Vlaamse Dienst voor Arbeidsbemiddeling en Beroepsopleiding.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BD370" w14:textId="77777777" w:rsidR="00064002" w:rsidRPr="00374E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A6A66" w14:textId="77777777" w:rsidR="00064002" w:rsidRPr="00374E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480F0" w14:textId="77777777" w:rsidR="00064002" w:rsidRPr="00374E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6314389">
    <w:abstractNumId w:val="9"/>
  </w:num>
  <w:num w:numId="2" w16cid:durableId="91706550">
    <w:abstractNumId w:val="9"/>
  </w:num>
  <w:num w:numId="3" w16cid:durableId="1652439029">
    <w:abstractNumId w:val="7"/>
  </w:num>
  <w:num w:numId="4" w16cid:durableId="699014215">
    <w:abstractNumId w:val="7"/>
  </w:num>
  <w:num w:numId="5" w16cid:durableId="1818645232">
    <w:abstractNumId w:val="6"/>
  </w:num>
  <w:num w:numId="6" w16cid:durableId="919169683">
    <w:abstractNumId w:val="6"/>
  </w:num>
  <w:num w:numId="7" w16cid:durableId="400057613">
    <w:abstractNumId w:val="5"/>
  </w:num>
  <w:num w:numId="8" w16cid:durableId="1155799901">
    <w:abstractNumId w:val="5"/>
  </w:num>
  <w:num w:numId="9" w16cid:durableId="1587425241">
    <w:abstractNumId w:val="4"/>
  </w:num>
  <w:num w:numId="10" w16cid:durableId="289553549">
    <w:abstractNumId w:val="4"/>
  </w:num>
  <w:num w:numId="11" w16cid:durableId="1949459469">
    <w:abstractNumId w:val="8"/>
  </w:num>
  <w:num w:numId="12" w16cid:durableId="456990951">
    <w:abstractNumId w:val="8"/>
  </w:num>
  <w:num w:numId="13" w16cid:durableId="1148789868">
    <w:abstractNumId w:val="3"/>
  </w:num>
  <w:num w:numId="14" w16cid:durableId="1133524340">
    <w:abstractNumId w:val="3"/>
  </w:num>
  <w:num w:numId="15" w16cid:durableId="1661469777">
    <w:abstractNumId w:val="2"/>
  </w:num>
  <w:num w:numId="16" w16cid:durableId="1466502688">
    <w:abstractNumId w:val="2"/>
  </w:num>
  <w:num w:numId="17" w16cid:durableId="151794387">
    <w:abstractNumId w:val="1"/>
  </w:num>
  <w:num w:numId="18" w16cid:durableId="1265646347">
    <w:abstractNumId w:val="1"/>
  </w:num>
  <w:num w:numId="19" w16cid:durableId="1568297379">
    <w:abstractNumId w:val="0"/>
  </w:num>
  <w:num w:numId="20" w16cid:durableId="1353916278">
    <w:abstractNumId w:val="0"/>
  </w:num>
  <w:num w:numId="21" w16cid:durableId="1854761444">
    <w:abstractNumId w:val="9"/>
  </w:num>
  <w:num w:numId="22" w16cid:durableId="2144616556">
    <w:abstractNumId w:val="7"/>
  </w:num>
  <w:num w:numId="23" w16cid:durableId="414936357">
    <w:abstractNumId w:val="6"/>
  </w:num>
  <w:num w:numId="24" w16cid:durableId="1012344485">
    <w:abstractNumId w:val="5"/>
  </w:num>
  <w:num w:numId="25" w16cid:durableId="1754626281">
    <w:abstractNumId w:val="4"/>
  </w:num>
  <w:num w:numId="26" w16cid:durableId="47186794">
    <w:abstractNumId w:val="8"/>
  </w:num>
  <w:num w:numId="27" w16cid:durableId="878664216">
    <w:abstractNumId w:val="3"/>
  </w:num>
  <w:num w:numId="28" w16cid:durableId="217471340">
    <w:abstractNumId w:val="2"/>
  </w:num>
  <w:num w:numId="29" w16cid:durableId="1952542973">
    <w:abstractNumId w:val="1"/>
  </w:num>
  <w:num w:numId="30" w16cid:durableId="345059370">
    <w:abstractNumId w:val="0"/>
  </w:num>
  <w:num w:numId="31" w16cid:durableId="1907493199">
    <w:abstractNumId w:val="9"/>
  </w:num>
  <w:num w:numId="32" w16cid:durableId="1431271275">
    <w:abstractNumId w:val="7"/>
  </w:num>
  <w:num w:numId="33" w16cid:durableId="1905141346">
    <w:abstractNumId w:val="6"/>
  </w:num>
  <w:num w:numId="34" w16cid:durableId="580531750">
    <w:abstractNumId w:val="5"/>
  </w:num>
  <w:num w:numId="35" w16cid:durableId="1991639635">
    <w:abstractNumId w:val="4"/>
  </w:num>
  <w:num w:numId="36" w16cid:durableId="1262177894">
    <w:abstractNumId w:val="8"/>
  </w:num>
  <w:num w:numId="37" w16cid:durableId="1599371097">
    <w:abstractNumId w:val="3"/>
  </w:num>
  <w:num w:numId="38" w16cid:durableId="2031907215">
    <w:abstractNumId w:val="2"/>
  </w:num>
  <w:num w:numId="39" w16cid:durableId="1279146935">
    <w:abstractNumId w:val="1"/>
  </w:num>
  <w:num w:numId="40" w16cid:durableId="109590683">
    <w:abstractNumId w:val="0"/>
  </w:num>
  <w:num w:numId="41" w16cid:durableId="1468232373">
    <w:abstractNumId w:val="10"/>
  </w:num>
  <w:num w:numId="42" w16cid:durableId="1343976244">
    <w:abstractNumId w:val="10"/>
  </w:num>
  <w:num w:numId="43" w16cid:durableId="928388580">
    <w:abstractNumId w:val="10"/>
  </w:num>
  <w:num w:numId="44" w16cid:durableId="4335495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SV"/>
    <w:docVar w:name="dvnumam" w:val="0"/>
    <w:docVar w:name="dvpe" w:val="776.825"/>
    <w:docVar w:name="dvrapporteur" w:val="Föredragande: "/>
    <w:docVar w:name="dvtitre" w:val="Europaparlamentets resolution av den xx xx 2025 om förslaget till Europaparlamentets och rådets beslut om utnyttjande av Europeiska fonden för justering för globaliseringseffekter för uppsagda arbetstagare efter en ansökan från Belgien – EGF/2025/001 BE/BelGaN(COM(2025)0157 – C10-0188/2025 – 2025/0198(BUD))"/>
  </w:docVars>
  <w:rsids>
    <w:rsidRoot w:val="00F5566F"/>
    <w:rsid w:val="00002272"/>
    <w:rsid w:val="00013180"/>
    <w:rsid w:val="00064002"/>
    <w:rsid w:val="000677B9"/>
    <w:rsid w:val="000831BA"/>
    <w:rsid w:val="000A42CC"/>
    <w:rsid w:val="000A56DF"/>
    <w:rsid w:val="000E7DD9"/>
    <w:rsid w:val="0010095E"/>
    <w:rsid w:val="00125B37"/>
    <w:rsid w:val="00136500"/>
    <w:rsid w:val="00187494"/>
    <w:rsid w:val="001F32AE"/>
    <w:rsid w:val="002651FF"/>
    <w:rsid w:val="002767FF"/>
    <w:rsid w:val="002B18FE"/>
    <w:rsid w:val="002B5493"/>
    <w:rsid w:val="00343214"/>
    <w:rsid w:val="00361C00"/>
    <w:rsid w:val="00374E89"/>
    <w:rsid w:val="00395FA1"/>
    <w:rsid w:val="003E15D4"/>
    <w:rsid w:val="0040694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5BCF"/>
    <w:rsid w:val="006631B6"/>
    <w:rsid w:val="00666930"/>
    <w:rsid w:val="00680577"/>
    <w:rsid w:val="006F74FA"/>
    <w:rsid w:val="00731ADD"/>
    <w:rsid w:val="00734777"/>
    <w:rsid w:val="00747932"/>
    <w:rsid w:val="00751A4A"/>
    <w:rsid w:val="00756632"/>
    <w:rsid w:val="00762C74"/>
    <w:rsid w:val="00786EC0"/>
    <w:rsid w:val="00796E33"/>
    <w:rsid w:val="007D1690"/>
    <w:rsid w:val="007E22AD"/>
    <w:rsid w:val="00817416"/>
    <w:rsid w:val="00834B6D"/>
    <w:rsid w:val="00842779"/>
    <w:rsid w:val="00854399"/>
    <w:rsid w:val="0085799C"/>
    <w:rsid w:val="00865F67"/>
    <w:rsid w:val="00881A7B"/>
    <w:rsid w:val="008840E5"/>
    <w:rsid w:val="00887B3E"/>
    <w:rsid w:val="008C2AC6"/>
    <w:rsid w:val="008C798D"/>
    <w:rsid w:val="00930C23"/>
    <w:rsid w:val="0093193B"/>
    <w:rsid w:val="009509D8"/>
    <w:rsid w:val="00950B64"/>
    <w:rsid w:val="00981893"/>
    <w:rsid w:val="009B4D34"/>
    <w:rsid w:val="009D46F2"/>
    <w:rsid w:val="009E644B"/>
    <w:rsid w:val="00A1687D"/>
    <w:rsid w:val="00A43E52"/>
    <w:rsid w:val="00A4678D"/>
    <w:rsid w:val="00A778C7"/>
    <w:rsid w:val="00A916B1"/>
    <w:rsid w:val="00AB441E"/>
    <w:rsid w:val="00AB6293"/>
    <w:rsid w:val="00AC7CE4"/>
    <w:rsid w:val="00AE0928"/>
    <w:rsid w:val="00AF3B82"/>
    <w:rsid w:val="00B12E95"/>
    <w:rsid w:val="00B22876"/>
    <w:rsid w:val="00B558F0"/>
    <w:rsid w:val="00BD48FE"/>
    <w:rsid w:val="00BD5EA1"/>
    <w:rsid w:val="00BD7BD8"/>
    <w:rsid w:val="00BE0443"/>
    <w:rsid w:val="00BE6ADC"/>
    <w:rsid w:val="00C05BFE"/>
    <w:rsid w:val="00C23CD4"/>
    <w:rsid w:val="00C50B19"/>
    <w:rsid w:val="00C61C0C"/>
    <w:rsid w:val="00C941CB"/>
    <w:rsid w:val="00CC2357"/>
    <w:rsid w:val="00CF071A"/>
    <w:rsid w:val="00D058B8"/>
    <w:rsid w:val="00D17B93"/>
    <w:rsid w:val="00D56C11"/>
    <w:rsid w:val="00D65BC7"/>
    <w:rsid w:val="00D834A0"/>
    <w:rsid w:val="00D872DF"/>
    <w:rsid w:val="00D91E21"/>
    <w:rsid w:val="00DA3A34"/>
    <w:rsid w:val="00DA7FCD"/>
    <w:rsid w:val="00E365E1"/>
    <w:rsid w:val="00E820A4"/>
    <w:rsid w:val="00EB006A"/>
    <w:rsid w:val="00EB4772"/>
    <w:rsid w:val="00ED169E"/>
    <w:rsid w:val="00ED4235"/>
    <w:rsid w:val="00EF73DE"/>
    <w:rsid w:val="00F04346"/>
    <w:rsid w:val="00F075DC"/>
    <w:rsid w:val="00F149E9"/>
    <w:rsid w:val="00F5134D"/>
    <w:rsid w:val="00F5566F"/>
    <w:rsid w:val="00F74202"/>
    <w:rsid w:val="00F87713"/>
    <w:rsid w:val="00FB4360"/>
    <w:rsid w:val="00FB573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B78C4"/>
  <w15:chartTrackingRefBased/>
  <w15:docId w15:val="{B51F06AD-6578-4B1D-AA86-C42BC8B26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B4D3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B4D34"/>
    <w:pPr>
      <w:keepNext/>
      <w:spacing w:after="480"/>
      <w:jc w:val="center"/>
    </w:pPr>
    <w:rPr>
      <w:rFonts w:ascii="Arial" w:hAnsi="Arial" w:cs="Arial"/>
      <w:b/>
    </w:rPr>
  </w:style>
  <w:style w:type="paragraph" w:customStyle="1" w:styleId="NormalHanging12a">
    <w:name w:val="NormalHanging12a"/>
    <w:basedOn w:val="Normal"/>
    <w:link w:val="NormalHanging12aChar"/>
    <w:rsid w:val="009B4D34"/>
    <w:pPr>
      <w:spacing w:after="240"/>
      <w:ind w:left="567" w:hanging="567"/>
    </w:pPr>
  </w:style>
  <w:style w:type="paragraph" w:styleId="Header">
    <w:name w:val="header"/>
    <w:basedOn w:val="Normal"/>
    <w:link w:val="HeaderChar"/>
    <w:rsid w:val="009B4D34"/>
    <w:pPr>
      <w:tabs>
        <w:tab w:val="center" w:pos="4513"/>
        <w:tab w:val="right" w:pos="9026"/>
      </w:tabs>
    </w:pPr>
  </w:style>
  <w:style w:type="character" w:customStyle="1" w:styleId="HeaderChar">
    <w:name w:val="Header Char"/>
    <w:basedOn w:val="DefaultParagraphFont"/>
    <w:link w:val="Header"/>
    <w:rsid w:val="009B4D34"/>
    <w:rPr>
      <w:sz w:val="24"/>
      <w:lang w:val="sv-SE"/>
    </w:rPr>
  </w:style>
  <w:style w:type="paragraph" w:customStyle="1" w:styleId="NormalBold24a">
    <w:name w:val="NormalBold24a"/>
    <w:basedOn w:val="Normal"/>
    <w:rsid w:val="009B4D34"/>
    <w:pPr>
      <w:spacing w:after="480"/>
    </w:pPr>
    <w:rPr>
      <w:b/>
      <w:bCs/>
    </w:rPr>
  </w:style>
  <w:style w:type="paragraph" w:customStyle="1" w:styleId="EPFooter">
    <w:name w:val="EPFooter"/>
    <w:basedOn w:val="Normal"/>
    <w:rsid w:val="009B4D34"/>
    <w:pPr>
      <w:tabs>
        <w:tab w:val="center" w:pos="4535"/>
        <w:tab w:val="right" w:pos="9071"/>
      </w:tabs>
      <w:spacing w:before="240" w:after="240"/>
    </w:pPr>
    <w:rPr>
      <w:color w:val="010000"/>
      <w:sz w:val="22"/>
    </w:rPr>
  </w:style>
  <w:style w:type="paragraph" w:customStyle="1" w:styleId="EPComma">
    <w:name w:val="EPComma"/>
    <w:basedOn w:val="Normal"/>
    <w:rsid w:val="009B4D34"/>
    <w:pPr>
      <w:spacing w:before="480" w:after="240"/>
    </w:pPr>
  </w:style>
  <w:style w:type="character" w:styleId="Hyperlink">
    <w:name w:val="Hyperlink"/>
    <w:basedOn w:val="DefaultParagraphFont"/>
    <w:rsid w:val="009B4D34"/>
    <w:rPr>
      <w:color w:val="0563C1" w:themeColor="hyperlink"/>
      <w:u w:val="single"/>
    </w:rPr>
  </w:style>
  <w:style w:type="paragraph" w:customStyle="1" w:styleId="Institutionquiagit">
    <w:name w:val="Institution qui agit"/>
    <w:basedOn w:val="Normal"/>
    <w:next w:val="Normal"/>
    <w:rsid w:val="009B4D34"/>
    <w:pPr>
      <w:keepNext/>
      <w:snapToGrid w:val="0"/>
      <w:spacing w:after="240"/>
    </w:pPr>
    <w:rPr>
      <w:i/>
      <w:lang w:eastAsia="en-US"/>
    </w:rPr>
  </w:style>
  <w:style w:type="paragraph" w:customStyle="1" w:styleId="Institutionquisigne">
    <w:name w:val="Institution qui signe"/>
    <w:basedOn w:val="Normal"/>
    <w:next w:val="Normal"/>
    <w:rsid w:val="009B4D3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B4D3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B4D3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B4D34"/>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9B4D34"/>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9B4D34"/>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9B4D34"/>
    <w:rPr>
      <w:sz w:val="24"/>
      <w:lang w:val="sv-SE"/>
    </w:rPr>
  </w:style>
  <w:style w:type="character" w:customStyle="1" w:styleId="PageHeadingChar">
    <w:name w:val="PageHeading Char"/>
    <w:basedOn w:val="DefaultParagraphFont"/>
    <w:link w:val="PageHeading"/>
    <w:rsid w:val="009B4D34"/>
    <w:rPr>
      <w:rFonts w:ascii="Arial" w:hAnsi="Arial" w:cs="Arial"/>
      <w:b/>
      <w:sz w:val="24"/>
      <w:lang w:val="sv-SE"/>
    </w:rPr>
  </w:style>
  <w:style w:type="paragraph" w:styleId="Revision">
    <w:name w:val="Revision"/>
    <w:hidden/>
    <w:uiPriority w:val="99"/>
    <w:semiHidden/>
    <w:rsid w:val="00406945"/>
    <w:rPr>
      <w:sz w:val="24"/>
      <w:lang w:val="sv-SE"/>
    </w:rPr>
  </w:style>
  <w:style w:type="character" w:styleId="FollowedHyperlink">
    <w:name w:val="FollowedHyperlink"/>
    <w:basedOn w:val="DefaultParagraphFont"/>
    <w:rsid w:val="00D65BC7"/>
    <w:rPr>
      <w:color w:val="954F72" w:themeColor="followedHyperlink"/>
      <w:u w:val="single"/>
    </w:rPr>
  </w:style>
  <w:style w:type="character" w:styleId="UnresolvedMention">
    <w:name w:val="Unresolved Mention"/>
    <w:basedOn w:val="DefaultParagraphFont"/>
    <w:uiPriority w:val="99"/>
    <w:semiHidden/>
    <w:unhideWhenUsed/>
    <w:rsid w:val="00D65B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1247</Words>
  <Characters>8178</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2025-12-16T14:09:00Z</dcterms:created>
  <dcterms:modified xsi:type="dcterms:W3CDTF">2025-12-16T14:09:00Z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P10_TA(2025)0220_</vt:lpwstr>
  </property>
  <property fmtid="{D5CDD505-2E9C-101B-9397-08002B2CF9AE}" pid="4" name="&lt;Type&gt;">
    <vt:lpwstr>RR</vt:lpwstr>
  </property>
</Properties>
</file>