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C17C4C" w14:paraId="1B441DD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72295EF" w14:textId="0FFF19F2" w:rsidR="00751A4A" w:rsidRPr="00C17C4C" w:rsidRDefault="00634DD4" w:rsidP="0010095E">
            <w:pPr>
              <w:pStyle w:val="EPName"/>
            </w:pPr>
            <w:r w:rsidRPr="00C17C4C">
              <w:t>Европейски</w:t>
            </w:r>
            <w:r w:rsidR="00CE0E92" w:rsidRPr="00C17C4C">
              <w:t xml:space="preserve"> парламент</w:t>
            </w:r>
          </w:p>
          <w:p w14:paraId="24DEB569" w14:textId="7EE2ECF3" w:rsidR="00751A4A" w:rsidRPr="00C17C4C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C17C4C">
              <w:t>2024</w:t>
            </w:r>
            <w:r w:rsidR="00634DD4">
              <w:t> – </w:t>
            </w:r>
            <w:r w:rsidR="00817416" w:rsidRPr="00C17C4C">
              <w:t>202</w:t>
            </w:r>
            <w:r w:rsidRPr="00C17C4C">
              <w:t>9</w:t>
            </w:r>
          </w:p>
        </w:tc>
        <w:tc>
          <w:tcPr>
            <w:tcW w:w="2268" w:type="dxa"/>
            <w:shd w:val="clear" w:color="auto" w:fill="auto"/>
          </w:tcPr>
          <w:p w14:paraId="0EE250D8" w14:textId="77777777" w:rsidR="00751A4A" w:rsidRPr="00C17C4C" w:rsidRDefault="00187494" w:rsidP="0010095E">
            <w:pPr>
              <w:pStyle w:val="EPLogo"/>
            </w:pPr>
            <w:r w:rsidRPr="00C17C4C">
              <w:rPr>
                <w:noProof/>
                <w:lang w:eastAsia="ja-JP"/>
              </w:rPr>
              <w:drawing>
                <wp:inline distT="0" distB="0" distL="0" distR="0" wp14:anchorId="5B0DC3E1" wp14:editId="3A206475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F38F9B3" w14:textId="77777777" w:rsidR="00D058B8" w:rsidRPr="00C17C4C" w:rsidRDefault="00D058B8" w:rsidP="004C5D52">
      <w:pPr>
        <w:pStyle w:val="LineTop"/>
      </w:pPr>
    </w:p>
    <w:p w14:paraId="67D01DE5" w14:textId="77777777" w:rsidR="00680577" w:rsidRPr="00C17C4C" w:rsidRDefault="00CE0E92" w:rsidP="00680577">
      <w:pPr>
        <w:pStyle w:val="EPBodyTA1"/>
      </w:pPr>
      <w:r w:rsidRPr="00C17C4C">
        <w:t>ПРИЕТИ ТЕКСТОВЕ</w:t>
      </w:r>
    </w:p>
    <w:p w14:paraId="3617BA2D" w14:textId="77777777" w:rsidR="00D058B8" w:rsidRPr="00C17C4C" w:rsidRDefault="00D058B8" w:rsidP="00D058B8">
      <w:pPr>
        <w:pStyle w:val="LineBottom"/>
      </w:pPr>
    </w:p>
    <w:p w14:paraId="474E1DF9" w14:textId="3C3522E2" w:rsidR="00CE0E92" w:rsidRPr="00C17C4C" w:rsidRDefault="00CE0E92" w:rsidP="00CE0E92">
      <w:pPr>
        <w:pStyle w:val="ATHeading1"/>
      </w:pPr>
      <w:bookmarkStart w:id="0" w:name="TANumber"/>
      <w:r w:rsidRPr="00C17C4C">
        <w:t>P10_TA(2025)0</w:t>
      </w:r>
      <w:r w:rsidR="007818C1">
        <w:t>221</w:t>
      </w:r>
      <w:bookmarkEnd w:id="0"/>
    </w:p>
    <w:p w14:paraId="1AE0BA31" w14:textId="77777777" w:rsidR="00CE0E92" w:rsidRPr="00C17C4C" w:rsidRDefault="00CE0E92" w:rsidP="00CE0E92">
      <w:pPr>
        <w:pStyle w:val="ATHeading2"/>
      </w:pPr>
      <w:bookmarkStart w:id="1" w:name="title"/>
      <w:r w:rsidRPr="00C17C4C">
        <w:t>Политическата стратегия на ЕС по отношение на Латинска Америка</w:t>
      </w:r>
      <w:bookmarkEnd w:id="1"/>
    </w:p>
    <w:p w14:paraId="3A53B062" w14:textId="77777777" w:rsidR="00CE0E92" w:rsidRPr="00C17C4C" w:rsidRDefault="00CE0E92" w:rsidP="00CE0E92">
      <w:pPr>
        <w:rPr>
          <w:i/>
          <w:vanish/>
        </w:rPr>
      </w:pPr>
      <w:r w:rsidRPr="00C17C4C">
        <w:rPr>
          <w:i/>
        </w:rPr>
        <w:fldChar w:fldCharType="begin"/>
      </w:r>
      <w:r w:rsidRPr="00C17C4C">
        <w:rPr>
          <w:i/>
        </w:rPr>
        <w:instrText xml:space="preserve"> TC"(</w:instrText>
      </w:r>
      <w:bookmarkStart w:id="2" w:name="DocNumber"/>
      <w:r w:rsidRPr="00C17C4C">
        <w:rPr>
          <w:i/>
        </w:rPr>
        <w:instrText>A10-0171/2025</w:instrText>
      </w:r>
      <w:bookmarkEnd w:id="2"/>
      <w:r w:rsidRPr="00C17C4C">
        <w:rPr>
          <w:i/>
        </w:rPr>
        <w:instrText xml:space="preserve"> - Докладчик: </w:instrText>
      </w:r>
      <w:proofErr w:type="spellStart"/>
      <w:r w:rsidRPr="00C17C4C">
        <w:rPr>
          <w:i/>
        </w:rPr>
        <w:instrText>Давор</w:instrText>
      </w:r>
      <w:proofErr w:type="spellEnd"/>
      <w:r w:rsidRPr="00C17C4C">
        <w:rPr>
          <w:i/>
        </w:rPr>
        <w:instrText xml:space="preserve"> Иво Щир)"\l3 \n&gt; \* MERGEFORMAT </w:instrText>
      </w:r>
      <w:r w:rsidRPr="00C17C4C">
        <w:rPr>
          <w:i/>
        </w:rPr>
        <w:fldChar w:fldCharType="end"/>
      </w:r>
    </w:p>
    <w:p w14:paraId="37A27D7D" w14:textId="77777777" w:rsidR="00CE0E92" w:rsidRPr="00C17C4C" w:rsidRDefault="00CE0E92" w:rsidP="00CE0E92">
      <w:pPr>
        <w:rPr>
          <w:vanish/>
        </w:rPr>
      </w:pPr>
      <w:bookmarkStart w:id="3" w:name="Commission"/>
      <w:r w:rsidRPr="00C17C4C">
        <w:rPr>
          <w:vanish/>
        </w:rPr>
        <w:t>Комисия по външни работи</w:t>
      </w:r>
      <w:bookmarkEnd w:id="3"/>
    </w:p>
    <w:p w14:paraId="6FB4EEBD" w14:textId="77777777" w:rsidR="00CE0E92" w:rsidRPr="00C17C4C" w:rsidRDefault="00CE0E92" w:rsidP="00CE0E92">
      <w:pPr>
        <w:rPr>
          <w:vanish/>
        </w:rPr>
      </w:pPr>
      <w:bookmarkStart w:id="4" w:name="PE"/>
      <w:r w:rsidRPr="00C17C4C">
        <w:rPr>
          <w:vanish/>
        </w:rPr>
        <w:t>PE773.170</w:t>
      </w:r>
      <w:bookmarkEnd w:id="4"/>
    </w:p>
    <w:p w14:paraId="0B37A9B2" w14:textId="052ECDD8" w:rsidR="00CE0E92" w:rsidRPr="00C17C4C" w:rsidRDefault="00CE0E92" w:rsidP="00CE0E92">
      <w:pPr>
        <w:pStyle w:val="ATHeading3"/>
      </w:pPr>
      <w:bookmarkStart w:id="5" w:name="Sujet"/>
      <w:r w:rsidRPr="00C17C4C">
        <w:t xml:space="preserve">Резолюция на Европейския парламент от </w:t>
      </w:r>
      <w:r w:rsidR="004C4B1E">
        <w:t>8 октомври</w:t>
      </w:r>
      <w:r w:rsidR="004C4B1E" w:rsidRPr="00C17C4C">
        <w:t xml:space="preserve"> </w:t>
      </w:r>
      <w:r w:rsidRPr="00C17C4C">
        <w:t>2025 г. относно политическата стратегия на ЕС по отношение на Латинска Америка</w:t>
      </w:r>
      <w:bookmarkEnd w:id="5"/>
      <w:r w:rsidRPr="00C17C4C">
        <w:t xml:space="preserve"> </w:t>
      </w:r>
      <w:bookmarkStart w:id="6" w:name="References"/>
      <w:r w:rsidRPr="00C17C4C">
        <w:t>(2025/2083(INI))</w:t>
      </w:r>
      <w:bookmarkEnd w:id="6"/>
    </w:p>
    <w:p w14:paraId="097D8AA1" w14:textId="77777777" w:rsidR="00DA77B6" w:rsidRPr="00C17C4C" w:rsidRDefault="00DA77B6" w:rsidP="00DA77B6">
      <w:pPr>
        <w:pStyle w:val="EPComma"/>
      </w:pPr>
      <w:r w:rsidRPr="00C17C4C">
        <w:rPr>
          <w:i/>
        </w:rPr>
        <w:t>Европейският парламент</w:t>
      </w:r>
      <w:r w:rsidRPr="00C17C4C">
        <w:t>,</w:t>
      </w:r>
    </w:p>
    <w:p w14:paraId="303BF79D" w14:textId="77777777" w:rsidR="00DA77B6" w:rsidRPr="00C17C4C" w:rsidRDefault="00DA77B6" w:rsidP="00DA77B6">
      <w:pPr>
        <w:pStyle w:val="NormalHanging12a"/>
      </w:pPr>
      <w:r w:rsidRPr="00C17C4C">
        <w:t>–</w:t>
      </w:r>
      <w:r w:rsidRPr="00C17C4C">
        <w:tab/>
        <w:t>като взе предвид Договора за Европейския съюз (ДЕС), и по-специално дял V от него относно външната дейност на Съюза,</w:t>
      </w:r>
    </w:p>
    <w:p w14:paraId="07971390" w14:textId="77777777" w:rsidR="00DA77B6" w:rsidRPr="00C17C4C" w:rsidRDefault="00DA77B6" w:rsidP="00DA77B6">
      <w:pPr>
        <w:pStyle w:val="NormalHanging12a"/>
      </w:pPr>
      <w:r w:rsidRPr="00C17C4C">
        <w:t>–</w:t>
      </w:r>
      <w:r w:rsidRPr="00C17C4C">
        <w:tab/>
        <w:t>като взе предвид членове 3 и 21 от ДЕС, както и член 208 от Договора за функционирането на Европейския съюз (ДФЕС),</w:t>
      </w:r>
    </w:p>
    <w:p w14:paraId="49D62067" w14:textId="77777777" w:rsidR="00DA77B6" w:rsidRPr="00C17C4C" w:rsidRDefault="00DA77B6" w:rsidP="00DA77B6">
      <w:pPr>
        <w:pStyle w:val="NormalHanging12a"/>
      </w:pPr>
      <w:r w:rsidRPr="00C17C4C">
        <w:t>–</w:t>
      </w:r>
      <w:r w:rsidRPr="00C17C4C">
        <w:tab/>
        <w:t>като взе предвид своята резолюция от 2 април 2025 г. относно изпълнението на общата външна политика и политиката на сигурност – годишен доклад за 2024 г.</w:t>
      </w:r>
      <w:r w:rsidRPr="00C17C4C">
        <w:rPr>
          <w:rStyle w:val="FootnoteReference"/>
        </w:rPr>
        <w:footnoteReference w:id="1"/>
      </w:r>
      <w:r w:rsidRPr="00C17C4C">
        <w:t>,</w:t>
      </w:r>
    </w:p>
    <w:p w14:paraId="36A5E5E3" w14:textId="77777777" w:rsidR="00DA77B6" w:rsidRPr="00C17C4C" w:rsidRDefault="00DA77B6" w:rsidP="00DA77B6">
      <w:pPr>
        <w:pStyle w:val="NormalHanging12a"/>
        <w:rPr>
          <w:bCs/>
          <w:iCs/>
        </w:rPr>
      </w:pPr>
      <w:r w:rsidRPr="00C17C4C">
        <w:t>–</w:t>
      </w:r>
      <w:r w:rsidRPr="00C17C4C">
        <w:tab/>
        <w:t>като взе предвид Регламент (ЕС) 2021/947 на Европейския парламент и на Съвета от 9 юни 2021 г. за създаване на Инструмента за съседство, сътрудничество за развитие и международно сътрудничество – Глобална Европа, за изменение и отмяна на Решение № 466/2014/EС на Европейския парламент и на Съвета и за отмяна на Регламент (ЕС) 2017/1601 на Европейския парламент и на Съвета и на Регламент (ЕО, Евратом) № 480/2009 на Съвета</w:t>
      </w:r>
      <w:r w:rsidRPr="00C17C4C">
        <w:rPr>
          <w:rStyle w:val="FootnoteReference"/>
          <w:bCs/>
          <w:iCs/>
        </w:rPr>
        <w:footnoteReference w:id="2"/>
      </w:r>
      <w:r w:rsidRPr="00C17C4C">
        <w:t>,</w:t>
      </w:r>
    </w:p>
    <w:p w14:paraId="15710079" w14:textId="77777777" w:rsidR="00DA77B6" w:rsidRPr="00C17C4C" w:rsidRDefault="00DA77B6" w:rsidP="00DA77B6">
      <w:pPr>
        <w:pStyle w:val="NormalHanging12a"/>
      </w:pPr>
      <w:r w:rsidRPr="00C17C4C">
        <w:t>–</w:t>
      </w:r>
      <w:r w:rsidRPr="00C17C4C">
        <w:tab/>
        <w:t>като взе предвид своята резолюция от 14 март 2023 г. относно съгласуваността на политиките за развитие</w:t>
      </w:r>
      <w:r w:rsidRPr="00C17C4C">
        <w:rPr>
          <w:rStyle w:val="FootnoteReference"/>
        </w:rPr>
        <w:footnoteReference w:id="3"/>
      </w:r>
      <w:r w:rsidRPr="00C17C4C">
        <w:t>,</w:t>
      </w:r>
    </w:p>
    <w:p w14:paraId="2B2BCE9E" w14:textId="77777777" w:rsidR="00DA77B6" w:rsidRPr="00C17C4C" w:rsidRDefault="00DA77B6" w:rsidP="00DA77B6">
      <w:pPr>
        <w:pStyle w:val="NormalHanging12a"/>
      </w:pPr>
      <w:r w:rsidRPr="00C17C4C">
        <w:t>–</w:t>
      </w:r>
      <w:r w:rsidRPr="00C17C4C">
        <w:tab/>
        <w:t>като взе предвид Програмата на ООН за устойчиво развитие за периода до 2030 г. и целите за устойчиво развитие (ЦУР), приети през септември 2015 г.,</w:t>
      </w:r>
    </w:p>
    <w:p w14:paraId="4AA240C4" w14:textId="77777777" w:rsidR="00DA77B6" w:rsidRPr="00C17C4C" w:rsidRDefault="00DA77B6" w:rsidP="00DA77B6">
      <w:pPr>
        <w:pStyle w:val="NormalHanging12a"/>
      </w:pPr>
      <w:r w:rsidRPr="00C17C4C">
        <w:t>–</w:t>
      </w:r>
      <w:r w:rsidRPr="00C17C4C">
        <w:tab/>
        <w:t>като взе предвид своите резолюции относно Венесуела, и по-специално резолюцията от 21 януари 2025 г. относно положението във Венесуела след узурпирането на президентския пост на 10 януари 2025 г.</w:t>
      </w:r>
      <w:r w:rsidRPr="00C17C4C">
        <w:rPr>
          <w:rStyle w:val="FootnoteReference"/>
        </w:rPr>
        <w:footnoteReference w:id="4"/>
      </w:r>
      <w:r w:rsidRPr="00C17C4C">
        <w:t xml:space="preserve"> и резолюцията от 19 </w:t>
      </w:r>
      <w:r w:rsidRPr="00C17C4C">
        <w:lastRenderedPageBreak/>
        <w:t>септември 2024 г. относно положението във Венесуела</w:t>
      </w:r>
      <w:r w:rsidRPr="00C17C4C">
        <w:rPr>
          <w:rStyle w:val="FootnoteReference"/>
        </w:rPr>
        <w:footnoteReference w:id="5"/>
      </w:r>
      <w:r w:rsidRPr="00C17C4C">
        <w:t>, както и резолюциите относно Куба, по-специално резолюцията от 12 юли 2023 г. относно състоянието на споразумението за политически диалог и сътрудничество между Европейския съюз и Куба в светлината на неотдавнашното посещение на върховния представител в Куба</w:t>
      </w:r>
      <w:r w:rsidRPr="00C17C4C">
        <w:rPr>
          <w:rStyle w:val="FootnoteReference"/>
        </w:rPr>
        <w:footnoteReference w:id="6"/>
      </w:r>
      <w:r w:rsidRPr="00C17C4C">
        <w:t xml:space="preserve"> и резолюцията от 19 септември 2024 г. относно случая на Хосе Даниел Ферер Гарсия в Куба</w:t>
      </w:r>
      <w:r w:rsidRPr="00C17C4C">
        <w:rPr>
          <w:rStyle w:val="FootnoteReference"/>
        </w:rPr>
        <w:footnoteReference w:id="7"/>
      </w:r>
      <w:r w:rsidRPr="00C17C4C">
        <w:t xml:space="preserve">, а така също и резолюциите относно Никарагуа, по-конкретно резолюцията от 13 февруари 2025 г. относно репресиите от страна на режима на Ортега – </w:t>
      </w:r>
      <w:proofErr w:type="spellStart"/>
      <w:r w:rsidRPr="00C17C4C">
        <w:t>Мурильо</w:t>
      </w:r>
      <w:proofErr w:type="spellEnd"/>
      <w:r w:rsidRPr="00C17C4C">
        <w:t xml:space="preserve"> в Никарагуа, насочени по-специално срещу защитниците на правата на човека, политическите опоненти и религиозните общности</w:t>
      </w:r>
      <w:r w:rsidRPr="00C17C4C">
        <w:rPr>
          <w:rStyle w:val="FootnoteReference"/>
        </w:rPr>
        <w:footnoteReference w:id="8"/>
      </w:r>
      <w:r w:rsidRPr="00C17C4C">
        <w:t>,</w:t>
      </w:r>
    </w:p>
    <w:p w14:paraId="4D9B6FFA" w14:textId="77777777" w:rsidR="00DA77B6" w:rsidRPr="00C17C4C" w:rsidRDefault="00DA77B6" w:rsidP="00DA77B6">
      <w:pPr>
        <w:pStyle w:val="NormalHanging12a"/>
        <w:rPr>
          <w:bCs/>
          <w:iCs/>
        </w:rPr>
      </w:pPr>
      <w:r w:rsidRPr="00C17C4C">
        <w:t>–</w:t>
      </w:r>
      <w:r w:rsidRPr="00C17C4C">
        <w:tab/>
        <w:t>като взе предвид тридесет и двете резолюции, приети от Общото събрание на ООН в периода от 1992 г. до 2024 г., включително Резолюция A/RES/79/7 от 1 ноември 2024 г., озаглавена „Необходимостта от прекратяване на икономическото, търговското и финансовото ембарго, наложено от Съединените американски щати срещу Куба“,</w:t>
      </w:r>
    </w:p>
    <w:p w14:paraId="5F239C51" w14:textId="77777777" w:rsidR="00DA77B6" w:rsidRPr="00C17C4C" w:rsidRDefault="00DA77B6" w:rsidP="00DA77B6">
      <w:pPr>
        <w:pStyle w:val="NormalHanging12a"/>
        <w:rPr>
          <w:bCs/>
          <w:iCs/>
        </w:rPr>
      </w:pPr>
      <w:r w:rsidRPr="00C17C4C">
        <w:t>–</w:t>
      </w:r>
      <w:r w:rsidRPr="00C17C4C">
        <w:tab/>
        <w:t>като взе предвид резолюциите на Общото събрание на ООН относно положението в Хаити, и по-специално Резолюция 58/32 на Съвета по правата на човека от 4 април 2025 г., озаглавена „</w:t>
      </w:r>
      <w:proofErr w:type="spellStart"/>
      <w:r w:rsidRPr="00C17C4C">
        <w:t>Technical</w:t>
      </w:r>
      <w:proofErr w:type="spellEnd"/>
      <w:r w:rsidRPr="00C17C4C">
        <w:t xml:space="preserve"> </w:t>
      </w:r>
      <w:proofErr w:type="spellStart"/>
      <w:r w:rsidRPr="00C17C4C">
        <w:t>assistance</w:t>
      </w:r>
      <w:proofErr w:type="spellEnd"/>
      <w:r w:rsidRPr="00C17C4C">
        <w:t xml:space="preserve"> </w:t>
      </w:r>
      <w:proofErr w:type="spellStart"/>
      <w:r w:rsidRPr="00C17C4C">
        <w:t>and</w:t>
      </w:r>
      <w:proofErr w:type="spellEnd"/>
      <w:r w:rsidRPr="00C17C4C">
        <w:t xml:space="preserve"> </w:t>
      </w:r>
      <w:proofErr w:type="spellStart"/>
      <w:r w:rsidRPr="00C17C4C">
        <w:t>capacity-building</w:t>
      </w:r>
      <w:proofErr w:type="spellEnd"/>
      <w:r w:rsidRPr="00C17C4C">
        <w:t xml:space="preserve"> </w:t>
      </w:r>
      <w:proofErr w:type="spellStart"/>
      <w:r w:rsidRPr="00C17C4C">
        <w:t>to</w:t>
      </w:r>
      <w:proofErr w:type="spellEnd"/>
      <w:r w:rsidRPr="00C17C4C">
        <w:t xml:space="preserve"> </w:t>
      </w:r>
      <w:proofErr w:type="spellStart"/>
      <w:r w:rsidRPr="00C17C4C">
        <w:t>improve</w:t>
      </w:r>
      <w:proofErr w:type="spellEnd"/>
      <w:r w:rsidRPr="00C17C4C">
        <w:t xml:space="preserve"> </w:t>
      </w:r>
      <w:proofErr w:type="spellStart"/>
      <w:r w:rsidRPr="00C17C4C">
        <w:t>the</w:t>
      </w:r>
      <w:proofErr w:type="spellEnd"/>
      <w:r w:rsidRPr="00C17C4C">
        <w:t xml:space="preserve"> </w:t>
      </w:r>
      <w:proofErr w:type="spellStart"/>
      <w:r w:rsidRPr="00C17C4C">
        <w:t>situation</w:t>
      </w:r>
      <w:proofErr w:type="spellEnd"/>
      <w:r w:rsidRPr="00C17C4C">
        <w:t xml:space="preserve"> </w:t>
      </w:r>
      <w:proofErr w:type="spellStart"/>
      <w:r w:rsidRPr="00C17C4C">
        <w:t>of</w:t>
      </w:r>
      <w:proofErr w:type="spellEnd"/>
      <w:r w:rsidRPr="00C17C4C">
        <w:t xml:space="preserve"> </w:t>
      </w:r>
      <w:proofErr w:type="spellStart"/>
      <w:r w:rsidRPr="00C17C4C">
        <w:t>human</w:t>
      </w:r>
      <w:proofErr w:type="spellEnd"/>
      <w:r w:rsidRPr="00C17C4C">
        <w:t xml:space="preserve"> </w:t>
      </w:r>
      <w:proofErr w:type="spellStart"/>
      <w:r w:rsidRPr="00C17C4C">
        <w:t>rights</w:t>
      </w:r>
      <w:proofErr w:type="spellEnd"/>
      <w:r w:rsidRPr="00C17C4C">
        <w:t xml:space="preserve"> </w:t>
      </w:r>
      <w:proofErr w:type="spellStart"/>
      <w:r w:rsidRPr="00C17C4C">
        <w:t>in</w:t>
      </w:r>
      <w:proofErr w:type="spellEnd"/>
      <w:r w:rsidRPr="00C17C4C">
        <w:t xml:space="preserve"> </w:t>
      </w:r>
      <w:proofErr w:type="spellStart"/>
      <w:r w:rsidRPr="00C17C4C">
        <w:t>Haiti</w:t>
      </w:r>
      <w:proofErr w:type="spellEnd"/>
      <w:r w:rsidRPr="00C17C4C">
        <w:t xml:space="preserve">, </w:t>
      </w:r>
      <w:proofErr w:type="spellStart"/>
      <w:r w:rsidRPr="00C17C4C">
        <w:t>in</w:t>
      </w:r>
      <w:proofErr w:type="spellEnd"/>
      <w:r w:rsidRPr="00C17C4C">
        <w:t xml:space="preserve"> </w:t>
      </w:r>
      <w:proofErr w:type="spellStart"/>
      <w:r w:rsidRPr="00C17C4C">
        <w:t>connection</w:t>
      </w:r>
      <w:proofErr w:type="spellEnd"/>
      <w:r w:rsidRPr="00C17C4C">
        <w:t xml:space="preserve"> </w:t>
      </w:r>
      <w:proofErr w:type="spellStart"/>
      <w:r w:rsidRPr="00C17C4C">
        <w:t>with</w:t>
      </w:r>
      <w:proofErr w:type="spellEnd"/>
      <w:r w:rsidRPr="00C17C4C">
        <w:t xml:space="preserve"> a </w:t>
      </w:r>
      <w:proofErr w:type="spellStart"/>
      <w:r w:rsidRPr="00C17C4C">
        <w:t>request</w:t>
      </w:r>
      <w:proofErr w:type="spellEnd"/>
      <w:r w:rsidRPr="00C17C4C">
        <w:t xml:space="preserve"> </w:t>
      </w:r>
      <w:proofErr w:type="spellStart"/>
      <w:r w:rsidRPr="00C17C4C">
        <w:t>from</w:t>
      </w:r>
      <w:proofErr w:type="spellEnd"/>
      <w:r w:rsidRPr="00C17C4C">
        <w:t xml:space="preserve"> </w:t>
      </w:r>
      <w:proofErr w:type="spellStart"/>
      <w:r w:rsidRPr="00C17C4C">
        <w:t>the</w:t>
      </w:r>
      <w:proofErr w:type="spellEnd"/>
      <w:r w:rsidRPr="00C17C4C">
        <w:t xml:space="preserve"> </w:t>
      </w:r>
      <w:proofErr w:type="spellStart"/>
      <w:r w:rsidRPr="00C17C4C">
        <w:t>authorities</w:t>
      </w:r>
      <w:proofErr w:type="spellEnd"/>
      <w:r w:rsidRPr="00C17C4C">
        <w:t xml:space="preserve"> </w:t>
      </w:r>
      <w:proofErr w:type="spellStart"/>
      <w:r w:rsidRPr="00C17C4C">
        <w:t>of</w:t>
      </w:r>
      <w:proofErr w:type="spellEnd"/>
      <w:r w:rsidRPr="00C17C4C">
        <w:t xml:space="preserve"> </w:t>
      </w:r>
      <w:proofErr w:type="spellStart"/>
      <w:r w:rsidRPr="00C17C4C">
        <w:t>Haiti</w:t>
      </w:r>
      <w:proofErr w:type="spellEnd"/>
      <w:r w:rsidRPr="00C17C4C">
        <w:t xml:space="preserve"> </w:t>
      </w:r>
      <w:proofErr w:type="spellStart"/>
      <w:r w:rsidRPr="00C17C4C">
        <w:t>for</w:t>
      </w:r>
      <w:proofErr w:type="spellEnd"/>
      <w:r w:rsidRPr="00C17C4C">
        <w:t xml:space="preserve"> </w:t>
      </w:r>
      <w:proofErr w:type="spellStart"/>
      <w:r w:rsidRPr="00C17C4C">
        <w:t>coordinated</w:t>
      </w:r>
      <w:proofErr w:type="spellEnd"/>
      <w:r w:rsidRPr="00C17C4C">
        <w:t xml:space="preserve"> </w:t>
      </w:r>
      <w:proofErr w:type="spellStart"/>
      <w:r w:rsidRPr="00C17C4C">
        <w:t>and</w:t>
      </w:r>
      <w:proofErr w:type="spellEnd"/>
      <w:r w:rsidRPr="00C17C4C">
        <w:t xml:space="preserve"> </w:t>
      </w:r>
      <w:proofErr w:type="spellStart"/>
      <w:r w:rsidRPr="00C17C4C">
        <w:t>targeted</w:t>
      </w:r>
      <w:proofErr w:type="spellEnd"/>
      <w:r w:rsidRPr="00C17C4C">
        <w:t xml:space="preserve"> </w:t>
      </w:r>
      <w:proofErr w:type="spellStart"/>
      <w:r w:rsidRPr="00C17C4C">
        <w:t>international</w:t>
      </w:r>
      <w:proofErr w:type="spellEnd"/>
      <w:r w:rsidRPr="00C17C4C">
        <w:t xml:space="preserve"> </w:t>
      </w:r>
      <w:proofErr w:type="spellStart"/>
      <w:r w:rsidRPr="00C17C4C">
        <w:t>action</w:t>
      </w:r>
      <w:proofErr w:type="spellEnd"/>
      <w:r w:rsidRPr="00C17C4C">
        <w:t>“ (Техническа помощ и изграждане на капацитет за подобряване на положението с правата на човека в Хаити, във връзка с искане от органите на Хаити за координирани и целенасочени международни действия),</w:t>
      </w:r>
    </w:p>
    <w:p w14:paraId="7430A8BD" w14:textId="77777777" w:rsidR="00DA77B6" w:rsidRPr="00C17C4C" w:rsidRDefault="00DA77B6" w:rsidP="00DA77B6">
      <w:pPr>
        <w:pStyle w:val="NormalHanging12a"/>
        <w:rPr>
          <w:bCs/>
          <w:iCs/>
        </w:rPr>
      </w:pPr>
      <w:r w:rsidRPr="00C17C4C">
        <w:t>–</w:t>
      </w:r>
      <w:r w:rsidRPr="00C17C4C">
        <w:tab/>
        <w:t>като взе предвид заключенията на Съвета от 26 май 2025 г., озаглавени „Пътища към постигането на напредък: максимално увеличаване на въздействието върху устойчивото развитие и глобалния просперитет“, одобрени на 4099-ото му заседание, проведено преди Четвъртата международна конференция за финансиране на развитието в Севиля от 30 юни до 3 юли 2025 г.,</w:t>
      </w:r>
    </w:p>
    <w:p w14:paraId="09C64849" w14:textId="77777777" w:rsidR="00DA77B6" w:rsidRPr="00C17C4C" w:rsidRDefault="00DA77B6" w:rsidP="00DA77B6">
      <w:pPr>
        <w:pStyle w:val="NormalHanging12a"/>
      </w:pPr>
      <w:r w:rsidRPr="00C17C4C">
        <w:t>–</w:t>
      </w:r>
      <w:r w:rsidRPr="00C17C4C">
        <w:tab/>
        <w:t>като взе предвид съвместното съобщение на Комисията и на върховния представител на Съюза по въпросите на външните работи и политиката на сигурност от 7 юни 2023 г., озаглавено „Нова програма за отношенията между ЕС и Латинска Америка и Карибския басейн“ (JOIN(2023)0017),</w:t>
      </w:r>
    </w:p>
    <w:p w14:paraId="16CFC21C" w14:textId="77777777" w:rsidR="00DA77B6" w:rsidRPr="00C17C4C" w:rsidRDefault="00DA77B6" w:rsidP="00DA77B6">
      <w:pPr>
        <w:pStyle w:val="NormalHanging12a"/>
      </w:pPr>
      <w:r w:rsidRPr="00C17C4C">
        <w:t>–</w:t>
      </w:r>
      <w:r w:rsidRPr="00C17C4C">
        <w:tab/>
        <w:t>като взе предвид съвместното съобщение на Комисията и на върховния представител на Съюза по въпросите на външните работи и политиката на сигурност от 1 декември 2021 г., озаглавено „</w:t>
      </w:r>
      <w:proofErr w:type="spellStart"/>
      <w:r w:rsidRPr="00C17C4C">
        <w:t>The</w:t>
      </w:r>
      <w:proofErr w:type="spellEnd"/>
      <w:r w:rsidRPr="00C17C4C">
        <w:t xml:space="preserve"> </w:t>
      </w:r>
      <w:proofErr w:type="spellStart"/>
      <w:r w:rsidRPr="00C17C4C">
        <w:t>Global</w:t>
      </w:r>
      <w:proofErr w:type="spellEnd"/>
      <w:r w:rsidRPr="00C17C4C">
        <w:t xml:space="preserve"> </w:t>
      </w:r>
      <w:proofErr w:type="spellStart"/>
      <w:r w:rsidRPr="00C17C4C">
        <w:t>Gateway</w:t>
      </w:r>
      <w:proofErr w:type="spellEnd"/>
      <w:r w:rsidRPr="00C17C4C">
        <w:t>“ (JOIN(2021)0030),</w:t>
      </w:r>
    </w:p>
    <w:p w14:paraId="3B565861" w14:textId="77777777" w:rsidR="00DA77B6" w:rsidRPr="00C17C4C" w:rsidRDefault="00DA77B6" w:rsidP="00DA77B6">
      <w:pPr>
        <w:pStyle w:val="NormalHanging12a"/>
      </w:pPr>
      <w:r w:rsidRPr="00C17C4C">
        <w:t>–</w:t>
      </w:r>
      <w:r w:rsidRPr="00C17C4C">
        <w:tab/>
        <w:t>като взе предвид Резолюция ES-11/1 на Общото събрание на ООН от 2 март 2022 г., озаглавена „Агресията срещу Украйна“,</w:t>
      </w:r>
    </w:p>
    <w:p w14:paraId="7A896185" w14:textId="77777777" w:rsidR="00DA77B6" w:rsidRPr="00C17C4C" w:rsidRDefault="00DA77B6" w:rsidP="00DA77B6">
      <w:pPr>
        <w:pStyle w:val="NormalHanging12a"/>
      </w:pPr>
      <w:r w:rsidRPr="00C17C4C">
        <w:t>–</w:t>
      </w:r>
      <w:r w:rsidRPr="00C17C4C">
        <w:tab/>
        <w:t>като взе предвид Декларацията на ООН за правата на коренното население, приета от Общото събрание на ООН на 13 септември 2007 г.,</w:t>
      </w:r>
    </w:p>
    <w:p w14:paraId="036F14D2" w14:textId="77777777" w:rsidR="00DA77B6" w:rsidRPr="00C17C4C" w:rsidRDefault="00DA77B6" w:rsidP="00DA77B6">
      <w:pPr>
        <w:pStyle w:val="NormalHanging12a"/>
      </w:pPr>
      <w:r w:rsidRPr="00C17C4C">
        <w:lastRenderedPageBreak/>
        <w:t>–</w:t>
      </w:r>
      <w:r w:rsidRPr="00C17C4C">
        <w:tab/>
        <w:t>като взе предвид съвместното съобщение на Комисията и върховния представител на Съюза по въпросите на външните работи и политиката на сигурност от 25 ноември 2020 г., озаглавено „План за действие на ЕС относно равенството между половете (GAP) III – амбициозна програма за равенство между половете и за овластяване на жените във външните дейности на ЕС“ (JOIN(2020)0017),</w:t>
      </w:r>
    </w:p>
    <w:p w14:paraId="577E662C" w14:textId="77777777" w:rsidR="00DA77B6" w:rsidRPr="00C17C4C" w:rsidRDefault="00DA77B6" w:rsidP="00DA77B6">
      <w:pPr>
        <w:pStyle w:val="NormalHanging12a"/>
      </w:pPr>
      <w:r w:rsidRPr="00C17C4C">
        <w:t>–</w:t>
      </w:r>
      <w:r w:rsidRPr="00C17C4C">
        <w:tab/>
        <w:t>като взе предвид Декларацията на ООН за премахване на насилието над жени, приета на 20 декември 1993 г.,</w:t>
      </w:r>
    </w:p>
    <w:p w14:paraId="2722946E" w14:textId="77777777" w:rsidR="00DA77B6" w:rsidRPr="00C17C4C" w:rsidRDefault="00DA77B6" w:rsidP="00DA77B6">
      <w:pPr>
        <w:pStyle w:val="NormalHanging12a"/>
      </w:pPr>
      <w:r w:rsidRPr="00C17C4C">
        <w:t>–</w:t>
      </w:r>
      <w:r w:rsidRPr="00C17C4C">
        <w:tab/>
        <w:t>като взе предвид Конвенцията на Съвета на Европа за превенция и борба с насилието над жени и домашното насилие (Конвенцията от Истанбул) от 11 май 2011 г., подписана от ЕС,</w:t>
      </w:r>
    </w:p>
    <w:p w14:paraId="74A50FC2" w14:textId="77777777" w:rsidR="00DA77B6" w:rsidRPr="00C17C4C" w:rsidRDefault="00DA77B6" w:rsidP="00DA77B6">
      <w:pPr>
        <w:pStyle w:val="NormalHanging12a"/>
      </w:pPr>
      <w:r w:rsidRPr="00C17C4C">
        <w:t>–</w:t>
      </w:r>
      <w:r w:rsidRPr="00C17C4C">
        <w:tab/>
        <w:t>като взе предвид Рамковата конвенция на ООН по изменение на климата (РКООНИК) и Парижкото споразумение, прието на 21-вата конференция на страните по РКOОНИК на 12 декември 2015 г.,</w:t>
      </w:r>
    </w:p>
    <w:p w14:paraId="7B5A7079" w14:textId="77777777" w:rsidR="00DA77B6" w:rsidRPr="00C17C4C" w:rsidRDefault="00DA77B6" w:rsidP="00DA77B6">
      <w:pPr>
        <w:pStyle w:val="NormalHanging12a"/>
        <w:rPr>
          <w:bCs/>
          <w:iCs/>
        </w:rPr>
      </w:pPr>
      <w:r w:rsidRPr="00C17C4C">
        <w:t>–</w:t>
      </w:r>
      <w:r w:rsidRPr="00C17C4C">
        <w:tab/>
        <w:t>като взе предвид Пакта за бъдещето, приет на срещата на върха на ООН, посветена на бъдещето, на 22 септември 2024 г.,</w:t>
      </w:r>
    </w:p>
    <w:p w14:paraId="5799BA7B" w14:textId="77777777" w:rsidR="00DA77B6" w:rsidRPr="00C17C4C" w:rsidRDefault="00DA77B6" w:rsidP="00DA77B6">
      <w:pPr>
        <w:pStyle w:val="NormalHanging12a"/>
      </w:pPr>
      <w:r w:rsidRPr="00C17C4C">
        <w:t>–</w:t>
      </w:r>
      <w:r w:rsidRPr="00C17C4C">
        <w:tab/>
        <w:t>като взе предвид декларацията от срещата на високо равнище от 2023 г. между ЕС и Общността на латиноамериканските и карибските държави (CELAC), проведена в Брюксел на 17 и 18 юли 2023 г.,</w:t>
      </w:r>
    </w:p>
    <w:p w14:paraId="3F93E982" w14:textId="77777777" w:rsidR="00DA77B6" w:rsidRPr="00C17C4C" w:rsidRDefault="00DA77B6" w:rsidP="00DA77B6">
      <w:pPr>
        <w:pStyle w:val="NormalHanging12a"/>
        <w:rPr>
          <w:bCs/>
          <w:iCs/>
        </w:rPr>
      </w:pPr>
      <w:r w:rsidRPr="00C17C4C">
        <w:t>–</w:t>
      </w:r>
      <w:r w:rsidRPr="00C17C4C">
        <w:tab/>
        <w:t xml:space="preserve">като взе предвид инвестиционната програма на </w:t>
      </w:r>
      <w:proofErr w:type="spellStart"/>
      <w:r w:rsidRPr="00C17C4C">
        <w:t>Global</w:t>
      </w:r>
      <w:proofErr w:type="spellEnd"/>
      <w:r w:rsidRPr="00C17C4C">
        <w:t xml:space="preserve"> </w:t>
      </w:r>
      <w:proofErr w:type="spellStart"/>
      <w:r w:rsidRPr="00C17C4C">
        <w:t>Gateway</w:t>
      </w:r>
      <w:proofErr w:type="spellEnd"/>
      <w:r w:rsidRPr="00C17C4C">
        <w:t xml:space="preserve"> ЕС–ЛАК, обявена по време на срещата на високо равнище между ЕС и CELAC в Брюксел през юли 2023 г.,</w:t>
      </w:r>
    </w:p>
    <w:p w14:paraId="2871FE7D" w14:textId="77777777" w:rsidR="00DA77B6" w:rsidRPr="00C17C4C" w:rsidRDefault="00DA77B6" w:rsidP="00DA77B6">
      <w:pPr>
        <w:pStyle w:val="NormalHanging12a"/>
        <w:rPr>
          <w:bCs/>
          <w:iCs/>
        </w:rPr>
      </w:pPr>
      <w:r w:rsidRPr="00C17C4C">
        <w:t>–</w:t>
      </w:r>
      <w:r w:rsidRPr="00C17C4C">
        <w:tab/>
        <w:t xml:space="preserve">като взе предвид съвместната декларация на министрите на вътрешните работи и/или на сигурността на държавите – членки на Европейския съюз, и на министрите, отговарящи за въпросите на сигурността на държавите – членки на Латиноамериканския комитет по вътрешна сигурност, приета на 5 март 2025 г., </w:t>
      </w:r>
    </w:p>
    <w:p w14:paraId="383CC838" w14:textId="77777777" w:rsidR="00DA77B6" w:rsidRPr="00C17C4C" w:rsidRDefault="00DA77B6" w:rsidP="00DA77B6">
      <w:pPr>
        <w:pStyle w:val="NormalHanging12a"/>
        <w:rPr>
          <w:bCs/>
          <w:iCs/>
        </w:rPr>
      </w:pPr>
      <w:r w:rsidRPr="00C17C4C">
        <w:t>–</w:t>
      </w:r>
      <w:r w:rsidRPr="00C17C4C">
        <w:tab/>
        <w:t>като взе предвид съвместното изявление от 30 юни 2017 г. на Съвета и на представителите на правителствата на държавите членки, заседаващи в рамките на Съвета, на Европейския парламент и на Комисията, озаглавено „Нов Европейски консенсус за развитие – нашият свят, нашето достойнство, нашето бъдеще“</w:t>
      </w:r>
      <w:r w:rsidRPr="00C17C4C">
        <w:rPr>
          <w:rStyle w:val="FootnoteReference"/>
          <w:bCs/>
          <w:iCs/>
        </w:rPr>
        <w:footnoteReference w:id="9"/>
      </w:r>
      <w:r w:rsidRPr="00C17C4C">
        <w:t>,</w:t>
      </w:r>
    </w:p>
    <w:p w14:paraId="0ED9D8C6" w14:textId="77777777" w:rsidR="00DA77B6" w:rsidRPr="00C17C4C" w:rsidRDefault="00DA77B6" w:rsidP="00DA77B6">
      <w:pPr>
        <w:pStyle w:val="NormalHanging12a"/>
        <w:rPr>
          <w:bCs/>
          <w:iCs/>
        </w:rPr>
      </w:pPr>
      <w:r w:rsidRPr="00C17C4C">
        <w:t>–</w:t>
      </w:r>
      <w:r w:rsidRPr="00C17C4C">
        <w:tab/>
        <w:t>като взе предвид Европейския доклад относно наркотиците за 2025 г., публикуван от Агенцията на Европейския съюз по наркотиците на 5 юни 2025 г.,</w:t>
      </w:r>
    </w:p>
    <w:p w14:paraId="565DE1E5" w14:textId="77777777" w:rsidR="00DA77B6" w:rsidRPr="00C17C4C" w:rsidRDefault="00DA77B6" w:rsidP="00DA77B6">
      <w:pPr>
        <w:pStyle w:val="NormalHanging12a"/>
        <w:rPr>
          <w:bCs/>
          <w:iCs/>
        </w:rPr>
      </w:pPr>
      <w:r w:rsidRPr="00C17C4C">
        <w:t>–</w:t>
      </w:r>
      <w:r w:rsidRPr="00C17C4C">
        <w:tab/>
        <w:t xml:space="preserve">като взе предвид Регионалното споразумение относно достъпа до информация и участието на обществеността и правосъдието по въпроси на околната среда в Латинска Америка и Карибския басейн (Споразумението от </w:t>
      </w:r>
      <w:proofErr w:type="spellStart"/>
      <w:r w:rsidRPr="00C17C4C">
        <w:t>Ескасу</w:t>
      </w:r>
      <w:proofErr w:type="spellEnd"/>
      <w:r w:rsidRPr="00C17C4C">
        <w:t>) от 4 март 2018 г.,</w:t>
      </w:r>
    </w:p>
    <w:p w14:paraId="6AAFF058" w14:textId="77777777" w:rsidR="00DA77B6" w:rsidRPr="00C17C4C" w:rsidRDefault="00DA77B6" w:rsidP="00DA77B6">
      <w:pPr>
        <w:pStyle w:val="NormalHanging12a"/>
      </w:pPr>
      <w:r w:rsidRPr="00C17C4C">
        <w:t>–</w:t>
      </w:r>
      <w:r w:rsidRPr="00C17C4C">
        <w:tab/>
        <w:t>като взе предвид становището на комисията по развитие,</w:t>
      </w:r>
    </w:p>
    <w:p w14:paraId="7AA45E38" w14:textId="77777777" w:rsidR="00DA77B6" w:rsidRPr="00C17C4C" w:rsidRDefault="00DA77B6" w:rsidP="00DA77B6">
      <w:pPr>
        <w:pStyle w:val="NormalHanging12a"/>
      </w:pPr>
      <w:r w:rsidRPr="00C17C4C">
        <w:t>–</w:t>
      </w:r>
      <w:r w:rsidRPr="00C17C4C">
        <w:tab/>
        <w:t>като взе предвид член 55 от своя Правилник за дейността,</w:t>
      </w:r>
    </w:p>
    <w:p w14:paraId="0EBF8D06" w14:textId="77777777" w:rsidR="00DA77B6" w:rsidRPr="00C17C4C" w:rsidRDefault="00DA77B6" w:rsidP="00DA77B6">
      <w:pPr>
        <w:pStyle w:val="NormalHanging12a"/>
      </w:pPr>
      <w:r w:rsidRPr="00C17C4C">
        <w:lastRenderedPageBreak/>
        <w:t>–</w:t>
      </w:r>
      <w:r w:rsidRPr="00C17C4C">
        <w:tab/>
        <w:t>като взе предвид доклада на комисията по външни работи (A10-0171/2025),</w:t>
      </w:r>
    </w:p>
    <w:p w14:paraId="6591CA43" w14:textId="77777777" w:rsidR="00DA77B6" w:rsidRPr="00C17C4C" w:rsidRDefault="00DA77B6" w:rsidP="00DA77B6">
      <w:pPr>
        <w:pStyle w:val="NormalHanging12a"/>
      </w:pPr>
      <w:r w:rsidRPr="00C17C4C">
        <w:t>А.</w:t>
      </w:r>
      <w:r w:rsidRPr="00C17C4C">
        <w:tab/>
        <w:t>като има предвид, че ЕС и народите от Латинска Америка и Карибския басейн имат дългогодишни исторически, религиозни, културни и икономически връзки, които формират естествен съюз, основан на демокрацията, правата на човека и многостранното сътрудничество; като има предвид, че тези отношения се укрепват от дълбоки човешки връзки, тъй като много граждани на Латинска Америка и Карибския басейн също така притежават гражданство на ЕС и обратно; като има предвид, че съюзът между държавите от региона и ЕС следва да бъде основан на демокрацията, правата на човека и многостранното сътрудничество;</w:t>
      </w:r>
    </w:p>
    <w:p w14:paraId="25095731" w14:textId="77777777" w:rsidR="00DA77B6" w:rsidRPr="00C17C4C" w:rsidRDefault="00DA77B6" w:rsidP="00DA77B6">
      <w:pPr>
        <w:pStyle w:val="NormalHanging12a"/>
        <w:rPr>
          <w:bCs/>
          <w:iCs/>
        </w:rPr>
      </w:pPr>
      <w:r w:rsidRPr="00C17C4C">
        <w:t>Б.</w:t>
      </w:r>
      <w:r w:rsidRPr="00C17C4C">
        <w:tab/>
        <w:t xml:space="preserve">като има предвид, че международният ред претърпява дълбока трансформация, при която логиката на сътрудничество, която в продължение на десетилетия е била в основата на глобалните отношения, се заменя от ожесточена стратегическа конкуренция, при която правото на най-силния заплашва да замени международното право като водещ принцип; като има предвид, че само за няколко години международната система, която гарантираше известна стабилност след Втората световна война, беше разтърсена от нарастващо напрежение, националистически импулси и </w:t>
      </w:r>
      <w:proofErr w:type="spellStart"/>
      <w:r w:rsidRPr="00C17C4C">
        <w:t>конфронтационна</w:t>
      </w:r>
      <w:proofErr w:type="spellEnd"/>
      <w:r w:rsidRPr="00C17C4C">
        <w:t xml:space="preserve"> динамика, които заплашват да нарушат глобалното равновесие; като има предвид, че ЕС, който е един от най-верните архитекти и защитници на една основана на правила многостранна система, днес е изправен пред враждебна и предизвикателна среда; като има предвид, че структурното напрежение между Съединените щати и Китай, поставянето под въпрос на демократичните ценности в различни географски региони и изкушението да се премине към </w:t>
      </w:r>
      <w:proofErr w:type="spellStart"/>
      <w:r w:rsidRPr="00C17C4C">
        <w:t>биполярност</w:t>
      </w:r>
      <w:proofErr w:type="spellEnd"/>
      <w:r w:rsidRPr="00C17C4C">
        <w:t xml:space="preserve">, която свежда сложността на света до противопоставяне между силите, изискват твърд и стратегически отговор от страна на Европа; като има предвид, че малко регионални отношения предлагат толкова потенциал и толкова възможности за Европа, колкото тези с Латинска Америка и Карибския басейн, особено за справяне с общи предизвикателства, като например осигуряването на суровини и постигането на напредък в енергийния преход, управлението на миграцията и борбата с организираната престъпност и трафика на наркотици, за да се оформи бъдеще на свобода, сигурност и просперитет; </w:t>
      </w:r>
    </w:p>
    <w:p w14:paraId="7262A706" w14:textId="77777777" w:rsidR="00DA77B6" w:rsidRPr="00C17C4C" w:rsidRDefault="00DA77B6" w:rsidP="00DA77B6">
      <w:pPr>
        <w:pStyle w:val="NormalHanging12a"/>
      </w:pPr>
      <w:r w:rsidRPr="00C17C4C">
        <w:t>В.</w:t>
      </w:r>
      <w:r w:rsidRPr="00C17C4C">
        <w:tab/>
        <w:t>като има предвид, че ЕС и партньорите от Латинска Америка и Карибския басейн се стремят да градят своето сътрудничество въз основа на стабилност, надеждност, съвместна ангажираност, съвместна отговорност, както и на диалог между двата региона, който да отразява многообразието и асиметриите помежду им, като поставят в центъра му хората, социалното сближаване и приобщаващото развитие;</w:t>
      </w:r>
    </w:p>
    <w:p w14:paraId="4DAE822C" w14:textId="77777777" w:rsidR="00DA77B6" w:rsidRPr="00C17C4C" w:rsidRDefault="00DA77B6" w:rsidP="00DA77B6">
      <w:pPr>
        <w:pStyle w:val="NormalHanging12a"/>
      </w:pPr>
      <w:r w:rsidRPr="00C17C4C">
        <w:t>Г.</w:t>
      </w:r>
      <w:r w:rsidRPr="00C17C4C">
        <w:tab/>
        <w:t xml:space="preserve">като има предвид, че ангажираността между двата региона се засилва допълнително чрез солидни двустранни отношения и по-задълбочени взаимодействия с двурегионални и </w:t>
      </w:r>
      <w:proofErr w:type="spellStart"/>
      <w:r w:rsidRPr="00C17C4C">
        <w:t>подрегионални</w:t>
      </w:r>
      <w:proofErr w:type="spellEnd"/>
      <w:r w:rsidRPr="00C17C4C">
        <w:t xml:space="preserve"> структури като Общността на латиноамериканските и карибските държави (CELAC), Организацията на американските държави (OAS),</w:t>
      </w:r>
      <w:r w:rsidRPr="00C17C4C">
        <w:rPr>
          <w:b/>
        </w:rPr>
        <w:t xml:space="preserve"> </w:t>
      </w:r>
      <w:r w:rsidRPr="00C17C4C">
        <w:t>Меркосур, Андската общност, КАРИКОМ/КАРИФОРУМ и Тихоокеанския алианс; като има предвид, че стратегическото партньорство между ЕС и Латинска Америка и Карибския басейн датира от 1999 г., когато в Рио де Жанейро беше проведена първата двурегионална среща на високо равнище между ЕС и Латинска Америка и Карибския басейн;</w:t>
      </w:r>
    </w:p>
    <w:p w14:paraId="3AC4A887" w14:textId="2E73E43A" w:rsidR="00DA77B6" w:rsidRPr="00C17C4C" w:rsidRDefault="00DA77B6" w:rsidP="00DA77B6">
      <w:pPr>
        <w:pStyle w:val="NormalHanging12a"/>
      </w:pPr>
      <w:r w:rsidRPr="00C17C4C">
        <w:lastRenderedPageBreak/>
        <w:t>Д.</w:t>
      </w:r>
      <w:r w:rsidRPr="00C17C4C">
        <w:tab/>
        <w:t xml:space="preserve">като има предвид, че общото население на двата региона надвишава 1 милиард души; като има предвид, че според данните от 2023 г. двустранната търговия със стоки и услуги възлиза на 395 милиарда евро, което представлява увеличение с </w:t>
      </w:r>
      <w:r w:rsidR="007818C1">
        <w:t>45</w:t>
      </w:r>
      <w:r w:rsidRPr="00C17C4C">
        <w:t>% от 2013 г. насам, а преките инвестиции на ЕС в Латинска Америка възлизат на над 741 милиарда евро до 2022 г.; като има предвид, че ЕС и латиноамериканските държави споделят ангажимента си за постигане на целите за устойчиво развитие (ЦУР) на ООН чрез насърчаване на социалната справедливост, равенството и устойчивото развитие; като има предвид, че и двата региона продължават да са изправени пред големи предизвикателства, включително социалното неравенство и неравенството между половете, безработицата и бедността; като има предвид, че в Програмата на ООН за развитие се подчертава спешната необходимост от по-големи инвестиции в социалното приобщаване, тъй като Латинска Америка остава един от регионите в света, характеризиращи се с най-висока степен на неравенство, като 58% от хората в селските райони, особено коренното население, живеят под прага на бедността в сравнение с 26% в градските райони; като има предвид, че през 2023 г. 41 милиона души в Латинска Америка са страдали от глад, а 187,6 милиона са изпитвали умерена до тежка продоволствена несигурност; като има предвид, че нарастващото социално и икономическо неравенство както в Европа, така и в Латинска Америка подхранва общественото недоволство, социалната разпокъсаност и подкопаването на доверието в демократичните институции, като създава благоприятна почва за популистки и авторитарни движения, които използват недобросъвестно оплакванията, поляризират обществата и подкопават върховенството на закона, демократичните норми и плуралистичния дебат;</w:t>
      </w:r>
    </w:p>
    <w:p w14:paraId="25821504" w14:textId="77777777" w:rsidR="00DA77B6" w:rsidRPr="00C17C4C" w:rsidRDefault="00DA77B6" w:rsidP="00DA77B6">
      <w:pPr>
        <w:pStyle w:val="NormalHanging12a"/>
      </w:pPr>
      <w:r w:rsidRPr="00C17C4C">
        <w:t>Е.</w:t>
      </w:r>
      <w:r w:rsidRPr="00C17C4C">
        <w:tab/>
        <w:t>като има предвид, че ЕС и държавите от Латинска Америка и Карибския басейн заедно представляват една трета от населението на държавите – членки на ООН, и около 21% от световния БВП;</w:t>
      </w:r>
    </w:p>
    <w:p w14:paraId="0A6D095B" w14:textId="77777777" w:rsidR="00DA77B6" w:rsidRPr="00C17C4C" w:rsidRDefault="00DA77B6" w:rsidP="00DA77B6">
      <w:pPr>
        <w:pStyle w:val="NormalHanging12a"/>
        <w:rPr>
          <w:bCs/>
          <w:iCs/>
        </w:rPr>
      </w:pPr>
      <w:r w:rsidRPr="00C17C4C">
        <w:t>Ж.</w:t>
      </w:r>
      <w:r w:rsidRPr="00C17C4C">
        <w:tab/>
        <w:t>като има предвид, че високите равнища на публичния дълг, съчетани с нарастващите разходи за обслужването на този дълг, особено на лихвените плащания, и високото равнище на неформална заетост в региона през 2024 г., продължават да създават предизвикателства пред социалната закрила на работниците и допринасят за допълнителни фискални ограничения, които са сред основните пречки пред устойчивото развитие в региона, с трайни отражения върху растежа, инвестициите, бедността и неравенството;</w:t>
      </w:r>
    </w:p>
    <w:p w14:paraId="140CA5CD" w14:textId="77777777" w:rsidR="00DA77B6" w:rsidRPr="00C17C4C" w:rsidRDefault="00DA77B6" w:rsidP="00DA77B6">
      <w:pPr>
        <w:pStyle w:val="NormalHanging12a"/>
      </w:pPr>
      <w:r w:rsidRPr="00C17C4C">
        <w:t>З.</w:t>
      </w:r>
      <w:r w:rsidRPr="00C17C4C">
        <w:tab/>
        <w:t>като има предвид спешната необходимост от предприемане на мерки срещу тези неравенства, за да се насърчат по-справедливи и по-стабилни демокрации, да се маргинализират популизмът и екстремизмът и да се положат основите за устойчиво икономическо възстановяване, създаване на качествени работни места и споделен просперитет и премахване на първопричините за миграцията и принудителното разселване в региона, влошени от безпрецедентното увеличаване на насилието, несигурността, безнаказаността и нарушенията на правата на човека; като има предвид, че е изключително важно да се даде възможност за развитието на здраво гражданско пространство, което защитава организациите за защита на правата на човека и защитниците на околната среда;</w:t>
      </w:r>
    </w:p>
    <w:p w14:paraId="444176B9" w14:textId="77777777" w:rsidR="00DA77B6" w:rsidRPr="00C17C4C" w:rsidRDefault="00DA77B6" w:rsidP="00DA77B6">
      <w:pPr>
        <w:pStyle w:val="NormalHanging12a"/>
        <w:rPr>
          <w:bCs/>
          <w:iCs/>
        </w:rPr>
      </w:pPr>
      <w:r w:rsidRPr="00C17C4C">
        <w:t>И.</w:t>
      </w:r>
      <w:r w:rsidRPr="00C17C4C">
        <w:tab/>
        <w:t xml:space="preserve">като има предвид, че 74% от държавите от Латинска Америка и Карибския басейн са силно изложени на екстремни метеорологични явления и големи предизвикателства, свързани с климата, като например отражението на Ел Ниньо </w:t>
      </w:r>
      <w:r w:rsidRPr="00C17C4C">
        <w:lastRenderedPageBreak/>
        <w:t>върху снабдяването с храни; като има предвид, че регионът е на второ място в света по степен на риск от бедствия, като през последните три десетилетия над 190 милиона души са били засегнати от природни бедствия, особено жените и най-уязвимите групи от населението; като има предвид, че изменението на климата засяга по-специално малките островни развиващи се държави от Карибския басейн;</w:t>
      </w:r>
    </w:p>
    <w:p w14:paraId="1E747B77" w14:textId="77777777" w:rsidR="00DA77B6" w:rsidRPr="00C17C4C" w:rsidRDefault="00DA77B6" w:rsidP="00DA77B6">
      <w:pPr>
        <w:pStyle w:val="NormalHanging12a"/>
        <w:rPr>
          <w:bCs/>
          <w:iCs/>
        </w:rPr>
      </w:pPr>
      <w:r w:rsidRPr="00C17C4C">
        <w:t>Й.</w:t>
      </w:r>
      <w:r w:rsidRPr="00C17C4C">
        <w:tab/>
        <w:t>като има предвид, че почти 35% от общите горски площи в света, 40% от световното биологично разнообразие и около 50% от сухоземните видове се намират в държавите от Латинска Америка и Карибския басейн, и че те са от съществено значение за борбата с изменението на климата; като има предвид, че традиционните познания на коренните общности биха могли да играят ключова роля за опазването на тези гори и видове;</w:t>
      </w:r>
    </w:p>
    <w:p w14:paraId="75B1390D" w14:textId="77777777" w:rsidR="00DA77B6" w:rsidRPr="00C17C4C" w:rsidRDefault="00DA77B6" w:rsidP="00DA77B6">
      <w:pPr>
        <w:pStyle w:val="NormalHanging12a"/>
        <w:rPr>
          <w:bCs/>
          <w:iCs/>
        </w:rPr>
      </w:pPr>
      <w:r w:rsidRPr="00C17C4C">
        <w:t>К.</w:t>
      </w:r>
      <w:r w:rsidRPr="00C17C4C">
        <w:tab/>
        <w:t xml:space="preserve">като има предвид, че както ЕС, така и Латинска Америка и Карибския басейн, са поели ангажимент за постигане на целите на Парижкото споразумение; като има предвид, че първичните стоки (селскостопански продукти и природни ресурси) представляват приблизително 50% от целия износ на стоки от държавите от Латинска Америка и Карибския басейн; като има предвид, че Латинска Америка и Карибският басейн разполагат с големи запаси от суровини, необходими за гарантиране на екологичната и енергийната трансформация на нашите икономики; като има предвид, че необходимостта от тези суровини и свързаното с тях сътрудничество в рамките на проектите по линия на </w:t>
      </w:r>
      <w:proofErr w:type="spellStart"/>
      <w:r w:rsidRPr="00C17C4C">
        <w:t>Global</w:t>
      </w:r>
      <w:proofErr w:type="spellEnd"/>
      <w:r w:rsidRPr="00C17C4C">
        <w:t xml:space="preserve"> </w:t>
      </w:r>
      <w:proofErr w:type="spellStart"/>
      <w:r w:rsidRPr="00C17C4C">
        <w:t>Gateway</w:t>
      </w:r>
      <w:proofErr w:type="spellEnd"/>
      <w:r w:rsidRPr="00C17C4C">
        <w:t xml:space="preserve"> следва да се основават на взаимноизгодни партньорства, които, наред с другото, генерират заетост и инвестиции, като по този начин добавят стойност за региона, като същевременно се справят с предизвикателството, свързано с нарастващия натиск върху многообразието и продоволствената сигурност; като има предвид, че регионът на Латинска Америка и Карибския басейн е изправен пред значителен недостиг на инвестиции за осъществяването на своя справедлив екологичен и цифров преход;</w:t>
      </w:r>
    </w:p>
    <w:p w14:paraId="2AE6AA19" w14:textId="77777777" w:rsidR="00DA77B6" w:rsidRPr="00C17C4C" w:rsidRDefault="00DA77B6" w:rsidP="00DA77B6">
      <w:pPr>
        <w:pStyle w:val="NormalHanging12a"/>
        <w:rPr>
          <w:b/>
          <w:iCs/>
        </w:rPr>
      </w:pPr>
      <w:r w:rsidRPr="00C17C4C">
        <w:t>Л.</w:t>
      </w:r>
      <w:r w:rsidRPr="00C17C4C">
        <w:tab/>
        <w:t>като има предвид, че демографските и епидемиологичните тенденции и последиците от изменението на климата в ЕС и държавите от Латинска Америка и Карибския басейн водят до увеличаване на търсенето на грижи, включително дългосрочни грижи, и по този начин оказват въздействие върху равните права и възможности за жените, на които предимно се възлага платен и неплатен домашен труд и труд по полагане на грижи при липсата на достатъчно политики и услуги за полагане на грижи, които да гарантират споделена отговорност между мъжете и жените;</w:t>
      </w:r>
    </w:p>
    <w:p w14:paraId="6E185D04" w14:textId="77777777" w:rsidR="00DA77B6" w:rsidRPr="00C17C4C" w:rsidRDefault="00DA77B6" w:rsidP="00DA77B6">
      <w:pPr>
        <w:pStyle w:val="NormalHanging12a"/>
      </w:pPr>
      <w:r w:rsidRPr="00C17C4C">
        <w:t>М.</w:t>
      </w:r>
      <w:r w:rsidRPr="00C17C4C">
        <w:tab/>
        <w:t>като има предвид, че основаният на правила международен ред, на който се основават мирът, благоденствието, зачитането на върховенството на закона, международното право и правата на човека през последните 80 години, бива все повече оспорван от автократични тенденции и автокрациите по цялото земно кълбо; като има предвид, че двата региона заедно притежават една трета от правата на глас в ООН;</w:t>
      </w:r>
    </w:p>
    <w:p w14:paraId="37B55DC9" w14:textId="77777777" w:rsidR="00DA77B6" w:rsidRPr="00C17C4C" w:rsidRDefault="00DA77B6" w:rsidP="00DA77B6">
      <w:pPr>
        <w:pStyle w:val="NormalHanging12a"/>
      </w:pPr>
      <w:r w:rsidRPr="00C17C4C">
        <w:t>Н.</w:t>
      </w:r>
      <w:r w:rsidRPr="00C17C4C">
        <w:tab/>
        <w:t xml:space="preserve">като има предвид, че незаконната, неоправдана и </w:t>
      </w:r>
      <w:proofErr w:type="spellStart"/>
      <w:r w:rsidRPr="00C17C4C">
        <w:t>непровокирана</w:t>
      </w:r>
      <w:proofErr w:type="spellEnd"/>
      <w:r w:rsidRPr="00C17C4C">
        <w:t xml:space="preserve"> агресивна война на Русия срещу Украйна представлява грубо нарушение на международното право и застрашава световната сигурност, което изисква твърда, координирана и недвусмислена позиция от страна на демократичните партньори, включително тези в Латинска Америка и Карибския басейн; като има предвид, че повечето </w:t>
      </w:r>
      <w:r w:rsidRPr="00C17C4C">
        <w:lastRenderedPageBreak/>
        <w:t>държави от Латинска Америка и Карибския басейн подкрепиха резолюциите на ООН срещу руската агресия срещу Украйна;</w:t>
      </w:r>
    </w:p>
    <w:p w14:paraId="43DBC142" w14:textId="77777777" w:rsidR="00DA77B6" w:rsidRPr="00C17C4C" w:rsidRDefault="00DA77B6" w:rsidP="00DA77B6">
      <w:pPr>
        <w:pStyle w:val="NormalHanging12a"/>
      </w:pPr>
      <w:r w:rsidRPr="00C17C4C">
        <w:t>О.</w:t>
      </w:r>
      <w:r w:rsidRPr="00C17C4C">
        <w:tab/>
        <w:t xml:space="preserve">като има предвид, че външни участници, по-специално Китай, Русия и Иран, разшириха своя отпечатък в Латинска Америка и Карибския басейн, като Пекин увеличи инвестициите си в проекти за инфраструктура и суровини, Москва засили своето дипломатическо, политическо, пропагандно и военно присъствие, както и присъствието си в областта на сигурността, а Техеран увеличи разузнавателните си дейности в региона; като има предвид, че тези външни участници подкрепят местните антидемократични сили и допринасят за отстъплението от демокрацията; като има предвид, че Русия използва икономическата зависимост, включително по отношение на торовете и дизеловото гориво, и разпространява кампании за дезинформация с цел дестабилизиране на демократичните системи; като има предвид, че присъствието на Китай също така създава икономически зависимости, които влияят върху външнополитическите насоки в региона; </w:t>
      </w:r>
    </w:p>
    <w:p w14:paraId="6091E7A0" w14:textId="77777777" w:rsidR="00DA77B6" w:rsidRPr="00C17C4C" w:rsidRDefault="00DA77B6" w:rsidP="00DA77B6">
      <w:pPr>
        <w:pStyle w:val="NormalHanging12a"/>
      </w:pPr>
      <w:r w:rsidRPr="00C17C4C">
        <w:t>П.</w:t>
      </w:r>
      <w:r w:rsidRPr="00C17C4C">
        <w:tab/>
        <w:t xml:space="preserve">като има предвид, че свободата на изразяване и събрания са ключови компоненти и фактори, позволяващи изграждането на демократични, свободни и обществено активни общества; като има предвид, че насилието срещу политически опоненти представлява пряка заплаха за основите на демокрацията, както е видно от убийството на колумбийския сенатор Мигел Урибе </w:t>
      </w:r>
      <w:proofErr w:type="spellStart"/>
      <w:r w:rsidRPr="00C17C4C">
        <w:t>Турбай</w:t>
      </w:r>
      <w:proofErr w:type="spellEnd"/>
      <w:r w:rsidRPr="00C17C4C">
        <w:t xml:space="preserve"> и тревожното нарастване на насилието в Колумбия;</w:t>
      </w:r>
    </w:p>
    <w:p w14:paraId="586FDF7B" w14:textId="77777777" w:rsidR="00DA77B6" w:rsidRPr="00C17C4C" w:rsidRDefault="00DA77B6" w:rsidP="00DA77B6">
      <w:pPr>
        <w:pStyle w:val="NormalHanging12a"/>
      </w:pPr>
      <w:r w:rsidRPr="00C17C4C">
        <w:t>Р.</w:t>
      </w:r>
      <w:r w:rsidRPr="00C17C4C">
        <w:tab/>
        <w:t>като има предвид, че ЕС и Парламентът са оказвали голяма подкрепа за споразумението относно мирния процес в Колумбия, приключил през 2016 г., и продължават да наблюдават неговото прилагане; като има предвид, че това мирно споразумение сложи край на пет десетилетия въоръжен конфликт; като има предвид, че продължаващата подкрепа на ЕС за пълното прилагане на мирното споразумение следва да вземе предвид неотдавнашната ескалация на насилието;</w:t>
      </w:r>
    </w:p>
    <w:p w14:paraId="56DD6346" w14:textId="77777777" w:rsidR="00DA77B6" w:rsidRPr="00C17C4C" w:rsidRDefault="00DA77B6" w:rsidP="00DA77B6">
      <w:pPr>
        <w:pStyle w:val="NormalHanging12a"/>
      </w:pPr>
      <w:r w:rsidRPr="00C17C4C">
        <w:t>С.</w:t>
      </w:r>
      <w:r w:rsidRPr="00C17C4C">
        <w:tab/>
        <w:t>като има предвид, че цялостното отстъпление от демокрацията в авторитарните и нелибералните режими дава възможност за стратегии за легитимиране на тези режими, включително чрез премахване на ефективните проверки на прилагането на репресивните закони;</w:t>
      </w:r>
    </w:p>
    <w:p w14:paraId="06365C5C" w14:textId="77777777" w:rsidR="00DA77B6" w:rsidRPr="00C17C4C" w:rsidRDefault="00DA77B6" w:rsidP="00DA77B6">
      <w:pPr>
        <w:pStyle w:val="NormalHanging12a"/>
      </w:pPr>
      <w:r w:rsidRPr="00C17C4C">
        <w:t>Т.</w:t>
      </w:r>
      <w:r w:rsidRPr="00C17C4C">
        <w:tab/>
        <w:t>като има предвид, че Парламентът неотдавна и недвусмислено изрази позицията си чрез многобройни резолюции относно неспазването на Споразумението за политически диалог и сътрудничество между ЕС и Куба; като има предвид, че понастоящем в Куба има 1155 политически затворници и че кубинският режим извършва систематични нарушения на правата на човека;</w:t>
      </w:r>
    </w:p>
    <w:p w14:paraId="6E81E66C" w14:textId="77777777" w:rsidR="00DA77B6" w:rsidRPr="00C17C4C" w:rsidRDefault="00DA77B6" w:rsidP="00DA77B6">
      <w:pPr>
        <w:pStyle w:val="NormalHanging12a"/>
      </w:pPr>
      <w:r w:rsidRPr="00C17C4C">
        <w:t>У.</w:t>
      </w:r>
      <w:r w:rsidRPr="00C17C4C">
        <w:tab/>
        <w:t xml:space="preserve">като има предвид, че Парламентът осъди узурпирането на президентския пост във Венесуела от Николас Мадуро на 10 януари 2025 г. и призна </w:t>
      </w:r>
      <w:proofErr w:type="spellStart"/>
      <w:r w:rsidRPr="00C17C4C">
        <w:t>Едмундо</w:t>
      </w:r>
      <w:proofErr w:type="spellEnd"/>
      <w:r w:rsidRPr="00C17C4C">
        <w:t xml:space="preserve"> Гонсалес </w:t>
      </w:r>
      <w:proofErr w:type="spellStart"/>
      <w:r w:rsidRPr="00C17C4C">
        <w:t>Урутия</w:t>
      </w:r>
      <w:proofErr w:type="spellEnd"/>
      <w:r w:rsidRPr="00C17C4C">
        <w:t xml:space="preserve"> за законен и демократично избран президент на Венесуела, а Мария </w:t>
      </w:r>
      <w:proofErr w:type="spellStart"/>
      <w:r w:rsidRPr="00C17C4C">
        <w:t>Корина</w:t>
      </w:r>
      <w:proofErr w:type="spellEnd"/>
      <w:r w:rsidRPr="00C17C4C">
        <w:t xml:space="preserve"> Мачадо за лидер на демократичните сили във Венесуела; като има предвид, че Парламентът им присъди наградата „Сахаров“ за свобода на мисълта за 2024 г., което символизира подкрепата за борбата за свобода и демокрация във Венесуела; като има предвид, че следва да бъде изразено дълбоко съчувствие към над седемте милиона </w:t>
      </w:r>
      <w:proofErr w:type="spellStart"/>
      <w:r w:rsidRPr="00C17C4C">
        <w:t>венесуелци</w:t>
      </w:r>
      <w:proofErr w:type="spellEnd"/>
      <w:r w:rsidRPr="00C17C4C">
        <w:t xml:space="preserve">, които са били принудени да напуснат своята държава от 2015 г. насам, като приблизително 6 милиона са се преселили в Латинска Америка и Карибския басейн; като има предвид, че съседните държави са подложени на значителен натиск; като има предвид, че солидарността и </w:t>
      </w:r>
      <w:r w:rsidRPr="00C17C4C">
        <w:lastRenderedPageBreak/>
        <w:t xml:space="preserve">големите усилия на приемащите общности, особено на Колумбия, за предоставяне на достъп до здравеопазване, образование и възможности за заетост за </w:t>
      </w:r>
      <w:proofErr w:type="spellStart"/>
      <w:r w:rsidRPr="00C17C4C">
        <w:t>венесуелските</w:t>
      </w:r>
      <w:proofErr w:type="spellEnd"/>
      <w:r w:rsidRPr="00C17C4C">
        <w:t xml:space="preserve"> бежанци следва да бъдат приветствани, тъй като това допринася за регионалната стабилност и защитата на основните права;</w:t>
      </w:r>
    </w:p>
    <w:p w14:paraId="0871B57F" w14:textId="77777777" w:rsidR="00DA77B6" w:rsidRPr="00C17C4C" w:rsidRDefault="00DA77B6" w:rsidP="00DA77B6">
      <w:pPr>
        <w:pStyle w:val="NormalHanging12a"/>
        <w:rPr>
          <w:bCs/>
          <w:iCs/>
        </w:rPr>
      </w:pPr>
      <w:r w:rsidRPr="00C17C4C">
        <w:t>Ф.</w:t>
      </w:r>
      <w:r w:rsidRPr="00C17C4C">
        <w:tab/>
        <w:t xml:space="preserve">като има предвид, че от 2018 г. насам никарагуанският режим систематично, многократно и произволно преследва защитници на правата на човека и представители на опозицията и религиозните общности, наред с други; като има предвид, че над 5600 НПО, включително религиозни групи – предимно католически – бяха разпуснати и техните активи бяха конфискувани; като има предвид, че Парламентът многократно е осъждал режима, наложен в Никарагуа от Даниел Ортега и Росарио </w:t>
      </w:r>
      <w:proofErr w:type="spellStart"/>
      <w:r w:rsidRPr="00C17C4C">
        <w:t>Мурильо</w:t>
      </w:r>
      <w:proofErr w:type="spellEnd"/>
      <w:r w:rsidRPr="00C17C4C">
        <w:t>;</w:t>
      </w:r>
    </w:p>
    <w:p w14:paraId="0D4C9125" w14:textId="77777777" w:rsidR="00DA77B6" w:rsidRPr="00C17C4C" w:rsidRDefault="00DA77B6" w:rsidP="00DA77B6">
      <w:pPr>
        <w:pStyle w:val="NormalHanging12a"/>
      </w:pPr>
      <w:r w:rsidRPr="00C17C4C">
        <w:t>Х.</w:t>
      </w:r>
      <w:r w:rsidRPr="00C17C4C">
        <w:tab/>
        <w:t>като има предвид, че действията, предприети от администрацията на Тръмп в Съединените щати, внесоха геополитическа несигурност, накърниха многостранното сътрудничество и възпрепятстваха сътрудничеството между двата региона, като по този начин засилиха необходимостта от силен и автономен съюз между ЕС и Латинска Америка и Карибския басейн; като има предвид, че стратегическият съюз между ЕС и Латинска Америка и Карибския басейн е от ключово значение за прокарването на споделени ценности и интереси, като например многостранното сътрудничество и демокрацията;</w:t>
      </w:r>
      <w:r w:rsidRPr="00C17C4C">
        <w:rPr>
          <w:b/>
          <w:i/>
        </w:rPr>
        <w:t xml:space="preserve"> </w:t>
      </w:r>
    </w:p>
    <w:p w14:paraId="4D690145" w14:textId="77777777" w:rsidR="00DA77B6" w:rsidRPr="00C17C4C" w:rsidRDefault="00DA77B6" w:rsidP="00DA77B6">
      <w:pPr>
        <w:pStyle w:val="NormalHanging12a"/>
        <w:rPr>
          <w:bCs/>
          <w:iCs/>
        </w:rPr>
      </w:pPr>
      <w:r w:rsidRPr="00C17C4C">
        <w:t>Ц.</w:t>
      </w:r>
      <w:r w:rsidRPr="00C17C4C">
        <w:rPr>
          <w:b/>
          <w:i/>
        </w:rPr>
        <w:tab/>
      </w:r>
      <w:r w:rsidRPr="00C17C4C">
        <w:t>като има предвид, че регионът на Латинска Америка и Карибския басейн остава недостатъчно представен в ключови международни организации и форуми, включително Г-20 и международните финансови организации; като има предвид, че Мексико и Бразилия заемат специално място в отношенията между двата региона, тъй като са двете най-големи икономики в Латинска Америка и Карибския басейн, упражняват значително геополитическо влияние и са официално определени като стратегически партньори на ЕС;</w:t>
      </w:r>
    </w:p>
    <w:p w14:paraId="5062A32F" w14:textId="77777777" w:rsidR="00DA77B6" w:rsidRPr="00C17C4C" w:rsidRDefault="00DA77B6" w:rsidP="00DA77B6">
      <w:pPr>
        <w:pStyle w:val="NormalHanging12a"/>
        <w:rPr>
          <w:bCs/>
          <w:iCs/>
        </w:rPr>
      </w:pPr>
      <w:r w:rsidRPr="00C17C4C">
        <w:t>Ч.</w:t>
      </w:r>
      <w:r w:rsidRPr="00C17C4C">
        <w:tab/>
        <w:t>като има предвид, че трафикът на наркотици представлява сериозна заплаха за сигурността в двата региона; като има предвид, че след 2020 г. Европейският съюз се превърна в най-големия пазар по употреба на кокаин в света; като има предвид, че кокаинът идва предимно от Латинска Америка и Карибския басейн и влиза в ЕС предимно през европейските пристанища на Атлантическия океан;</w:t>
      </w:r>
    </w:p>
    <w:p w14:paraId="731B2A39" w14:textId="77777777" w:rsidR="00DA77B6" w:rsidRPr="00C17C4C" w:rsidRDefault="00DA77B6" w:rsidP="00DA77B6">
      <w:pPr>
        <w:pStyle w:val="NormalHanging12a"/>
      </w:pPr>
      <w:r w:rsidRPr="00C17C4C">
        <w:t>Ш.</w:t>
      </w:r>
      <w:r w:rsidRPr="00C17C4C">
        <w:tab/>
        <w:t>като има предвид, че гражданското пространство се свива в множество държави от Латинска Америка и Карибския басейн, които са свидетели на безпрецедентно увеличение на нападенията срещу организации за правата на човека, активисти и защитници, което води до разселване, насилие и безнаказаност;</w:t>
      </w:r>
    </w:p>
    <w:p w14:paraId="742FB8FA" w14:textId="77777777" w:rsidR="00DA77B6" w:rsidRPr="00C17C4C" w:rsidRDefault="00DA77B6" w:rsidP="00DA77B6">
      <w:pPr>
        <w:pStyle w:val="NormalHanging12a"/>
      </w:pPr>
      <w:r w:rsidRPr="00C17C4C">
        <w:t>Щ.</w:t>
      </w:r>
      <w:r w:rsidRPr="00C17C4C">
        <w:tab/>
        <w:t>като има предвид, че както Европейският съюз, така и държавите от Латинска Америка и Карибския басейн споделят стратегически интерес от укрепване на съответната си стратегическа автономност и от диверсифициране на веригите си на доставки; като има предвид, че Латинска Америка е световен лидер в производството на устойчива енергия, като приблизително 69% от електроенергията ѝ се произвежда от възобновяеми и чисти източници, което демонстрира стратегическото значение и потенциал на региона в световния екологичен преход;</w:t>
      </w:r>
    </w:p>
    <w:p w14:paraId="65D83ACA" w14:textId="77777777" w:rsidR="00DA77B6" w:rsidRPr="00C17C4C" w:rsidRDefault="00DA77B6" w:rsidP="00DA77B6">
      <w:pPr>
        <w:pStyle w:val="NormalHanging12a"/>
        <w:rPr>
          <w:rStyle w:val="BoldItalic"/>
        </w:rPr>
      </w:pPr>
      <w:r w:rsidRPr="00C17C4C">
        <w:t>АА.</w:t>
      </w:r>
      <w:r w:rsidRPr="00C17C4C">
        <w:tab/>
        <w:t xml:space="preserve">като има предвид, че от създаването на CELAC през 2010 г. досега са проведени три срещи на високо равнище между ЕС и CELAC – през 2013 г., 2015 г. и 2023 г.; </w:t>
      </w:r>
      <w:r w:rsidRPr="00C17C4C">
        <w:lastRenderedPageBreak/>
        <w:t>като има предвид, че ЕС и CELAC имат дългогодишно стратегическо партньорство и са създали мрежа от споразумения за асоцииране и търговия; като има предвид, че срещата на високо равнище между ЕС и CELAC, която предстои да се проведе през ноември 2025 г. в Колумбия, ще бъде ключова възможност да се потвърди отново ангажираността на ЕС към Латинска Америка и Карибския басейн и да се покаже, че Европа е основен, надежден и стратегически партньор, който предлага заслужаващ доверие алтернативен модел на развитие, имащ корени в демократичното сътрудничество и споделеното благоденствие, както и че двата региона са твърдо ангажирани със сътрудничеството помежду си и с основан на правила международен ред;</w:t>
      </w:r>
      <w:r w:rsidRPr="00C17C4C">
        <w:rPr>
          <w:rStyle w:val="BoldItalic"/>
        </w:rPr>
        <w:t xml:space="preserve"> </w:t>
      </w:r>
    </w:p>
    <w:p w14:paraId="33544DD8" w14:textId="77777777" w:rsidR="00DA77B6" w:rsidRPr="00C17C4C" w:rsidRDefault="00DA77B6" w:rsidP="00DA77B6">
      <w:pPr>
        <w:pStyle w:val="NormalHanging12a"/>
      </w:pPr>
      <w:r w:rsidRPr="00C17C4C">
        <w:t>1.</w:t>
      </w:r>
      <w:r w:rsidRPr="00C17C4C">
        <w:tab/>
        <w:t>подчертава дълбоките човешки, исторически, културни и икономически, както и религиозни връзки между ЕС и Латинска Америка и Карибския басейн, които формират основата на естествен съюз и базата за развитието на силно и трайно европейско-латиноамериканско трансатлантическо пространство на мир, демокрация и просперитет;</w:t>
      </w:r>
    </w:p>
    <w:p w14:paraId="443B37FA" w14:textId="77777777" w:rsidR="00DA77B6" w:rsidRPr="00C17C4C" w:rsidRDefault="00DA77B6" w:rsidP="00DA77B6">
      <w:pPr>
        <w:pStyle w:val="NormalHanging12a"/>
      </w:pPr>
      <w:r w:rsidRPr="00C17C4C">
        <w:t>2.</w:t>
      </w:r>
      <w:r w:rsidRPr="00C17C4C">
        <w:tab/>
      </w:r>
      <w:bookmarkStart w:id="7" w:name="_Hlk208222830"/>
      <w:r w:rsidRPr="00C17C4C">
        <w:t>насърчава политика, насочена към насърчаване на регионалното сътрудничество и по-голяма регионална интеграция в Латинска Америка и Карибския басейн; подчертава, че новият глобален геополитически контекст изисква качествен скок в партньорството между ЕС и Латинска Америка и Карибския басейн за по-нататъшно развитие на стратегически съюз в защита на многостранното сътрудничество и неговите основополагащи принципи, включително диалог, приобщаване, международна солидарност и зачитане на Устава на ООН, правата на човека, хуманитарното право, както и насърчаването на устойчивото развитие;</w:t>
      </w:r>
      <w:bookmarkEnd w:id="7"/>
    </w:p>
    <w:p w14:paraId="2EDF49DD" w14:textId="77777777" w:rsidR="00DA77B6" w:rsidRPr="00C17C4C" w:rsidRDefault="00DA77B6" w:rsidP="00DA77B6">
      <w:pPr>
        <w:pStyle w:val="NormalHanging12a"/>
      </w:pPr>
      <w:r w:rsidRPr="00C17C4C">
        <w:t>3.</w:t>
      </w:r>
      <w:r w:rsidRPr="00C17C4C">
        <w:tab/>
        <w:t>счита, че ЕС и Латинска Америка и Карибския басейн, като естествени стратегически партньори, имат историческа възможност да засилят своя съюз в настоящия геополитически контекст, белязан от стратегическа конкуренция; счита, че тяхното партньорство може да представлява важен буфер срещу нарастващото геополитическо напрежение чрез изграждане на съвместни политики, които подхранват тяхната стратегическа автономност, сътрудничество и взаимно уважение;</w:t>
      </w:r>
    </w:p>
    <w:p w14:paraId="4721672C" w14:textId="77777777" w:rsidR="00DA77B6" w:rsidRPr="00C17C4C" w:rsidRDefault="00DA77B6" w:rsidP="00DA77B6">
      <w:pPr>
        <w:pStyle w:val="NormalHanging12a"/>
      </w:pPr>
      <w:r w:rsidRPr="00C17C4C">
        <w:t>4.</w:t>
      </w:r>
      <w:r w:rsidRPr="00C17C4C">
        <w:tab/>
        <w:t>подчертава факта, че отношенията между Европа и Латинска Америка и Карибския басейн се основават и на дълбоки човешки връзки; припомня, че в един все по-разединен свят човешкият капитал, който включва споделени езици, наследство и културни връзки, е стратегически актив, който трябва да бъде съхранен;</w:t>
      </w:r>
    </w:p>
    <w:p w14:paraId="677FCC30" w14:textId="77777777" w:rsidR="00DA77B6" w:rsidRPr="00C17C4C" w:rsidRDefault="00DA77B6" w:rsidP="00DA77B6">
      <w:pPr>
        <w:pStyle w:val="NormalHanging12a"/>
      </w:pPr>
      <w:r w:rsidRPr="00C17C4C">
        <w:t>5.</w:t>
      </w:r>
      <w:r w:rsidRPr="00C17C4C">
        <w:tab/>
        <w:t>подчертава подновената и нарастваща ангажираност на ЕС в региона, илюстрирана от ключовата среща на високо равнище между ЕС и CELAC през 2023 г., която беляза ясен повратен момент след години на ограничено участие; подчертава необходимостта от траен ангажимент за прокарване на интересите и ценностите на ЕС; отбелязва, че през последните десетилетия ангажираността на ЕС в региона отбеляза спад, като по този начин се създаде вакуум в полза на нарастващото влияние на Китай, Русия и Иран; изразява съжаление поради факта, че тази по-голяма близост с авторитарни режими в крайна сметка води до подкопаване на демокрацията в региона;</w:t>
      </w:r>
    </w:p>
    <w:p w14:paraId="2CC93909" w14:textId="77777777" w:rsidR="00DA77B6" w:rsidRPr="00C17C4C" w:rsidRDefault="00DA77B6" w:rsidP="00DA77B6">
      <w:pPr>
        <w:pStyle w:val="NormalHanging12a"/>
      </w:pPr>
      <w:r w:rsidRPr="00C17C4C">
        <w:t>6.</w:t>
      </w:r>
      <w:r w:rsidRPr="00C17C4C">
        <w:tab/>
        <w:t xml:space="preserve">признава спешната необходимост от продължаване на подобряването и развитието на отношенията между ЕС и Латинска Америка и Карибския басейн в </w:t>
      </w:r>
      <w:r w:rsidRPr="00C17C4C">
        <w:lastRenderedPageBreak/>
        <w:t>отговор на възникващите геополитически промени, изменението на климата, технологичния напредък, нарастващите неравенства и предизвикателствата, свързани със сигурността, както и от увеличаване на стратегическата автономност на двата региона;</w:t>
      </w:r>
    </w:p>
    <w:p w14:paraId="3E9DE1D1" w14:textId="77777777" w:rsidR="00DA77B6" w:rsidRPr="00C17C4C" w:rsidRDefault="00DA77B6" w:rsidP="00DA77B6">
      <w:pPr>
        <w:pStyle w:val="NormalHanging12a"/>
        <w:ind w:left="0" w:firstLine="0"/>
        <w:rPr>
          <w:b/>
          <w:bCs/>
          <w:i/>
          <w:iCs/>
        </w:rPr>
      </w:pPr>
      <w:r w:rsidRPr="00C17C4C">
        <w:rPr>
          <w:b/>
          <w:i/>
        </w:rPr>
        <w:t xml:space="preserve">Геополитическото значение на стратегическия съюз, засиления диалог и сътрудничеството между ЕС и Латинска Америка и Карибския басейн </w:t>
      </w:r>
    </w:p>
    <w:p w14:paraId="49ECD6B5" w14:textId="77777777" w:rsidR="00DA77B6" w:rsidRPr="00C17C4C" w:rsidRDefault="00DA77B6" w:rsidP="00DA77B6">
      <w:pPr>
        <w:pStyle w:val="NormalHanging12a"/>
      </w:pPr>
      <w:r w:rsidRPr="00C17C4C">
        <w:t>7.</w:t>
      </w:r>
      <w:r w:rsidRPr="00C17C4C">
        <w:tab/>
        <w:t>призовава заместник-председателя на Комисията/върховен представител на Съюза по въпросите на външните работи и политиката на сигурност и държавите членки да увеличат дипломатическите усилия в региона за насърчаване на по-голямо сближаване между ЕС и Латинска Америка и Карибския басейн по ключови външнополитически въпроси, и по-специално да заемат по-твърда позиция по отношение на агресивната война на Русия срещу Украйна и международните усилия за постигане на трайно прекратяване на огъня в Газа, потока на хуманитарна помощ и безусловното освобождаване на всички заложници; подчертава, че като се има предвид настоящият международен контекст, партньорството между ЕС и Латинска Америка и Карибския басейн следва да бъде изградено върху логика на споделена стратегическа автономност, намаляване на външните зависимости и защита на многостранния, основан на правила ред като водещи принципи;</w:t>
      </w:r>
    </w:p>
    <w:p w14:paraId="1DF5B80B" w14:textId="77777777" w:rsidR="00DA77B6" w:rsidRPr="00C17C4C" w:rsidRDefault="00DA77B6" w:rsidP="00DA77B6">
      <w:pPr>
        <w:pStyle w:val="NormalHanging12a"/>
      </w:pPr>
      <w:r w:rsidRPr="00C17C4C">
        <w:t>8.</w:t>
      </w:r>
      <w:r w:rsidRPr="00C17C4C">
        <w:tab/>
        <w:t>насърчава задълбочаването на сътрудничеството между ЕС и Латинска Америка и Карибския басейн в рамките на международни форуми с цел насърчаване и защита на многостранния световен ред, международното право и зачитането на демокрацията и правата на човека, хуманитарното право и принципи, социалната справедливост и устойчивото развитие; подчертава във връзка с това, че ЕС трябва да покаже на своите партньори в Латинска Америка и Карибския басейн, че той може да предложи по-добри условия за партньорство, отколкото авторитарните режими;</w:t>
      </w:r>
    </w:p>
    <w:p w14:paraId="76A2531D" w14:textId="77777777" w:rsidR="00DA77B6" w:rsidRPr="00C17C4C" w:rsidRDefault="00DA77B6" w:rsidP="00DA77B6">
      <w:pPr>
        <w:pStyle w:val="NormalHanging12a"/>
      </w:pPr>
      <w:r w:rsidRPr="00C17C4C">
        <w:t>9.</w:t>
      </w:r>
      <w:r w:rsidRPr="00C17C4C">
        <w:tab/>
        <w:t>ето защо подчертава, че е важно да се гарантира, че усилията на ЕС са съсредоточени върху укрепването на демократичните институции, върховенството на закона и политическата отчетност, и призовава за напредък във връзка с реформите и мерките за изграждане на мира, насочени към засилване на сигурността и стабилността в двата региона; припомня, че защитата на правата на човека, демокрацията, върховенството на закона и равенството между половете трябва да бъде хоризонтално условие за всички споразумения и финансиране между ЕС и Латинска Америка и Карибския басейн, включително по линия на Инструмента за съседство, сътрудничество за развитие и международно сътрудничество (ИССРМС – Глобална Европа); призовава за прозрачност и отчетност, особено в рамките на търговията и инвестициите;</w:t>
      </w:r>
    </w:p>
    <w:p w14:paraId="4C5B6690" w14:textId="77777777" w:rsidR="00DA77B6" w:rsidRPr="00C17C4C" w:rsidRDefault="00DA77B6" w:rsidP="00DA77B6">
      <w:pPr>
        <w:pStyle w:val="NormalHanging12a"/>
      </w:pPr>
      <w:r w:rsidRPr="00C17C4C">
        <w:t>10.</w:t>
      </w:r>
      <w:r w:rsidRPr="00C17C4C">
        <w:tab/>
        <w:t>изразява загриженост във връзка с отстъплението от демокрацията в Латинска Америка и Карибския басейн от 2019 г. насам и осъжда нарушенията на правата на човека и ограничаването на основните права в региона, особено от режимите</w:t>
      </w:r>
      <w:r w:rsidRPr="00C17C4C">
        <w:rPr>
          <w:b/>
          <w:i/>
        </w:rPr>
        <w:t xml:space="preserve"> </w:t>
      </w:r>
      <w:r w:rsidRPr="00C17C4C">
        <w:t xml:space="preserve">в Никарагуа, Куба и Венесуела, които са сред най-авторитарните в света; изразява дълбока загриженост относно нарастващата тенденция на авторитарно и популистко управление в Латинска Америка и Карибския басейн, както и кумулативното подкопаване на демократичните институции, многостранното сътрудничество, върховенството на закона, основните права и свободи, гражданското пространство и основната социална закрила; подчертава </w:t>
      </w:r>
      <w:r w:rsidRPr="00C17C4C">
        <w:lastRenderedPageBreak/>
        <w:t>необходимостта от засилване на подкрепата за демократичните участници и гражданското общество и настоятелно призовава за незабавното освобождаване на всички политически затворници;</w:t>
      </w:r>
    </w:p>
    <w:p w14:paraId="697A72DC" w14:textId="77777777" w:rsidR="00DA77B6" w:rsidRPr="00C17C4C" w:rsidRDefault="00DA77B6" w:rsidP="00DA77B6">
      <w:pPr>
        <w:pStyle w:val="NormalHanging12a"/>
        <w:rPr>
          <w:b/>
          <w:i/>
        </w:rPr>
      </w:pPr>
      <w:r w:rsidRPr="00C17C4C">
        <w:t>11.</w:t>
      </w:r>
      <w:r w:rsidRPr="00C17C4C">
        <w:tab/>
        <w:t>осъжда по-специално систематичните нарушения на правата на човека от страна на кубинския режим срещу протестиращи, политически дисиденти, религиозни лидери и активисти за правата на човека и възпрепятстването на създаването на независими организации на гражданското общество; отбелязва, че надеждни източници посочват, че режимът държи над хиляда политически затворници, включително малолетни и непълнолетни лица, и настоятелно призовава кубинския режим да ги освободи незабавно; призовава за използването на всички необходими налични инструменти, без никакво изключение, за да се гарантира спазването на клаузите за демокрацията и правата на човека на Споразумението за политически диалог и сътрудничество между ЕС и Куба; призовава отново Съвета да приеме санкции срещу лицата, отговорни за продължаващите нарушения; осъжда участието на кубински наемници във военната кампания на Русия на фронта в Украйна;</w:t>
      </w:r>
      <w:r w:rsidRPr="00C17C4C">
        <w:rPr>
          <w:b/>
          <w:i/>
        </w:rPr>
        <w:t xml:space="preserve"> </w:t>
      </w:r>
    </w:p>
    <w:p w14:paraId="199545E1" w14:textId="77777777" w:rsidR="00DA77B6" w:rsidRPr="00C17C4C" w:rsidRDefault="00DA77B6" w:rsidP="00DA77B6">
      <w:pPr>
        <w:pStyle w:val="NormalHanging12a"/>
        <w:rPr>
          <w:bCs/>
          <w:iCs/>
        </w:rPr>
      </w:pPr>
      <w:r w:rsidRPr="00C17C4C">
        <w:t>12</w:t>
      </w:r>
      <w:r w:rsidRPr="00C17C4C">
        <w:rPr>
          <w:b/>
          <w:i/>
        </w:rPr>
        <w:t>.</w:t>
      </w:r>
      <w:r w:rsidRPr="00C17C4C">
        <w:rPr>
          <w:b/>
          <w:i/>
        </w:rPr>
        <w:tab/>
      </w:r>
      <w:r w:rsidRPr="00C17C4C">
        <w:t xml:space="preserve">решително осъжда и напълно отхвърля изборните измами, оркестрирани от режима във Венесуела по време на президентските избори през 2024 г., както и фиктивните парламентарни избори през май 2025 г.; настоява правителството на Мадуро да прекрати своята политика на репресии и атаки срещу гражданското общество и опозицията; припомня, че на 19 септември 2024 г. Парламентът призна </w:t>
      </w:r>
      <w:proofErr w:type="spellStart"/>
      <w:r w:rsidRPr="00C17C4C">
        <w:t>Едмундо</w:t>
      </w:r>
      <w:proofErr w:type="spellEnd"/>
      <w:r w:rsidRPr="00C17C4C">
        <w:t xml:space="preserve"> Гонсалес </w:t>
      </w:r>
      <w:proofErr w:type="spellStart"/>
      <w:r w:rsidRPr="00C17C4C">
        <w:t>Урутия</w:t>
      </w:r>
      <w:proofErr w:type="spellEnd"/>
      <w:r w:rsidRPr="00C17C4C">
        <w:t xml:space="preserve"> за законен и демократично избран президент на Венесуела, а Мария </w:t>
      </w:r>
      <w:proofErr w:type="spellStart"/>
      <w:r w:rsidRPr="00C17C4C">
        <w:t>Корина</w:t>
      </w:r>
      <w:proofErr w:type="spellEnd"/>
      <w:r w:rsidRPr="00C17C4C">
        <w:t xml:space="preserve"> Мачадо – за лидер на демократичните сили във Венесуела; изтъква, че различни демократични държави в региона и по света признаха </w:t>
      </w:r>
      <w:proofErr w:type="spellStart"/>
      <w:r w:rsidRPr="00C17C4C">
        <w:t>Едмундо</w:t>
      </w:r>
      <w:proofErr w:type="spellEnd"/>
      <w:r w:rsidRPr="00C17C4C">
        <w:t xml:space="preserve"> Гонсалес </w:t>
      </w:r>
      <w:proofErr w:type="spellStart"/>
      <w:r w:rsidRPr="00C17C4C">
        <w:t>Урутия</w:t>
      </w:r>
      <w:proofErr w:type="spellEnd"/>
      <w:r w:rsidRPr="00C17C4C">
        <w:t xml:space="preserve"> за новоизбран президент; изразява задоволство, че на 17 декември 2024 г. Парламентът присъди наградата „Сахаров“ за свобода на мисълта за 2024 г. на Мария </w:t>
      </w:r>
      <w:proofErr w:type="spellStart"/>
      <w:r w:rsidRPr="00C17C4C">
        <w:t>Корина</w:t>
      </w:r>
      <w:proofErr w:type="spellEnd"/>
      <w:r w:rsidRPr="00C17C4C">
        <w:t xml:space="preserve"> Мачадо и </w:t>
      </w:r>
      <w:proofErr w:type="spellStart"/>
      <w:r w:rsidRPr="00C17C4C">
        <w:t>Едмундо</w:t>
      </w:r>
      <w:proofErr w:type="spellEnd"/>
      <w:r w:rsidRPr="00C17C4C">
        <w:t xml:space="preserve"> Гонсалес </w:t>
      </w:r>
      <w:proofErr w:type="spellStart"/>
      <w:r w:rsidRPr="00C17C4C">
        <w:t>Урутия</w:t>
      </w:r>
      <w:proofErr w:type="spellEnd"/>
      <w:r w:rsidRPr="00C17C4C">
        <w:t xml:space="preserve">, които представляват всички граждани на Венесуела, борещи се за възстановяване на свободата и демокрацията; приветства ангажимента на </w:t>
      </w:r>
      <w:proofErr w:type="spellStart"/>
      <w:r w:rsidRPr="00C17C4C">
        <w:t>венесуелския</w:t>
      </w:r>
      <w:proofErr w:type="spellEnd"/>
      <w:r w:rsidRPr="00C17C4C">
        <w:t xml:space="preserve"> народ към демокрацията и продължаващата устойчивост на демократичната опозиция въпреки все по-репресивните политики на режима на Мадуро;</w:t>
      </w:r>
    </w:p>
    <w:p w14:paraId="0EA6880E" w14:textId="77777777" w:rsidR="00DA77B6" w:rsidRPr="00C17C4C" w:rsidRDefault="00DA77B6" w:rsidP="00DA77B6">
      <w:pPr>
        <w:pStyle w:val="NormalHanging12a"/>
      </w:pPr>
      <w:r w:rsidRPr="00C17C4C">
        <w:t>13.</w:t>
      </w:r>
      <w:r w:rsidRPr="00C17C4C">
        <w:tab/>
        <w:t xml:space="preserve">припомня, че през януари 2025 г. режимът на Ортега – </w:t>
      </w:r>
      <w:proofErr w:type="spellStart"/>
      <w:r w:rsidRPr="00C17C4C">
        <w:t>Мурильо</w:t>
      </w:r>
      <w:proofErr w:type="spellEnd"/>
      <w:r w:rsidRPr="00C17C4C">
        <w:t xml:space="preserve"> в Никарагуа прие конституционна реформа, която премахва разделението на властите и политическия плурализъм, като установи съвместно президентство, което контролира всички клонове на правителството и медиите и пренебрегва спазването на международните конвенции в областта на правата на човека; освен това подчертава, че режимът в Никарагуа поддържа силни връзки с други автокрации, като например с тези в Иран, Венесуела и Куба, и решително го осъжда за систематичните нарушения на правата на човека, преследването на демократичната опозиция, репресиите срещу католическата църква и гражданското общество и разрушаването на свободните медии и всички прояви на независимост от правителството; настоятелно призовава никарагуанските органи да възстановят върховенството на закона, основните свободи и правата на всички никарагуански граждани в изгнание, включително правото на незабавно безопасно завръщане; отново заявява искането си за задействане на демократичната клауза от Споразумението за асоцииране с ЕС, отхвърля всякаква перспектива за диалог с членовете на контролираното от режима национално събрание на Никарагуа и призовава за увеличаване на санкциите срещу Ортега, </w:t>
      </w:r>
      <w:r w:rsidRPr="00C17C4C">
        <w:lastRenderedPageBreak/>
        <w:t xml:space="preserve">Росарио </w:t>
      </w:r>
      <w:proofErr w:type="spellStart"/>
      <w:r w:rsidRPr="00C17C4C">
        <w:t>Мурильо</w:t>
      </w:r>
      <w:proofErr w:type="spellEnd"/>
      <w:r w:rsidRPr="00C17C4C">
        <w:t xml:space="preserve"> и тяхното най-близко обкръжение; призовава за незабавна отмяна на забраната на международните механизми за наблюдение на правата на човека и за възстановяване на правния статут на над 3000 НПО, който беше отменен през 2018 г. от правителството на Никарагуа;</w:t>
      </w:r>
    </w:p>
    <w:p w14:paraId="25BE4739" w14:textId="77777777" w:rsidR="00DA77B6" w:rsidRPr="00C17C4C" w:rsidRDefault="00DA77B6" w:rsidP="00DA77B6">
      <w:pPr>
        <w:pStyle w:val="NormalHanging12a"/>
      </w:pPr>
      <w:r w:rsidRPr="00C17C4C">
        <w:t>14.</w:t>
      </w:r>
      <w:r w:rsidRPr="00C17C4C">
        <w:tab/>
        <w:t xml:space="preserve">изразява дълбока загриженост относно ерозията на демократичните принципи и умишленото заобикаляне на конституционните гаранции в други държави от Латинска Америка и Карибския басейн, най-вече в Ел Салвадор; изразява тревога относно липсата на независимост на съдебната система и липсата на прозрачност в действията на правителството, прекомерната употреба на сила, неправомерната милитаризация и нарастващите ограничения върху свободата на събранията и печата; изразява дълбока загриженост от съобщенията за широко разпространени задържания без надлежно обоснована причина, изтезания, насилствени изчезвания на цивилни и будещата тревога пренаселеност в затворите; осъжда властите за това, че не са подвели силите за сигурност под отговорност за действията им и за постоянното им отхвърляне на международни искания за надзор и разследване; </w:t>
      </w:r>
    </w:p>
    <w:p w14:paraId="0FBF09C9" w14:textId="77777777" w:rsidR="00DA77B6" w:rsidRPr="00C17C4C" w:rsidRDefault="00DA77B6" w:rsidP="00DA77B6">
      <w:pPr>
        <w:pStyle w:val="NormalHanging12a"/>
        <w:rPr>
          <w:bCs/>
          <w:iCs/>
        </w:rPr>
      </w:pPr>
      <w:r w:rsidRPr="00C17C4C">
        <w:t>15.</w:t>
      </w:r>
      <w:r w:rsidRPr="00C17C4C">
        <w:tab/>
        <w:t xml:space="preserve">решително осъжда използването от Руската федерация на хибридни тактики, обхващащи военни, </w:t>
      </w:r>
      <w:proofErr w:type="spellStart"/>
      <w:r w:rsidRPr="00C17C4C">
        <w:t>кибер</w:t>
      </w:r>
      <w:proofErr w:type="spellEnd"/>
      <w:r w:rsidRPr="00C17C4C">
        <w:t>-, информационни и икономически операции, особено в енергийния</w:t>
      </w:r>
      <w:r w:rsidRPr="00C17C4C">
        <w:rPr>
          <w:b/>
          <w:i/>
        </w:rPr>
        <w:t xml:space="preserve"> </w:t>
      </w:r>
      <w:r w:rsidRPr="00C17C4C">
        <w:t>сектор, включително заобикаляне на санкции, непрозрачни практики и корупция, като инструменти за разширяване, подкопаващи регионалната сигурност, насърчаващи вътрешна дестабилизация и водещи до формирането на блок, който представлява заплаха за демокрацията, мира и международното право; изразява дълбока загриженост относно стратегическото партньорство между Венесуела и Руската федерация, което създава рискове за регионалната и международната сигурност; призовава ЕС да засили борбата си срещу руската пропаганда в региона; припомня необходимостта ЕС да гарантира, че делегациите на ЕС разполагат с необходимите средства за борба с дезинформацията;</w:t>
      </w:r>
    </w:p>
    <w:p w14:paraId="2EE720B6" w14:textId="77777777" w:rsidR="00DA77B6" w:rsidRPr="00C17C4C" w:rsidRDefault="00DA77B6" w:rsidP="00DA77B6">
      <w:pPr>
        <w:pStyle w:val="NormalHanging12a"/>
        <w:rPr>
          <w:bCs/>
          <w:iCs/>
        </w:rPr>
      </w:pPr>
      <w:r w:rsidRPr="00C17C4C">
        <w:t>16.</w:t>
      </w:r>
      <w:r w:rsidRPr="00C17C4C">
        <w:tab/>
        <w:t>отбелязва, че от 2005 г. насам Китай е отпуснал заеми на обща стойност над 120 милиарда щатски долара на региона на Латинска Америка и Карибския басейн с цел увеличаване на геополитическото му влияние и обвързване на държавите от Латинска Америка и Карибския басейн с китайско финансиране чрез предоставяне на инвестиционен капитал в замяна на доставките на суров нефт или чрез финансиране на енергийни и инфраструктурни проекти; изразява съжаление, че тези енергийни и инфраструктурни проекти често водят до прилагане на по-ниски екологични и трудови стандарти; припомня, че за разлика от други световни сили, ЕС не се стреми към ориентирани към извличане на ползи или небалансирани отношения, а по-скоро към партньорства, основани на реципрочност, устойчивост и генериране на добавена стойност; подчертава, че именно този модел на сътрудничество, който дава приоритет на зачитането на суверенитета, прозрачността и върховенството на закона, прави ЕС предпочитан партньор за региона;</w:t>
      </w:r>
    </w:p>
    <w:p w14:paraId="73DEC4E6" w14:textId="77777777" w:rsidR="00DA77B6" w:rsidRPr="00C17C4C" w:rsidRDefault="00DA77B6" w:rsidP="00DA77B6">
      <w:pPr>
        <w:pStyle w:val="NormalHanging12a"/>
        <w:rPr>
          <w:bCs/>
          <w:iCs/>
        </w:rPr>
      </w:pPr>
      <w:r w:rsidRPr="00C17C4C">
        <w:t>17.</w:t>
      </w:r>
      <w:r w:rsidRPr="00C17C4C">
        <w:tab/>
      </w:r>
      <w:bookmarkStart w:id="8" w:name="_Hlk208224438"/>
      <w:r w:rsidRPr="00C17C4C">
        <w:t>подкрепя независимостта, териториалната цялост и суверенитета на всички държави от Латинска Америка и Карибския басейн и отхвърля амбициите на световните сили да налагат отношения на политическа и икономическа зависимост; подчертава, че зачитането на териториалната цялост на държавите е основен принцип на международното право, Устава на ООН и основания на правила международен ред;</w:t>
      </w:r>
      <w:bookmarkEnd w:id="8"/>
    </w:p>
    <w:p w14:paraId="4434A324" w14:textId="77777777" w:rsidR="00DA77B6" w:rsidRPr="00C17C4C" w:rsidRDefault="00DA77B6" w:rsidP="00DA77B6">
      <w:pPr>
        <w:pStyle w:val="Normal12a24b"/>
        <w:rPr>
          <w:bCs/>
          <w:i/>
        </w:rPr>
      </w:pPr>
      <w:r w:rsidRPr="00C17C4C">
        <w:rPr>
          <w:rStyle w:val="BoldItalic"/>
        </w:rPr>
        <w:lastRenderedPageBreak/>
        <w:t>Икономическо сътрудничество</w:t>
      </w:r>
      <w:r w:rsidRPr="00C17C4C">
        <w:rPr>
          <w:b/>
          <w:i/>
        </w:rPr>
        <w:t xml:space="preserve"> за устойчив растеж</w:t>
      </w:r>
    </w:p>
    <w:p w14:paraId="32637206" w14:textId="77777777" w:rsidR="00DA77B6" w:rsidRPr="00C17C4C" w:rsidRDefault="00DA77B6" w:rsidP="00DA77B6">
      <w:pPr>
        <w:pStyle w:val="NormalHanging12a"/>
      </w:pPr>
      <w:r w:rsidRPr="00C17C4C">
        <w:t>18.</w:t>
      </w:r>
      <w:r w:rsidRPr="00C17C4C">
        <w:tab/>
        <w:t>приветства стабилното икономическо и търговско партньорство между ЕС и Латинска Америка и Карибския басейн, което се основава на общи интереси за насърчаване на устойчивия растеж и човешкото развитие, укрепване на икономическата устойчивост и намаляване на прекомерните зависимости чрез диверсифицирани търговски отношения;</w:t>
      </w:r>
    </w:p>
    <w:p w14:paraId="2C1A10C5" w14:textId="77777777" w:rsidR="00DA77B6" w:rsidRPr="00C17C4C" w:rsidRDefault="00DA77B6" w:rsidP="00DA77B6">
      <w:pPr>
        <w:pStyle w:val="NormalHanging12a"/>
      </w:pPr>
      <w:r w:rsidRPr="00C17C4C">
        <w:t>19.</w:t>
      </w:r>
      <w:r w:rsidRPr="00C17C4C">
        <w:tab/>
        <w:t>подчертава амбицията на ЕС да ръководи световния екологичен преход и признаването на Латинска Америка като ключов партньор в това усилие; подкрепя Латинска Америка и Карибския басейн в борбата с незаконното обезлесяване и разработването на проекти за повторно залесяване;</w:t>
      </w:r>
    </w:p>
    <w:p w14:paraId="7F021F11" w14:textId="77777777" w:rsidR="00DA77B6" w:rsidRPr="00C17C4C" w:rsidRDefault="00DA77B6" w:rsidP="00DA77B6">
      <w:pPr>
        <w:pStyle w:val="NormalHanging12a"/>
      </w:pPr>
      <w:r w:rsidRPr="00C17C4C">
        <w:t>20.</w:t>
      </w:r>
      <w:r w:rsidRPr="00C17C4C">
        <w:tab/>
        <w:t>подчертава необходимостта от справяне с нарастващите неравенства, насърчаване на мира и укрепване на демократичните процеси и институции в двата региона, и подчертава значението на икономическото сътрудничество, което насърчава равенството между половете и икономическото овластяване на жените; изразява загриженост относно отстъплението от правата на жените, особено по отношение на тяхното сексуално и репродуктивно здраве; призовава за премахване на разликата в заплащането на жените и мъжете и подкрепя действията за засилване на представителството на жените в политическото ръководство и законодателните органи и подчертава необходимостта от привеждане на икономическите отношения между ЕС и Латинска Америка и Карибския басейн в съответствие с Програмата на ООН до 2030 г. и гарантиране на по-голяма съгласуваност между икономическите и социалните цели в областта на околната среда;</w:t>
      </w:r>
    </w:p>
    <w:p w14:paraId="0F6ED6A6" w14:textId="77777777" w:rsidR="00DA77B6" w:rsidRPr="00C17C4C" w:rsidRDefault="00DA77B6" w:rsidP="00DA77B6">
      <w:pPr>
        <w:pStyle w:val="NormalHanging12a"/>
      </w:pPr>
      <w:r w:rsidRPr="00C17C4C">
        <w:t>21.</w:t>
      </w:r>
      <w:r w:rsidRPr="00C17C4C">
        <w:tab/>
        <w:t>подчертава факта, че ЕС е най-големият инвеститор в региона на Латинска Америка и Карибския басейн, както и третият по големина търговски партньор; отбелязва, че Латинска Америка и Карибският басейн е петият по големина търговски партньор на ЕС; подчертава, че това силно икономическо сътрудничество не следва да обслужва единствено интересите на големите финансови образувания, а да гарантира, че всички извличат ползи, особено МСП, работниците, уязвимите хора и населението от селските и отдалечените райони;</w:t>
      </w:r>
    </w:p>
    <w:p w14:paraId="2A2D615E" w14:textId="77777777" w:rsidR="00DA77B6" w:rsidRPr="00C17C4C" w:rsidRDefault="00DA77B6" w:rsidP="00DA77B6">
      <w:pPr>
        <w:pStyle w:val="NormalHanging12a"/>
        <w:rPr>
          <w:bCs/>
          <w:iCs/>
        </w:rPr>
      </w:pPr>
      <w:r w:rsidRPr="00C17C4C">
        <w:t>22.</w:t>
      </w:r>
      <w:r w:rsidRPr="00C17C4C">
        <w:tab/>
        <w:t>подчертава, че както в доклада на Лета за бъдещето на единния пазар, така и в доклада на Драги за бъдещето на европейската конкурентоспособност се набляга на необходимостта от засилване на усилията за осигуряване на доставките на суровини от критично значение, и подчертава потенциала на Латинска Америка и Карибския басейн да бъде ключов партньор в диверсифицирането на веригите на доставки; приветства подписването на меморандуми за разбирателство с партньорите относно суровините от критично значение и подчертава, че те са от решаващо значение за постигането на по-голяма диверсификация във веригите на доставки на ЕС; счита, че тези споразумения, заедно със задълбочаването на икономическото и политическото сътрудничество чрез двустранни споразумения, следва да водят до увеличаване на инвестициите в този сектор, което ще бъде от полза и за двата региона;</w:t>
      </w:r>
    </w:p>
    <w:p w14:paraId="29FD1C6E" w14:textId="77777777" w:rsidR="00DA77B6" w:rsidRPr="00C17C4C" w:rsidRDefault="00DA77B6" w:rsidP="00DA77B6">
      <w:pPr>
        <w:pStyle w:val="NormalHanging12a"/>
        <w:rPr>
          <w:bCs/>
          <w:iCs/>
        </w:rPr>
      </w:pPr>
      <w:r w:rsidRPr="00C17C4C">
        <w:t>23.</w:t>
      </w:r>
      <w:r w:rsidRPr="00C17C4C">
        <w:tab/>
        <w:t xml:space="preserve">призовава за по-голямо регулиране и прозрачност в ключови икономически области, като например миннодобивния сектор, където слабото регулиране може да доведе до конфликти и експлоатация; призовава всички партньори да засилят трудовите права и да насърчават кооперации и други инициативи, които стимулират участието и овластяването на работниците в икономиката; </w:t>
      </w:r>
      <w:r w:rsidRPr="00C17C4C">
        <w:lastRenderedPageBreak/>
        <w:t>подчертава, че е важно да се гарантира, че добивът, търговията и преработката на суровини от критично значение се придържат към високи стандарти за опазване на околната среда, социална отговорност и права на човека, и подкрепя развитието на алтернативни, издръжливи, устойчиви и прозрачни вериги за създаване на стойност, които допринасят за просперитета на всички участващи общества;</w:t>
      </w:r>
    </w:p>
    <w:p w14:paraId="6E387429" w14:textId="77777777" w:rsidR="00DA77B6" w:rsidRPr="00C17C4C" w:rsidRDefault="00DA77B6" w:rsidP="00DA77B6">
      <w:pPr>
        <w:pStyle w:val="NormalHanging12a"/>
      </w:pPr>
      <w:r w:rsidRPr="00C17C4C">
        <w:t>24.</w:t>
      </w:r>
      <w:r w:rsidRPr="00C17C4C">
        <w:tab/>
        <w:t>призовава Комисията да засили диалога с държавите от Латинска Америка и Карибския басейн относно последиците от законодателството на ЕС за техните местни икономики;</w:t>
      </w:r>
    </w:p>
    <w:p w14:paraId="06CD3EB0" w14:textId="77777777" w:rsidR="00DA77B6" w:rsidRPr="00C17C4C" w:rsidRDefault="00DA77B6" w:rsidP="00DA77B6">
      <w:pPr>
        <w:pStyle w:val="NormalHanging12a"/>
        <w:rPr>
          <w:b/>
          <w:bCs/>
        </w:rPr>
      </w:pPr>
      <w:r w:rsidRPr="00C17C4C">
        <w:rPr>
          <w:b/>
          <w:i/>
        </w:rPr>
        <w:t xml:space="preserve">Стратегически партньорства и международни споразумения </w:t>
      </w:r>
    </w:p>
    <w:p w14:paraId="0AEA87BC" w14:textId="77777777" w:rsidR="00DA77B6" w:rsidRPr="00C17C4C" w:rsidRDefault="00DA77B6" w:rsidP="00DA77B6">
      <w:pPr>
        <w:pStyle w:val="NormalHanging12a"/>
      </w:pPr>
      <w:r w:rsidRPr="00C17C4C">
        <w:t>25.</w:t>
      </w:r>
      <w:r w:rsidRPr="00C17C4C">
        <w:tab/>
        <w:t>признава наличието на гъста мрежа от споразумения между двата региона и подчертава фундаменталното геополитическо значение на задействането на нови и по-амбициозни споразумения и партньорства, които са приобщаващи, устойчиви и взаимноизгодни, основани на споделени ценности и здраво вкоренени в зачитането на правата на човека; подчертава ролята на тези споразумения за приноса към по-нататъшната икономическа интеграция за постигане на пространство на споделен просперитет и повишена икономическа сигурност; подчертава значението на двурегионалната търговия между ЕС и Латинска Америка и Карибския басейн за диверсифицирането на продоволствените системи и укрепването на продоволствената сигурност;</w:t>
      </w:r>
    </w:p>
    <w:p w14:paraId="6265E7B3" w14:textId="77777777" w:rsidR="00DA77B6" w:rsidRPr="00C17C4C" w:rsidRDefault="00DA77B6" w:rsidP="00DA77B6">
      <w:pPr>
        <w:pStyle w:val="NormalHanging12a"/>
      </w:pPr>
      <w:r w:rsidRPr="00C17C4C">
        <w:t>26.</w:t>
      </w:r>
      <w:r w:rsidRPr="00C17C4C">
        <w:tab/>
        <w:t xml:space="preserve">припомня специалната роля, която Мексико и Бразилия играят в отношенията между двата региона поради статута си на стратегически партньори на ЕС; силно насърчава двете страни да използват по-добре целия потенциал на тези стратегически партньорства; подчертава необходимостта от изпълнение на ангажимента за провеждане на двустранни срещи на високо равнище с двете държави на всеки две години; </w:t>
      </w:r>
    </w:p>
    <w:p w14:paraId="7A76A4E7" w14:textId="77777777" w:rsidR="00DA77B6" w:rsidRPr="00C17C4C" w:rsidRDefault="00DA77B6" w:rsidP="00DA77B6">
      <w:pPr>
        <w:pStyle w:val="NormalHanging12a"/>
      </w:pPr>
      <w:r w:rsidRPr="00C17C4C">
        <w:t>27.</w:t>
      </w:r>
      <w:r w:rsidRPr="00C17C4C">
        <w:tab/>
        <w:t>приветства пълното ратифициране на Споразумението за асоцииране между ЕС и Централна Америка и влизането в сила на трите му стълба – политически диалог, сътрудничество и търговия – през май 2024 г.; призовава за приемането на стабилни и приобщаващи механизми за участие на гражданското общество в прилагането и мониторинга на Споразумението за асоцииране между ЕС и Централна Америка, като се спазват демократичните принципи, прозрачността и социалното сближаване; призовава ЕС и държавите от Централна Америка да провеждат активни политики и да гарантират подходящо финансиране за оптимизиране на положителното въздействие на споразумението върху ЦУР в двата региона;</w:t>
      </w:r>
    </w:p>
    <w:p w14:paraId="34A11AD2" w14:textId="77777777" w:rsidR="00DA77B6" w:rsidRPr="00C17C4C" w:rsidRDefault="00DA77B6" w:rsidP="00DA77B6">
      <w:pPr>
        <w:pStyle w:val="NormalHanging12a"/>
        <w:rPr>
          <w:b/>
          <w:i/>
        </w:rPr>
      </w:pPr>
      <w:r w:rsidRPr="00C17C4C">
        <w:t>28.</w:t>
      </w:r>
      <w:r w:rsidRPr="00C17C4C">
        <w:tab/>
        <w:t xml:space="preserve">приветства подписването на усъвършенстваното рамково споразумение между ЕС и Чили и призовава за бързото му и пълно ратифициране; приветства също така приключването на преговорите по Глобалното споразумение между ЕС и Мексико, което ще засили политическото сътрудничество, ще открие нови възможности за търговия и ще укрепи връзките в стратегически сектори като цифровизацията, иновациите и сигурността, и призовава за бързото му подписване и ратифициране; признава ключовата роля на Мексико в Латинска Америка и Карибския басейн и амбицията му да диверсифицира търговските и политическите партньорства; подчертава, че Споразумението между ЕС и Мексико ще засили ролята на ЕС като стратегически партньор в региона и </w:t>
      </w:r>
      <w:r w:rsidRPr="00C17C4C">
        <w:lastRenderedPageBreak/>
        <w:t>неговия капацитет да реагира на глобалните предизвикателства;</w:t>
      </w:r>
    </w:p>
    <w:p w14:paraId="32FC2638" w14:textId="711FECEF" w:rsidR="00DA77B6" w:rsidRPr="00C17C4C" w:rsidRDefault="00D44435" w:rsidP="00DA77B6">
      <w:pPr>
        <w:pStyle w:val="NormalHanging12a"/>
      </w:pPr>
      <w:r>
        <w:rPr>
          <w:lang w:val="en-GB"/>
        </w:rPr>
        <w:t>29</w:t>
      </w:r>
      <w:r w:rsidR="00DA77B6" w:rsidRPr="00C17C4C">
        <w:t>.</w:t>
      </w:r>
      <w:r w:rsidR="00DA77B6" w:rsidRPr="00C17C4C">
        <w:tab/>
        <w:t>подчертава значението на постигането на целите, определени в Парижкото споразумение относно изменението на климата, и приветства включването на обвързваща клауза в Споразумението между ЕС и Меркосур относно спазването на тези ангажименти; подчертава, че Споразумението за партньорство между ЕС и Меркосур ще предостави възможност за значително укрепване на двустранното регионално сътрудничество между ЕС и Меркосур за справяне с общите предизвикателства, като същевременно служи за противодействие на нарастващото влияние на авторитарните действащи лица в региона и за подпомагане на ЕС да диверсифицира доставките си на суровини от критично значение;</w:t>
      </w:r>
    </w:p>
    <w:p w14:paraId="0E52FF26" w14:textId="77777777" w:rsidR="00DA77B6" w:rsidRPr="00C17C4C" w:rsidRDefault="00DA77B6" w:rsidP="00DA77B6">
      <w:pPr>
        <w:pStyle w:val="NormalHanging12a"/>
        <w:rPr>
          <w:b/>
          <w:bCs/>
          <w:i/>
          <w:iCs/>
        </w:rPr>
      </w:pPr>
      <w:r w:rsidRPr="00C17C4C">
        <w:rPr>
          <w:b/>
          <w:i/>
        </w:rPr>
        <w:t xml:space="preserve">Многостранно сътрудничество </w:t>
      </w:r>
    </w:p>
    <w:p w14:paraId="21130F40" w14:textId="70D192CB" w:rsidR="00DA77B6" w:rsidRPr="00C17C4C" w:rsidRDefault="00D44435" w:rsidP="00DA77B6">
      <w:pPr>
        <w:pStyle w:val="NormalHanging12a"/>
        <w:rPr>
          <w:i/>
          <w:iCs/>
        </w:rPr>
      </w:pPr>
      <w:r>
        <w:t>30</w:t>
      </w:r>
      <w:r w:rsidR="00DA77B6" w:rsidRPr="00C17C4C">
        <w:t>.</w:t>
      </w:r>
      <w:r w:rsidR="00DA77B6" w:rsidRPr="00C17C4C">
        <w:tab/>
        <w:t>припомня, че евро-латиноамериканският съюз представлява мост, предназначен не само да предотврати опасното отклонение към затворени и идеологически поляризирани блокове, но преди всичко да отвори пространство за международен диалог, който намалява напрежението и насърчава общите решения;</w:t>
      </w:r>
    </w:p>
    <w:p w14:paraId="733CD7CC" w14:textId="32F96D42" w:rsidR="00DA77B6" w:rsidRPr="00C17C4C" w:rsidRDefault="00D44435" w:rsidP="00DA77B6">
      <w:pPr>
        <w:pStyle w:val="NormalHanging12a"/>
        <w:rPr>
          <w:bCs/>
          <w:iCs/>
        </w:rPr>
      </w:pPr>
      <w:r>
        <w:t>31</w:t>
      </w:r>
      <w:r w:rsidR="00DA77B6" w:rsidRPr="00C17C4C">
        <w:t>.</w:t>
      </w:r>
      <w:r w:rsidR="00DA77B6" w:rsidRPr="00C17C4C">
        <w:tab/>
        <w:t>подчертава значителния принос на държавите от Латинска Америка и Карибския басейн към многостранните организации и активната им роля в справянето със световните предизвикателства, като например изменението на климата, мира и сигурността, включително насърчаването на програмата за жените, мира и сигурността и устойчивото развитие; подчертава ангажимента на двата региона за защита на Устава на ООН, правата на човека, представителната демокрация и силното многостранно управление; настоятелно призовава двата региона да продължат да защитават многостранното сътрудничество, по-специално системата на ООН, и съвместно да ръководят реформа на институциите за световно управление, включително международните финансови институции, за да се постигне по-приобщаващо и представително многостранно сътрудничество;</w:t>
      </w:r>
    </w:p>
    <w:p w14:paraId="002FAD3E" w14:textId="25E14C07" w:rsidR="00DA77B6" w:rsidRPr="00C17C4C" w:rsidRDefault="00D44435" w:rsidP="00DA77B6">
      <w:pPr>
        <w:pStyle w:val="NormalHanging12a"/>
      </w:pPr>
      <w:r>
        <w:t>32</w:t>
      </w:r>
      <w:r w:rsidR="00DA77B6" w:rsidRPr="00C17C4C">
        <w:t>.</w:t>
      </w:r>
      <w:r w:rsidR="00DA77B6" w:rsidRPr="00C17C4C">
        <w:tab/>
        <w:t>призовава да се постигне напредък по отношение на сключването на споразумения за либерализиране на визовия режим с държавите, с които обсъжданията са най-напреднали;</w:t>
      </w:r>
    </w:p>
    <w:p w14:paraId="4015C804" w14:textId="77777777" w:rsidR="00DA77B6" w:rsidRPr="00C17C4C" w:rsidRDefault="00DA77B6" w:rsidP="00DA77B6">
      <w:pPr>
        <w:pStyle w:val="NormalHanging12a"/>
        <w:ind w:left="0" w:firstLine="0"/>
        <w:rPr>
          <w:b/>
          <w:bCs/>
          <w:i/>
          <w:iCs/>
        </w:rPr>
      </w:pPr>
      <w:r w:rsidRPr="00C17C4C">
        <w:rPr>
          <w:b/>
          <w:i/>
        </w:rPr>
        <w:t xml:space="preserve">Сътрудничество за развитие между ЕС и Латинска Америка и Карибския басейн, хуманитарна помощ и устойчиви инвестиции чрез инициативата </w:t>
      </w:r>
      <w:proofErr w:type="spellStart"/>
      <w:r w:rsidRPr="00C17C4C">
        <w:rPr>
          <w:b/>
          <w:i/>
        </w:rPr>
        <w:t>Global</w:t>
      </w:r>
      <w:proofErr w:type="spellEnd"/>
      <w:r w:rsidRPr="00C17C4C">
        <w:rPr>
          <w:b/>
          <w:i/>
        </w:rPr>
        <w:t xml:space="preserve"> </w:t>
      </w:r>
      <w:proofErr w:type="spellStart"/>
      <w:r w:rsidRPr="00C17C4C">
        <w:rPr>
          <w:b/>
          <w:i/>
        </w:rPr>
        <w:t>Gateway</w:t>
      </w:r>
      <w:proofErr w:type="spellEnd"/>
      <w:r w:rsidRPr="00C17C4C">
        <w:rPr>
          <w:b/>
          <w:i/>
        </w:rPr>
        <w:t xml:space="preserve"> </w:t>
      </w:r>
    </w:p>
    <w:p w14:paraId="1EA7068A" w14:textId="4F2E7438" w:rsidR="00DA77B6" w:rsidRPr="00C17C4C" w:rsidRDefault="00D44435" w:rsidP="00DA77B6">
      <w:pPr>
        <w:pStyle w:val="NormalHanging12a"/>
      </w:pPr>
      <w:r>
        <w:t>33</w:t>
      </w:r>
      <w:r w:rsidR="00DA77B6" w:rsidRPr="00C17C4C">
        <w:t>.</w:t>
      </w:r>
      <w:r w:rsidR="00DA77B6" w:rsidRPr="00C17C4C">
        <w:tab/>
        <w:t xml:space="preserve">припомня, че основната цел на политиката на ЕС за сътрудничество за развитие е намаляването и, в дългосрочен план, изкореняването на бедността; подчертава, че изкореняването на бедността, особено сред най-уязвимите групи, като например жените, момичетата и хората с увреждания, наред с другите, е от съществено значение за справяне с нарастващите неравенства, които подкопават социалното сближаване и ограничават икономическия потенциал; припомня, че дълговата тежест, пред която са изправени държавите от Латинска Америка и Карибския басейн, има сериозна икономическа и социална цена с дълготрайно отражение върху бедността и неравенството; подкрепя преструктурирането на дълга; подчертава, че ЦУР и Парижкото споразумение трябва да останат в центъра на сътрудничеството между Латинска Америка и Карибския басейн и ЕС; припомня, че достъпът до помощ и финансиране за развитие е от особено значение за нестабилните държави, включително тези, които са по-уязвими на последиците от </w:t>
      </w:r>
      <w:r w:rsidR="00DA77B6" w:rsidRPr="00C17C4C">
        <w:lastRenderedPageBreak/>
        <w:t>изменението на климата, по-специално малките островни развиващи се държави от Карибския басейн, и за държавите, преминаващи към по-високо равнище на доходи;</w:t>
      </w:r>
    </w:p>
    <w:p w14:paraId="08B2B022" w14:textId="442D73B7" w:rsidR="00DA77B6" w:rsidRPr="00C17C4C" w:rsidRDefault="00D44435" w:rsidP="00DA77B6">
      <w:pPr>
        <w:pStyle w:val="NormalHanging12a"/>
      </w:pPr>
      <w:r>
        <w:t>34</w:t>
      </w:r>
      <w:r w:rsidR="00DA77B6" w:rsidRPr="00C17C4C">
        <w:t>.</w:t>
      </w:r>
      <w:r w:rsidR="00DA77B6" w:rsidRPr="00C17C4C">
        <w:tab/>
        <w:t>подчертава факта, че ЕС е водещият участник в сътрудничеството за развитие в Латинска Америка и Карибския басейн; отново изтъква значението на укрепването на политиките за развитие и хуманитарната помощ на ЕС за Латинска Америка и Карибския басейн и призовава ЕС и неговите държави членки да засилят другите външни приоритети на Съюза, включително тези, свързани със сигурността, устойчивото развитие и търговията, миграцията, рибарството, селското стопанство, изменението на климата и енергетиката; призовава за установяване на ефективни полезни взаимодействия с хуманитарната помощ от ЕС при пълно зачитане на принципа на съвместна отговорност, като се вземат предвид приоритетите за развитие на региона на Латинска Америка и Карибския басейн; призовава за редовни двустранни диалози и, когато е уместно, за консултации с местните правителства и представители на гражданското общество на двата региона, включително относно подкрепата за целите за устойчиво развитие в споразуменията за асоцииране между ЕС и Латинска Америка и Карибския басейн, по-специално в отговор на глобалния спад на официалната помощ за развитие (ОПР) и хуманитарната помощ;</w:t>
      </w:r>
      <w:r w:rsidR="00DA77B6" w:rsidRPr="00C17C4C">
        <w:rPr>
          <w:b/>
          <w:i/>
        </w:rPr>
        <w:t xml:space="preserve"> </w:t>
      </w:r>
    </w:p>
    <w:p w14:paraId="4A1BAD37" w14:textId="1EBD187C" w:rsidR="00DA77B6" w:rsidRPr="00C17C4C" w:rsidRDefault="00D44435" w:rsidP="00DA77B6">
      <w:pPr>
        <w:pStyle w:val="NormalHanging12a"/>
        <w:rPr>
          <w:bCs/>
          <w:iCs/>
        </w:rPr>
      </w:pPr>
      <w:r>
        <w:t>35</w:t>
      </w:r>
      <w:r w:rsidR="00DA77B6" w:rsidRPr="00C17C4C">
        <w:t>.</w:t>
      </w:r>
      <w:r w:rsidR="00DA77B6" w:rsidRPr="00C17C4C">
        <w:tab/>
        <w:t>изразява загриженост относно глобалните съкращения на финансирането за развитие и хуманитарна помощ, по-специално намаляването на ОПР и спирането на по-голямата част от програмите на Агенцията на САЩ за международно развитие (USAID) (до 83%), и относно глобалните съкращения на помощта от страна на няколко държави – членки на ЕС, поради основното значение на това финансиране в подкрепа на значителната социална, икономическа и политическа трансформация в региона; отново заявява, че тези съкращения ще имат дългосрочни последици за програмата за развитие и постигането на ЦУР в региона на Латинска Америка и Карибския басейн; изразява сериозна загриженост относно отражението на неотдавнашните съкращения върху ефективното участие на гражданското общество и НПО и капацитета им да изпълняват своите дейности за насърчаване на правата на човека, демокрацията и социалното развитие в региона и за борба с авторитарните режими; поради това призовава Комисията и държавите членки да предоставят подходяща помощ за развитие и хуманитарна помощ и на региона на Латинска Америка и Карибския басейн;</w:t>
      </w:r>
    </w:p>
    <w:p w14:paraId="22D0FEE8" w14:textId="57612131" w:rsidR="00DA77B6" w:rsidRPr="00C17C4C" w:rsidRDefault="00D44435" w:rsidP="00DA77B6">
      <w:pPr>
        <w:pStyle w:val="NormalHanging12a"/>
      </w:pPr>
      <w:r>
        <w:t>36</w:t>
      </w:r>
      <w:r w:rsidR="00DA77B6" w:rsidRPr="00C17C4C">
        <w:t>.</w:t>
      </w:r>
      <w:r w:rsidR="00DA77B6" w:rsidRPr="00C17C4C">
        <w:tab/>
      </w:r>
      <w:bookmarkStart w:id="9" w:name="_Hlk204153068"/>
      <w:r w:rsidR="00DA77B6" w:rsidRPr="00C17C4C">
        <w:t>подчертава, че традиционните форми на ОПР са се доказали като важни и ефективни за намаляване на бедността, справяне с нарастващите неравенства, подобряване на резултатите в областта на здравеопазването и образованието и насърчаване на социалното сближаване в региона на Латинска Америка и Карибския басейн, по-специално по отношение на приобщаването на по-слабо представените и маргинализираните групи, като например момичетата, жените, младите хора, хората с увреждания, коренното население и хората от африкански произход;</w:t>
      </w:r>
      <w:bookmarkEnd w:id="9"/>
    </w:p>
    <w:p w14:paraId="46CFE1A6" w14:textId="44432DF7" w:rsidR="00DA77B6" w:rsidRPr="00C17C4C" w:rsidRDefault="00D44435" w:rsidP="00DA77B6">
      <w:pPr>
        <w:pStyle w:val="NormalHanging12a"/>
        <w:rPr>
          <w:b/>
          <w:i/>
        </w:rPr>
      </w:pPr>
      <w:r>
        <w:t>37</w:t>
      </w:r>
      <w:r w:rsidR="00DA77B6" w:rsidRPr="00C17C4C">
        <w:t>.</w:t>
      </w:r>
      <w:r w:rsidR="00DA77B6" w:rsidRPr="00C17C4C">
        <w:tab/>
        <w:t>призовава за пълноценно участие на гражданското общество в разработването, изпълнението и мониторинга на програмите на ЕС, за да се гарантира съгласуваност на политиките за устойчиво развитие</w:t>
      </w:r>
      <w:bookmarkStart w:id="10" w:name="_Hlk204153374"/>
      <w:r w:rsidR="00DA77B6" w:rsidRPr="00C17C4C">
        <w:rPr>
          <w:b/>
          <w:i/>
        </w:rPr>
        <w:t>;</w:t>
      </w:r>
      <w:bookmarkEnd w:id="10"/>
    </w:p>
    <w:p w14:paraId="30106F34" w14:textId="60473C6A" w:rsidR="00DA77B6" w:rsidRPr="00C17C4C" w:rsidRDefault="00D44435" w:rsidP="00DA77B6">
      <w:pPr>
        <w:pStyle w:val="NormalHanging12a"/>
        <w:rPr>
          <w:bCs/>
          <w:iCs/>
        </w:rPr>
      </w:pPr>
      <w:r>
        <w:t>38</w:t>
      </w:r>
      <w:r w:rsidR="00DA77B6" w:rsidRPr="00C17C4C">
        <w:rPr>
          <w:b/>
          <w:i/>
        </w:rPr>
        <w:t>.</w:t>
      </w:r>
      <w:r w:rsidR="00DA77B6" w:rsidRPr="00C17C4C">
        <w:rPr>
          <w:b/>
          <w:i/>
        </w:rPr>
        <w:tab/>
      </w:r>
      <w:r w:rsidR="00DA77B6" w:rsidRPr="00C17C4C">
        <w:t xml:space="preserve">подчертава стратегическия потенциал на тристранното сътрудничество между ЕС, </w:t>
      </w:r>
      <w:r w:rsidR="00DA77B6" w:rsidRPr="00C17C4C">
        <w:lastRenderedPageBreak/>
        <w:t>държавите от Организацията за икономическо сътрудничество и развитие и партньорите от Латинска Америка и Карибския басейн за засилване на въздействието на развитието, взаимното обучение и иновациите в областта на политиките; подчертава, че такива партньорства, когато са съгласувани с местните приоритети и са съсредоточени върху изграждането на капацитет, могат да насърчават приобщаващи решения на глобалните предизвикателства; призовава ЕС да увеличи подкрепата за инициативи за тристранно сътрудничество в рамките на ИССРМС – Глобална Европа и систематично да ги интегрира в стратегическата програма ЕС – Латинска Америка и Карибския басейн;</w:t>
      </w:r>
    </w:p>
    <w:p w14:paraId="0186E5D3" w14:textId="27E586A0" w:rsidR="00DA77B6" w:rsidRPr="00C17C4C" w:rsidRDefault="00D44435" w:rsidP="00DA77B6">
      <w:pPr>
        <w:pStyle w:val="NormalHanging12a"/>
        <w:rPr>
          <w:bCs/>
          <w:iCs/>
        </w:rPr>
      </w:pPr>
      <w:r>
        <w:t>39</w:t>
      </w:r>
      <w:r w:rsidR="00DA77B6" w:rsidRPr="00C17C4C">
        <w:t>.</w:t>
      </w:r>
      <w:r w:rsidR="00DA77B6" w:rsidRPr="00C17C4C">
        <w:tab/>
        <w:t xml:space="preserve">призовава ЕС и неговите държави членки да използват големи инициативи като </w:t>
      </w:r>
      <w:proofErr w:type="spellStart"/>
      <w:r w:rsidR="00DA77B6" w:rsidRPr="00C17C4C">
        <w:t>Global</w:t>
      </w:r>
      <w:proofErr w:type="spellEnd"/>
      <w:r w:rsidR="00DA77B6" w:rsidRPr="00C17C4C">
        <w:t xml:space="preserve"> </w:t>
      </w:r>
      <w:proofErr w:type="spellStart"/>
      <w:r w:rsidR="00DA77B6" w:rsidRPr="00C17C4C">
        <w:t>Gateway</w:t>
      </w:r>
      <w:proofErr w:type="spellEnd"/>
      <w:r w:rsidR="00DA77B6" w:rsidRPr="00C17C4C">
        <w:t xml:space="preserve">, за да увеличат инвестициите в Латинска Америка и Карибския басейн, като гарантират, че ЕС продължава да бъде силен и конкурентоспособен партньор за държавите от Латинска Америка и Карибския басейн, като се има предвид нарастващото китайско и руско присъствие в региона, както ясно се вижда от ангажиментите на Китай по време на форума Китай – CELAC, проведен на 13 май 2025 г.; подчертава, че увеличаването на инвестициите на ЕС в Латинска Америка е още по-важно поради засилването на инициативата „Един пояс, един път“ в Латинска Америка, като Колумбия се присъедини към тази инициатива на форума Китай – CELAC на 13 май 2025 г.; призовава Комисията да осъществи проектите и стратегиите, планирани в рамките на </w:t>
      </w:r>
      <w:proofErr w:type="spellStart"/>
      <w:r w:rsidR="00DA77B6" w:rsidRPr="00C17C4C">
        <w:t>Global</w:t>
      </w:r>
      <w:proofErr w:type="spellEnd"/>
      <w:r w:rsidR="00DA77B6" w:rsidRPr="00C17C4C">
        <w:t xml:space="preserve"> </w:t>
      </w:r>
      <w:proofErr w:type="spellStart"/>
      <w:r w:rsidR="00DA77B6" w:rsidRPr="00C17C4C">
        <w:t>Gateway</w:t>
      </w:r>
      <w:proofErr w:type="spellEnd"/>
      <w:r w:rsidR="00DA77B6" w:rsidRPr="00C17C4C">
        <w:t xml:space="preserve">, така че, наред с други цели, да се изгради устойчива и висококачествена инфраструктура, която ефективно създава местна стойност, укрепва двурегионалните вериги за създаване на стойност и повишава икономическата сигурност и за двата региона; настоява, че </w:t>
      </w:r>
      <w:proofErr w:type="spellStart"/>
      <w:r w:rsidR="00DA77B6" w:rsidRPr="00C17C4C">
        <w:t>Global</w:t>
      </w:r>
      <w:proofErr w:type="spellEnd"/>
      <w:r w:rsidR="00DA77B6" w:rsidRPr="00C17C4C">
        <w:t xml:space="preserve"> </w:t>
      </w:r>
      <w:proofErr w:type="spellStart"/>
      <w:r w:rsidR="00DA77B6" w:rsidRPr="00C17C4C">
        <w:t>Gateway</w:t>
      </w:r>
      <w:proofErr w:type="spellEnd"/>
      <w:r w:rsidR="00DA77B6" w:rsidRPr="00C17C4C">
        <w:t xml:space="preserve"> следва винаги да се придържа към основните ценности на ЕС, включително зачитането на правата на човека, доброто управление, демокрацията и прозрачността и екологичната устойчивост в съответствие с принципите на ЕС за ефективност на развитието; настоятелно призовава ЕС и неговите държави членки да гарантират, че инвестициите, направени в рамките на </w:t>
      </w:r>
      <w:proofErr w:type="spellStart"/>
      <w:r w:rsidR="00DA77B6" w:rsidRPr="00C17C4C">
        <w:t>Global</w:t>
      </w:r>
      <w:proofErr w:type="spellEnd"/>
      <w:r w:rsidR="00DA77B6" w:rsidRPr="00C17C4C">
        <w:t xml:space="preserve"> </w:t>
      </w:r>
      <w:proofErr w:type="spellStart"/>
      <w:r w:rsidR="00DA77B6" w:rsidRPr="00C17C4C">
        <w:t>Gateway</w:t>
      </w:r>
      <w:proofErr w:type="spellEnd"/>
      <w:r w:rsidR="00DA77B6" w:rsidRPr="00C17C4C">
        <w:t xml:space="preserve">, включват строги процеси на надлежна проверка; </w:t>
      </w:r>
    </w:p>
    <w:p w14:paraId="2F2B9184" w14:textId="2B6A72FB" w:rsidR="00DA77B6" w:rsidRPr="00C17C4C" w:rsidRDefault="00D44435" w:rsidP="00DA77B6">
      <w:pPr>
        <w:pStyle w:val="NormalHanging12a"/>
      </w:pPr>
      <w:r>
        <w:t>40</w:t>
      </w:r>
      <w:r w:rsidR="00DA77B6" w:rsidRPr="00C17C4C">
        <w:t>.</w:t>
      </w:r>
      <w:r w:rsidR="00DA77B6" w:rsidRPr="00C17C4C">
        <w:tab/>
        <w:t xml:space="preserve">призовава за ефективното изпълнение на инвестиционната програма на </w:t>
      </w:r>
      <w:proofErr w:type="spellStart"/>
      <w:r w:rsidR="00DA77B6" w:rsidRPr="00C17C4C">
        <w:t>Global</w:t>
      </w:r>
      <w:proofErr w:type="spellEnd"/>
      <w:r w:rsidR="00DA77B6" w:rsidRPr="00C17C4C">
        <w:t xml:space="preserve"> </w:t>
      </w:r>
      <w:proofErr w:type="spellStart"/>
      <w:r w:rsidR="00DA77B6" w:rsidRPr="00C17C4C">
        <w:t>Gateway</w:t>
      </w:r>
      <w:proofErr w:type="spellEnd"/>
      <w:r w:rsidR="00DA77B6" w:rsidRPr="00C17C4C">
        <w:t xml:space="preserve"> между ЕС и Латинска Америка и Карибския басейн чрез насърчаване на партньорствата между публичния и частния сектор с оглед на подкрепата за устойчивото развитие, приобщаващия растеж и заетостта, както и справедливата екологична и цифрова трансформация; призовава Комисията да гарантира, от самото начало до реализацията, че тези инвестиции са в съответствие с ЦУР и приоритетите на устойчивото развитие, определени от партньорите от Латинска Америка и Карибския басейн, включително посредством редовни консултации с местните органи и представителите на гражданското общество и чрез оценки и анализи на въздействието и че те отговарят на местните и регионалните нужди, чувствителни са към аспектите на пола и генерират значими резултати по отношение на развитието;</w:t>
      </w:r>
    </w:p>
    <w:p w14:paraId="357A41D5" w14:textId="2DC9CC45" w:rsidR="00DA77B6" w:rsidRPr="00C17C4C" w:rsidRDefault="00D44435" w:rsidP="00DA77B6">
      <w:pPr>
        <w:pStyle w:val="NormalHanging12a"/>
        <w:rPr>
          <w:bCs/>
          <w:iCs/>
        </w:rPr>
      </w:pPr>
      <w:r>
        <w:t>41</w:t>
      </w:r>
      <w:r w:rsidR="00DA77B6" w:rsidRPr="00C17C4C">
        <w:t>.</w:t>
      </w:r>
      <w:r w:rsidR="00DA77B6" w:rsidRPr="00C17C4C">
        <w:tab/>
        <w:t xml:space="preserve">подчертава значението на създаването на подходящи условия за мобилизиране както на публични, така и на частни инвестиции в подкрепа на устойчивото развитие; във връзка с това подчертава необходимостта да се предприемат мерки за решаване на проблема с годишния недостиг на финансиране в региона в размер на 99 милиарда щатски долара за съобразени с ЦУР инфраструктурни проекти и проекти в областта на климата с цел стимулиране на справедливия екологичен и </w:t>
      </w:r>
      <w:r w:rsidR="00DA77B6" w:rsidRPr="00C17C4C">
        <w:lastRenderedPageBreak/>
        <w:t xml:space="preserve">цифров преход; подчертава ключовата роля на Европейския фонд за устойчиво развитие плюс (ЕФУР+) за мобилизирането на инвестиции за постигането на тези цели и ролята на Европейската инвестиционна банка (ЕИБ), по-специално на ЕИБ Глобал, в рамките на ЕФУР+, за справяне с продължаващата липса на дългосрочно финансиране и технически експертен опит за зелени инвестиции в региона, както се вижда от проучването от 2024 г. на ЕИБ и Латиноамериканската асоциация на институциите за финансиране на развитието; подкрепя по-задълбоченото сътрудничество с местните финансови институции и регионалните банки за развитие и призовава за засилено използване на гаранциите от ЕФУР+ в подкрепа на малки по мащаб проекти с голямо въздействие, включващи гражданското общество и местните общности, в съответствие с принципите на </w:t>
      </w:r>
      <w:proofErr w:type="spellStart"/>
      <w:r w:rsidR="00DA77B6" w:rsidRPr="00C17C4C">
        <w:t>Global</w:t>
      </w:r>
      <w:proofErr w:type="spellEnd"/>
      <w:r w:rsidR="00DA77B6" w:rsidRPr="00C17C4C">
        <w:t xml:space="preserve"> </w:t>
      </w:r>
      <w:proofErr w:type="spellStart"/>
      <w:r w:rsidR="00DA77B6" w:rsidRPr="00C17C4C">
        <w:t>Gateway</w:t>
      </w:r>
      <w:proofErr w:type="spellEnd"/>
      <w:r w:rsidR="00DA77B6" w:rsidRPr="00C17C4C">
        <w:t xml:space="preserve"> и на ЕС за ефективност на развитието; </w:t>
      </w:r>
    </w:p>
    <w:p w14:paraId="2E3C554B" w14:textId="31AE38AD" w:rsidR="00DA77B6" w:rsidRPr="00C17C4C" w:rsidRDefault="00D44435" w:rsidP="00DA77B6">
      <w:pPr>
        <w:pStyle w:val="NormalHanging12a"/>
      </w:pPr>
      <w:r>
        <w:t>42</w:t>
      </w:r>
      <w:r w:rsidR="00DA77B6" w:rsidRPr="00C17C4C">
        <w:t>.</w:t>
      </w:r>
      <w:r w:rsidR="00DA77B6" w:rsidRPr="00C17C4C">
        <w:tab/>
        <w:t xml:space="preserve">подчертава, че сътрудничеството между ЕС и Латинска Америка и Карибския басейн по отношение както на суровините от критично значение, така и на технологиите, е от съществено значение за постигането на справедлива, екологична и цифрова трансформация и за укрепването на стратегическата автономност и в двата региона въз основа на взаимноизгодни партньорства; подчертава, че това сътрудничество спомага за преодоляване на зависимостта на икономиките на държавите от Латинска Америка и Карибския басейн от първични стоки (селскостопански продукти и природни ресурси) и играе важна роля за укрепването на веригите за създаване на стойност чрез политики за устойчива </w:t>
      </w:r>
      <w:proofErr w:type="spellStart"/>
      <w:r w:rsidR="00DA77B6" w:rsidRPr="00C17C4C">
        <w:t>реиндустриализация</w:t>
      </w:r>
      <w:proofErr w:type="spellEnd"/>
      <w:r w:rsidR="00DA77B6" w:rsidRPr="00C17C4C">
        <w:t>, които създават достойни работни места, насърчават екологичната устойчивост и подкрепят среда, благоприятстваща технологичните иновации; препоръчва засилено сътрудничество в областта на образованието и научните изследвания в цифровата сфера между университетите и центровете за иновации в ЕС и Латинска Америка и Карибския басейн;</w:t>
      </w:r>
    </w:p>
    <w:p w14:paraId="5BA0F65C" w14:textId="03C114E0" w:rsidR="00DA77B6" w:rsidRPr="00C17C4C" w:rsidRDefault="00D44435" w:rsidP="00DA77B6">
      <w:pPr>
        <w:pStyle w:val="NormalHanging12a"/>
        <w:rPr>
          <w:bCs/>
          <w:iCs/>
        </w:rPr>
      </w:pPr>
      <w:r>
        <w:t>43</w:t>
      </w:r>
      <w:r w:rsidR="00DA77B6" w:rsidRPr="00C17C4C">
        <w:t>.</w:t>
      </w:r>
      <w:r w:rsidR="00DA77B6" w:rsidRPr="00C17C4C">
        <w:tab/>
        <w:t xml:space="preserve">подчертава, че инвестициите по линия на </w:t>
      </w:r>
      <w:proofErr w:type="spellStart"/>
      <w:r w:rsidR="00DA77B6" w:rsidRPr="00C17C4C">
        <w:t>Global</w:t>
      </w:r>
      <w:proofErr w:type="spellEnd"/>
      <w:r w:rsidR="00DA77B6" w:rsidRPr="00C17C4C">
        <w:t xml:space="preserve"> </w:t>
      </w:r>
      <w:proofErr w:type="spellStart"/>
      <w:r w:rsidR="00DA77B6" w:rsidRPr="00C17C4C">
        <w:t>Gateway</w:t>
      </w:r>
      <w:proofErr w:type="spellEnd"/>
      <w:r w:rsidR="00DA77B6" w:rsidRPr="00C17C4C">
        <w:t xml:space="preserve"> в региона на Латинска Америка и Карибския басейн следва да дават приоритет на преодоляването на недостига на инфраструктура и неравенството, включително цифровата и енергийната бедност, особено в селските и периферните райони, за да се гарантира, че ползите от подобрената свързаност достигат до населението с недостатъчно обслужване; подчертава, че това включва младите хора и неформалния сектор и че следва да се осигури финансово приемлив достъп до </w:t>
      </w:r>
      <w:proofErr w:type="spellStart"/>
      <w:r w:rsidR="00DA77B6" w:rsidRPr="00C17C4C">
        <w:t>интернет</w:t>
      </w:r>
      <w:bookmarkStart w:id="11" w:name="_Hlk204173687"/>
      <w:bookmarkStart w:id="12" w:name="_Hlk204153963"/>
      <w:r w:rsidR="00DA77B6" w:rsidRPr="00C17C4C">
        <w:t>и</w:t>
      </w:r>
      <w:proofErr w:type="spellEnd"/>
      <w:r w:rsidR="00DA77B6" w:rsidRPr="00C17C4C">
        <w:t xml:space="preserve"> повишена цифрова грамотност</w:t>
      </w:r>
      <w:bookmarkEnd w:id="11"/>
      <w:r w:rsidR="00DA77B6" w:rsidRPr="00C17C4C">
        <w:t xml:space="preserve"> във всички слоеве от населението, особено в маргинализираните общности, с оглед на активното преодоляване на цифровото разделение</w:t>
      </w:r>
      <w:bookmarkEnd w:id="12"/>
      <w:r w:rsidR="00DA77B6" w:rsidRPr="00C17C4C">
        <w:t xml:space="preserve">; </w:t>
      </w:r>
    </w:p>
    <w:p w14:paraId="491818A3" w14:textId="214A888E" w:rsidR="00DA77B6" w:rsidRPr="00C17C4C" w:rsidRDefault="00D44435" w:rsidP="00DA77B6">
      <w:pPr>
        <w:pStyle w:val="NormalHanging12a"/>
      </w:pPr>
      <w:r>
        <w:t>44</w:t>
      </w:r>
      <w:r w:rsidR="00DA77B6" w:rsidRPr="00C17C4C">
        <w:t>.</w:t>
      </w:r>
      <w:r w:rsidR="00DA77B6" w:rsidRPr="00C17C4C">
        <w:tab/>
        <w:t xml:space="preserve">подчертава, че младите хора, които са основен двигател на структурните промени, продължават да се сблъскват със значителни пречки при достъпа до достойна заетост, и изтъква, че приоритетите на </w:t>
      </w:r>
      <w:proofErr w:type="spellStart"/>
      <w:r w:rsidR="00DA77B6" w:rsidRPr="00C17C4C">
        <w:t>Global</w:t>
      </w:r>
      <w:proofErr w:type="spellEnd"/>
      <w:r w:rsidR="00DA77B6" w:rsidRPr="00C17C4C">
        <w:t xml:space="preserve"> </w:t>
      </w:r>
      <w:proofErr w:type="spellStart"/>
      <w:r w:rsidR="00DA77B6" w:rsidRPr="00C17C4C">
        <w:t>Gateway</w:t>
      </w:r>
      <w:proofErr w:type="spellEnd"/>
      <w:r w:rsidR="00DA77B6" w:rsidRPr="00C17C4C">
        <w:t xml:space="preserve"> трябва да подкрепят инвестициите в образование, професионално обучение и политики за заетост, съобразени с нуждите на бъдещия пазар на труда; </w:t>
      </w:r>
    </w:p>
    <w:p w14:paraId="3C7610AA" w14:textId="43656562" w:rsidR="00DA77B6" w:rsidRPr="00C17C4C" w:rsidRDefault="00D44435" w:rsidP="00DA77B6">
      <w:pPr>
        <w:pStyle w:val="NormalHanging12a"/>
        <w:rPr>
          <w:bCs/>
          <w:iCs/>
        </w:rPr>
      </w:pPr>
      <w:r>
        <w:t>45</w:t>
      </w:r>
      <w:r w:rsidR="00DA77B6" w:rsidRPr="00C17C4C">
        <w:t>.</w:t>
      </w:r>
      <w:r w:rsidR="00DA77B6" w:rsidRPr="00C17C4C">
        <w:tab/>
        <w:t>припомня освен това, че е важно да се дава приоритет на програми, които вече са определени като ефективни от международни организации и организации на гражданското общество, като например инвестициите в системите за здравеопазване и полагане на грижи; призовава, особено с оглед на уязвимостта на региона, за ефективното приобщаване на хората с увреждания, за да се гарантира приобщаващ, достъпен и ефективен подход към здравеопазването и полагането на грижи;</w:t>
      </w:r>
    </w:p>
    <w:p w14:paraId="186A0F5E" w14:textId="23EF4A7A" w:rsidR="00DA77B6" w:rsidRPr="00C17C4C" w:rsidRDefault="00D44435" w:rsidP="00DA77B6">
      <w:pPr>
        <w:pStyle w:val="NormalHanging12a"/>
      </w:pPr>
      <w:r>
        <w:lastRenderedPageBreak/>
        <w:t>46</w:t>
      </w:r>
      <w:r w:rsidR="00DA77B6" w:rsidRPr="00C17C4C">
        <w:t>.</w:t>
      </w:r>
      <w:r w:rsidR="00DA77B6" w:rsidRPr="00C17C4C">
        <w:tab/>
        <w:t>припомня, че търговските споразумения и споразуменията за асоцииране позволяват обмен и инвестиции в широк кръг от различни сектори между двата региона, и подчертава факта, че намаляването на неравенствата, насърчаването на достъпа до здравеопазване, образование и вода и отстояването на човешкото достойнство и основните права трябва да останат в центъра на партньорството между ЕС и Латинска Америка и Карибския басейн в съответствие с член 208 от ДФЕС и ИССРМС – Глобална Европа;</w:t>
      </w:r>
    </w:p>
    <w:p w14:paraId="37DC592C" w14:textId="2E08F70C" w:rsidR="00DA77B6" w:rsidRPr="00C17C4C" w:rsidRDefault="00D44435" w:rsidP="00DA77B6">
      <w:pPr>
        <w:pStyle w:val="NormalHanging12a"/>
      </w:pPr>
      <w:r>
        <w:t>47</w:t>
      </w:r>
      <w:r w:rsidR="00DA77B6" w:rsidRPr="00C17C4C">
        <w:t>.</w:t>
      </w:r>
      <w:r w:rsidR="00DA77B6" w:rsidRPr="00C17C4C">
        <w:tab/>
        <w:t xml:space="preserve">подчертава важността на повишената прозрачност, отчетността и местното значение и приветства създаването на уебстраница на Комисията с информация относно съществуващите инициативи </w:t>
      </w:r>
      <w:proofErr w:type="spellStart"/>
      <w:r w:rsidR="00DA77B6" w:rsidRPr="00C17C4C">
        <w:t>Global</w:t>
      </w:r>
      <w:proofErr w:type="spellEnd"/>
      <w:r w:rsidR="00DA77B6" w:rsidRPr="00C17C4C">
        <w:t xml:space="preserve"> </w:t>
      </w:r>
      <w:proofErr w:type="spellStart"/>
      <w:r w:rsidR="00DA77B6" w:rsidRPr="00C17C4C">
        <w:t>Gateway</w:t>
      </w:r>
      <w:proofErr w:type="spellEnd"/>
      <w:r w:rsidR="00DA77B6" w:rsidRPr="00C17C4C">
        <w:t>; призовава Комисията да публикува допълнителни подробности, включително резултатите от консултациите с местните органи и гражданското общество от двата региона, както и информация относно съответствието с ЦУР и приоритетите както на ЕС, така и на държавите партньори, с референтни стойности и показатели; настоятелно призовава за най-широко прилагане на маркера за неравенството (I-</w:t>
      </w:r>
      <w:proofErr w:type="spellStart"/>
      <w:r w:rsidR="00DA77B6" w:rsidRPr="00C17C4C">
        <w:t>Marker</w:t>
      </w:r>
      <w:proofErr w:type="spellEnd"/>
      <w:r w:rsidR="00DA77B6" w:rsidRPr="00C17C4C">
        <w:t xml:space="preserve">) на Комисията, по-специално по отношение на инициативата </w:t>
      </w:r>
      <w:proofErr w:type="spellStart"/>
      <w:r w:rsidR="00DA77B6" w:rsidRPr="00C17C4C">
        <w:t>Global</w:t>
      </w:r>
      <w:proofErr w:type="spellEnd"/>
      <w:r w:rsidR="00DA77B6" w:rsidRPr="00C17C4C">
        <w:t xml:space="preserve"> </w:t>
      </w:r>
      <w:proofErr w:type="spellStart"/>
      <w:r w:rsidR="00DA77B6" w:rsidRPr="00C17C4C">
        <w:t>Gateway</w:t>
      </w:r>
      <w:proofErr w:type="spellEnd"/>
      <w:r w:rsidR="00DA77B6" w:rsidRPr="00C17C4C">
        <w:t>, която следва по всяко време да прилага подход, основан на правата, и да бъде свързана с показатели за човешко развитие; посочва освен това значението на социалната защита и опазването на околната среда в рамките на диалога между ЕС и CELAC;</w:t>
      </w:r>
    </w:p>
    <w:p w14:paraId="1B55C687" w14:textId="28FA6133" w:rsidR="00DA77B6" w:rsidRPr="00C17C4C" w:rsidRDefault="00D44435" w:rsidP="00DA77B6">
      <w:pPr>
        <w:pStyle w:val="NormalHanging12a"/>
        <w:rPr>
          <w:bCs/>
          <w:iCs/>
        </w:rPr>
      </w:pPr>
      <w:r>
        <w:t>48</w:t>
      </w:r>
      <w:r w:rsidR="00DA77B6" w:rsidRPr="00C17C4C">
        <w:t>.</w:t>
      </w:r>
      <w:r w:rsidR="00DA77B6" w:rsidRPr="00C17C4C">
        <w:tab/>
        <w:t xml:space="preserve">подчертава, че инициативата </w:t>
      </w:r>
      <w:proofErr w:type="spellStart"/>
      <w:r w:rsidR="00DA77B6" w:rsidRPr="00C17C4C">
        <w:t>Global</w:t>
      </w:r>
      <w:proofErr w:type="spellEnd"/>
      <w:r w:rsidR="00DA77B6" w:rsidRPr="00C17C4C">
        <w:t xml:space="preserve"> </w:t>
      </w:r>
      <w:proofErr w:type="spellStart"/>
      <w:r w:rsidR="00DA77B6" w:rsidRPr="00C17C4C">
        <w:t>Gateway</w:t>
      </w:r>
      <w:proofErr w:type="spellEnd"/>
      <w:r w:rsidR="00DA77B6" w:rsidRPr="00C17C4C">
        <w:t xml:space="preserve"> трябва да подлежи на непрекъсната оценка, за да се преценява нейната ефективност и стратегическа насоченост; във връзка с това призовава за по-силна роля на Парламента в надзора на инициативата </w:t>
      </w:r>
      <w:proofErr w:type="spellStart"/>
      <w:r w:rsidR="00DA77B6" w:rsidRPr="00C17C4C">
        <w:t>Global</w:t>
      </w:r>
      <w:proofErr w:type="spellEnd"/>
      <w:r w:rsidR="00DA77B6" w:rsidRPr="00C17C4C">
        <w:t xml:space="preserve"> </w:t>
      </w:r>
      <w:proofErr w:type="spellStart"/>
      <w:r w:rsidR="00DA77B6" w:rsidRPr="00C17C4C">
        <w:t>Gateway</w:t>
      </w:r>
      <w:proofErr w:type="spellEnd"/>
      <w:r w:rsidR="00DA77B6" w:rsidRPr="00C17C4C">
        <w:t xml:space="preserve"> и в нейното стратегическо управление, особено по отношение на нейното прилагане в Латинска Америка и Карибския басейн, за да се гарантира прозрачност, демократична отчетност, съответствие с ценностите на ЕС и ефективно използване на ресурсите;</w:t>
      </w:r>
    </w:p>
    <w:p w14:paraId="44ADDED7" w14:textId="286FB333" w:rsidR="00DA77B6" w:rsidRPr="00C17C4C" w:rsidRDefault="00D44435" w:rsidP="00DA77B6">
      <w:pPr>
        <w:pStyle w:val="NormalHanging12a"/>
        <w:rPr>
          <w:bCs/>
          <w:iCs/>
        </w:rPr>
      </w:pPr>
      <w:r>
        <w:t>49</w:t>
      </w:r>
      <w:r w:rsidR="00DA77B6" w:rsidRPr="00C17C4C">
        <w:t>.</w:t>
      </w:r>
      <w:r w:rsidR="00DA77B6" w:rsidRPr="00C17C4C">
        <w:tab/>
        <w:t xml:space="preserve">призовава Комисията да осигури пълноценното участие на гражданското общество в разработването, изпълнението и мониторинга на програмите на ЕС, за да се гарантира съгласуваност на политиките за устойчиво развитие, като се установят ефективни полезни взаимодействия с всички проекти, свързани с </w:t>
      </w:r>
      <w:proofErr w:type="spellStart"/>
      <w:r w:rsidR="00DA77B6" w:rsidRPr="00C17C4C">
        <w:t>Global</w:t>
      </w:r>
      <w:proofErr w:type="spellEnd"/>
      <w:r w:rsidR="00DA77B6" w:rsidRPr="00C17C4C">
        <w:t xml:space="preserve"> </w:t>
      </w:r>
      <w:proofErr w:type="spellStart"/>
      <w:r w:rsidR="00DA77B6" w:rsidRPr="00C17C4C">
        <w:t>Gateway</w:t>
      </w:r>
      <w:proofErr w:type="spellEnd"/>
      <w:r w:rsidR="00DA77B6" w:rsidRPr="00C17C4C">
        <w:t xml:space="preserve"> и хуманитарната помощ на ЕС;</w:t>
      </w:r>
    </w:p>
    <w:p w14:paraId="5D4AC7FA" w14:textId="603A84EA" w:rsidR="00DA77B6" w:rsidRPr="00C17C4C" w:rsidRDefault="00D44435" w:rsidP="00DA77B6">
      <w:pPr>
        <w:pStyle w:val="NormalHanging12a"/>
        <w:rPr>
          <w:bCs/>
          <w:iCs/>
        </w:rPr>
      </w:pPr>
      <w:r>
        <w:t>50</w:t>
      </w:r>
      <w:r w:rsidR="00DA77B6" w:rsidRPr="00C17C4C">
        <w:t>.</w:t>
      </w:r>
      <w:r w:rsidR="00DA77B6" w:rsidRPr="00C17C4C">
        <w:tab/>
      </w:r>
      <w:bookmarkStart w:id="13" w:name="_Hlk209435917"/>
      <w:r w:rsidR="00DA77B6" w:rsidRPr="00C17C4C">
        <w:t xml:space="preserve">подчертава, че наред с инициативата </w:t>
      </w:r>
      <w:proofErr w:type="spellStart"/>
      <w:r w:rsidR="00DA77B6" w:rsidRPr="00C17C4C">
        <w:t>Global</w:t>
      </w:r>
      <w:proofErr w:type="spellEnd"/>
      <w:r w:rsidR="00DA77B6" w:rsidRPr="00C17C4C">
        <w:t xml:space="preserve"> </w:t>
      </w:r>
      <w:proofErr w:type="spellStart"/>
      <w:r w:rsidR="00DA77B6" w:rsidRPr="00C17C4C">
        <w:t>Gateway</w:t>
      </w:r>
      <w:proofErr w:type="spellEnd"/>
      <w:r w:rsidR="00DA77B6" w:rsidRPr="00C17C4C">
        <w:t>, традиционните канали за сътрудничество в държавите от Латинска Америка и Карибския басейн трябва да бъдат запазени; призовава ЕС да увеличи финансирането за програмите за правата на човека, демокрацията и гражданското общество в региона и да гарантира, че средствата за географската програма за Северна и Южна Америка и Карибския басейн по линия на ИССРМС – Глобална Европа – понастоящем на най-ниско ниво сред всички региони – поне ще бъдат запазени;</w:t>
      </w:r>
    </w:p>
    <w:bookmarkEnd w:id="13"/>
    <w:p w14:paraId="18E6B4EA" w14:textId="4009F999" w:rsidR="00DA77B6" w:rsidRPr="00C17C4C" w:rsidRDefault="00D44435" w:rsidP="00DA77B6">
      <w:pPr>
        <w:pStyle w:val="NormalHanging12a"/>
        <w:rPr>
          <w:bCs/>
          <w:iCs/>
        </w:rPr>
      </w:pPr>
      <w:r>
        <w:t>51</w:t>
      </w:r>
      <w:r w:rsidR="00DA77B6" w:rsidRPr="00C17C4C">
        <w:t>.</w:t>
      </w:r>
      <w:r w:rsidR="00DA77B6" w:rsidRPr="00C17C4C">
        <w:tab/>
        <w:t>настоятелно призовава Комисията и държавите от Латинска Америка и Карибския басейн да увеличат усилията си за справяне с първопричините за предизвиканите от човека и природните бедствия чрез засилване на политиките и сътрудничеството в областта на превенцията, подготвеността, устойчивостта и реакцията; приветства меморандума за разбирателство между двата региона за сътрудничество в областта на интегрираното управление на риска от бедствия, подписан в Барбадос на 15 май 2024 г., и приканва партньорите, които все още не са го подписали, да направят това възможно най-скоро;</w:t>
      </w:r>
    </w:p>
    <w:p w14:paraId="65B7287B" w14:textId="59B92E55" w:rsidR="00DA77B6" w:rsidRPr="00C17C4C" w:rsidRDefault="00D44435" w:rsidP="00DA77B6">
      <w:pPr>
        <w:pStyle w:val="NormalHanging12a"/>
        <w:rPr>
          <w:bCs/>
          <w:iCs/>
        </w:rPr>
      </w:pPr>
      <w:r>
        <w:lastRenderedPageBreak/>
        <w:t>52</w:t>
      </w:r>
      <w:r w:rsidR="00DA77B6" w:rsidRPr="00C17C4C">
        <w:t>.</w:t>
      </w:r>
      <w:r w:rsidR="00DA77B6" w:rsidRPr="00C17C4C">
        <w:tab/>
        <w:t>посочва, че европейското сътрудничество и инвестиции не само насърчават икономическото развитие в региона, но и допринасят за мира, като създават икономически алтернативи за младите хора в региона на Латинска Америка; подчертава, че последното е от съществено значение в борбата с организираната престъпност; подчертава значението на засилването на сътрудничеството между двата региона в областта на сигурността в най-широк смисъл, включително в области като климата, храните, здравеопазването и социалната сигурност, на прилагането на съвместни механизми за готовност, превенция и реагиране и на пълното интегриране на правата на човека и хуманитарните принципи в сътрудничеството между ЕС и Латинска Америка и Карибския басейн в областта на сигурността, за да се прекъснат циклите на насилие и изключване в региона на Латинска Америка и Карибския басейн;</w:t>
      </w:r>
    </w:p>
    <w:p w14:paraId="3E98EEB8" w14:textId="30336539" w:rsidR="00DA77B6" w:rsidRPr="00C17C4C" w:rsidRDefault="00D44435" w:rsidP="00DA77B6">
      <w:pPr>
        <w:pStyle w:val="NormalHanging12a"/>
        <w:rPr>
          <w:bCs/>
          <w:iCs/>
        </w:rPr>
      </w:pPr>
      <w:r>
        <w:t>53</w:t>
      </w:r>
      <w:r w:rsidR="00DA77B6" w:rsidRPr="00C17C4C">
        <w:t>.</w:t>
      </w:r>
      <w:r w:rsidR="00DA77B6" w:rsidRPr="00C17C4C">
        <w:tab/>
        <w:t xml:space="preserve">приветства амбицията на ЕС да оглави световния екологичен преход и отбелязва признаването от негова страна на Латинска Америка като ключов партньор в това усилие; подчертава необходимостта от съвместно стимулиране на глобални екологични инициативи, които отговарят на глобалните цели за смекчаване на изменението на климата и адаптиране към него; подчертава необходимостта от насърчаване на справедлив и приобщаващ екологичен преход и в двата региона, включително чрез засилено сътрудничество между ЕС и Латинска Америка и Карибския басейн в областта на смекчаването на последиците от изменението на климата и адаптирането към него, и от това да се реагира на екстремните климатични явления, като се обръща специално внимание на критични области, като например опазването на биологичното разнообразие, възстановяването на екосистемите, </w:t>
      </w:r>
      <w:proofErr w:type="spellStart"/>
      <w:r w:rsidR="00DA77B6" w:rsidRPr="00C17C4C">
        <w:t>декарбонизацията</w:t>
      </w:r>
      <w:proofErr w:type="spellEnd"/>
      <w:r w:rsidR="00DA77B6" w:rsidRPr="00C17C4C">
        <w:t xml:space="preserve"> и устойчивото селско стопанство, и най-уязвимите хора и общности;</w:t>
      </w:r>
    </w:p>
    <w:p w14:paraId="0C0AE23D" w14:textId="3EBEF63A" w:rsidR="00DA77B6" w:rsidRPr="00C17C4C" w:rsidRDefault="00D44435" w:rsidP="00DA77B6">
      <w:pPr>
        <w:pStyle w:val="NormalHanging12a"/>
        <w:rPr>
          <w:bCs/>
          <w:iCs/>
        </w:rPr>
      </w:pPr>
      <w:r>
        <w:t>54</w:t>
      </w:r>
      <w:r w:rsidR="00DA77B6" w:rsidRPr="00C17C4C">
        <w:t>.</w:t>
      </w:r>
      <w:r w:rsidR="00DA77B6" w:rsidRPr="00C17C4C">
        <w:tab/>
        <w:t>подчертава, че изменението на климата нарушава продоволствените системи в Латинска Америка, и подчертава стойността на агроекологията, която е призната като ключова, устойчива на изменението на климата селскостопанска система;</w:t>
      </w:r>
    </w:p>
    <w:p w14:paraId="1895E606" w14:textId="3EF8E397" w:rsidR="00DA77B6" w:rsidRPr="00C17C4C" w:rsidRDefault="00D44435" w:rsidP="00DA77B6">
      <w:pPr>
        <w:pStyle w:val="NormalHanging12a"/>
        <w:rPr>
          <w:bCs/>
          <w:iCs/>
        </w:rPr>
      </w:pPr>
      <w:r>
        <w:t>55</w:t>
      </w:r>
      <w:r w:rsidR="00DA77B6" w:rsidRPr="00C17C4C">
        <w:t>.</w:t>
      </w:r>
      <w:r w:rsidR="00DA77B6" w:rsidRPr="00C17C4C">
        <w:tab/>
        <w:t>припомня значението на програмата за сътрудничество между ЕС и държавите от басейна на река Амазонка за подобряване на капацитета на държавите от басейна на река Амазонка за борба с обезлесяването и деградацията на горите;</w:t>
      </w:r>
    </w:p>
    <w:p w14:paraId="49A63FEF" w14:textId="6D3FED7F" w:rsidR="00DA77B6" w:rsidRPr="00C17C4C" w:rsidRDefault="00D44435" w:rsidP="00DA77B6">
      <w:pPr>
        <w:pStyle w:val="NormalHanging12a"/>
        <w:rPr>
          <w:bCs/>
          <w:iCs/>
        </w:rPr>
      </w:pPr>
      <w:r>
        <w:t>56</w:t>
      </w:r>
      <w:r w:rsidR="00DA77B6" w:rsidRPr="00C17C4C">
        <w:t>.</w:t>
      </w:r>
      <w:r w:rsidR="00DA77B6" w:rsidRPr="00C17C4C">
        <w:tab/>
        <w:t>призовава за по-силна ангажираност със защитата на правата на коренното население и за интегриране на тези права в диалога и във всички измерения на сътрудничеството с държавите от Латинска Америка и Карибския басейн, както е посочено в Декларацията на ООН за правата на коренното население;</w:t>
      </w:r>
    </w:p>
    <w:p w14:paraId="09EF7FCE" w14:textId="48871294" w:rsidR="00DA77B6" w:rsidRPr="00C17C4C" w:rsidRDefault="00D44435" w:rsidP="00DA77B6">
      <w:pPr>
        <w:pStyle w:val="NormalHanging12a"/>
        <w:rPr>
          <w:bCs/>
          <w:iCs/>
        </w:rPr>
      </w:pPr>
      <w:r>
        <w:t>57</w:t>
      </w:r>
      <w:r w:rsidR="00DA77B6" w:rsidRPr="00C17C4C">
        <w:t>.</w:t>
      </w:r>
      <w:r w:rsidR="00DA77B6" w:rsidRPr="00C17C4C">
        <w:tab/>
        <w:t xml:space="preserve">припомня, че е важно да се насърчава устойчивото и отговорно минно дело, което зачита правата и поминъка на местните общности и коренното население, предотвратява сериозните отрицателни и екологични последствия и спомага за преодоляването на зависимостта от износа на стоки, като по този начин подкрепя устойчивите политики за </w:t>
      </w:r>
      <w:proofErr w:type="spellStart"/>
      <w:r w:rsidR="00DA77B6" w:rsidRPr="00C17C4C">
        <w:t>реиндустриализация</w:t>
      </w:r>
      <w:proofErr w:type="spellEnd"/>
      <w:r w:rsidR="00DA77B6" w:rsidRPr="00C17C4C">
        <w:t>, които създават достойни работни места и насърчават екологичната устойчивост чрез ефективно управление на минералните ресурси;</w:t>
      </w:r>
    </w:p>
    <w:p w14:paraId="4406BC5B" w14:textId="00E091E9" w:rsidR="00DA77B6" w:rsidRPr="00C17C4C" w:rsidRDefault="00D44435" w:rsidP="00DA77B6">
      <w:pPr>
        <w:pStyle w:val="NormalHanging12a"/>
        <w:rPr>
          <w:bCs/>
          <w:iCs/>
        </w:rPr>
      </w:pPr>
      <w:r>
        <w:t>58</w:t>
      </w:r>
      <w:r w:rsidR="00DA77B6" w:rsidRPr="00C17C4C">
        <w:t>.</w:t>
      </w:r>
      <w:r w:rsidR="00DA77B6" w:rsidRPr="00C17C4C">
        <w:tab/>
        <w:t xml:space="preserve">подчертава необходимостта от подкрепа за съобразено с равенството между половете сътрудничество за развитие и предлага прилагането на целенасочени мерки за преодоляване и намаляване на неравенствата между мъжете и жените, включително, но не само, насърчаване на достъпа на жените до достоен труд, </w:t>
      </w:r>
      <w:r w:rsidR="00DA77B6" w:rsidRPr="00C17C4C">
        <w:lastRenderedPageBreak/>
        <w:t xml:space="preserve">финансово приобщаване и лидерски и предприемачески роли, особено в селските и неформалните сектори; подчертава, че в много региони по света микропредприятията и малките и средните предприятия (ММСП) често са движещата сила на местните икономики, като броят на управляваните от жени ММСП нараства; </w:t>
      </w:r>
      <w:bookmarkStart w:id="14" w:name="_Hlk204174834"/>
      <w:r w:rsidR="00DA77B6" w:rsidRPr="00C17C4C">
        <w:t>подчертава, че в световен мащаб ММСП представляват 90% от предприятията, като осигуряват 60% – 70% от работните места и 50% от БВП</w:t>
      </w:r>
      <w:bookmarkEnd w:id="14"/>
      <w:r w:rsidR="00DA77B6" w:rsidRPr="00C17C4C">
        <w:t>; подчертава приноса на ММСП към Програмата до 2030 г. и ключовата им роля за постигането на ЦУР, особено на тези, свързани с изкореняването на бедността и достойния труд за всички;</w:t>
      </w:r>
    </w:p>
    <w:p w14:paraId="5174C394" w14:textId="424A3877" w:rsidR="00DA77B6" w:rsidRPr="00C17C4C" w:rsidRDefault="00D44435" w:rsidP="00DA77B6">
      <w:pPr>
        <w:pStyle w:val="NormalHanging12a"/>
        <w:rPr>
          <w:bCs/>
          <w:iCs/>
        </w:rPr>
      </w:pPr>
      <w:r>
        <w:t>59</w:t>
      </w:r>
      <w:r w:rsidR="00DA77B6" w:rsidRPr="00C17C4C">
        <w:t>.</w:t>
      </w:r>
      <w:r w:rsidR="00DA77B6" w:rsidRPr="00C17C4C">
        <w:tab/>
        <w:t>приветства инициативата „</w:t>
      </w:r>
      <w:bookmarkStart w:id="15" w:name="_Hlk207225749"/>
      <w:r w:rsidR="00DA77B6" w:rsidRPr="00C17C4C">
        <w:t>Двурегионален пакт за полагане на грижи</w:t>
      </w:r>
      <w:bookmarkEnd w:id="15"/>
      <w:r w:rsidR="00DA77B6" w:rsidRPr="00C17C4C">
        <w:t>“, която има за цел да насърчи сътрудничеството в областта на всеобхватните системи и публични политики в областта на полагането на грижи между държавите от двата региона, включително чрез разработването на механизми за сътрудничество и финансиране, за да се постигне по-справедлива и по-приобщаваща икономика;</w:t>
      </w:r>
    </w:p>
    <w:p w14:paraId="077FDA6A" w14:textId="3464F623" w:rsidR="00DA77B6" w:rsidRPr="00C17C4C" w:rsidRDefault="00D44435" w:rsidP="00DA77B6">
      <w:pPr>
        <w:pStyle w:val="NormalHanging12a"/>
        <w:rPr>
          <w:bCs/>
          <w:iCs/>
        </w:rPr>
      </w:pPr>
      <w:r>
        <w:t>60</w:t>
      </w:r>
      <w:r w:rsidR="00DA77B6" w:rsidRPr="00C17C4C">
        <w:t>.</w:t>
      </w:r>
      <w:r w:rsidR="00DA77B6" w:rsidRPr="00C17C4C">
        <w:tab/>
        <w:t>призовава за засилено сътрудничество между ЕС и държавите от Латинска Америка и Карибския басейн за борба с насилието, основано на пола, чрез всеобхватно образование, кампании за повишаване на осведомеността и укрепване на правната защита; подкрепя инициативите в рамките на ИССРМС – Глобална Европа и Третия план за действие относно равенството между половете, които насърчават младежката заетост, образованието и участието на жените в политиката;</w:t>
      </w:r>
    </w:p>
    <w:p w14:paraId="4EEAB939" w14:textId="204377E8" w:rsidR="00DA77B6" w:rsidRPr="00C17C4C" w:rsidRDefault="00D44435" w:rsidP="00DA77B6">
      <w:pPr>
        <w:pStyle w:val="NormalHanging12a"/>
        <w:rPr>
          <w:bCs/>
          <w:iCs/>
        </w:rPr>
      </w:pPr>
      <w:r>
        <w:t>61</w:t>
      </w:r>
      <w:r w:rsidR="00DA77B6" w:rsidRPr="00C17C4C">
        <w:t>.</w:t>
      </w:r>
      <w:r w:rsidR="00DA77B6" w:rsidRPr="00C17C4C">
        <w:tab/>
        <w:t xml:space="preserve">подчертава жизненоважната роля на гражданското общество за формулирането и мониторинга на приобщаващи социални политики и за насърчаването на справедлив достъп до качествено образование и на устойчив и приобщаващ икономически растеж в Латинска Америка и Карибския басейн; изразява сериозна загриженост относно свиването на гражданското пространство в много държави от Латинска Америка; във връзка с това призовава за по-голяма подкрепа от ЕС за организациите на гражданското общество, защитниците на правата на човека, активистите в областта на околната среда и журналистите, които са изправени пред нарастващи заплахи и насилие, за да се гарантира, че те могат да вършат работата си безопасно и независимо; призовава да се даде приоритет на тяхната безопасност, достъпа им до правосъдие и свободата им на изразяване и да се укрепи партньорството на ЕС с участниците от гражданското общество, </w:t>
      </w:r>
      <w:bookmarkStart w:id="16" w:name="_Hlk204028056"/>
      <w:r w:rsidR="00DA77B6" w:rsidRPr="00C17C4C">
        <w:t>чиято роля е от съществено значение за решаването на основни проблеми и улесняването на конструктивния диалог относно правата на човека и демократичния преход и които са силно зависими от програмите за помощ за своите операции</w:t>
      </w:r>
      <w:bookmarkEnd w:id="16"/>
      <w:r w:rsidR="00DA77B6" w:rsidRPr="00C17C4C">
        <w:t>;</w:t>
      </w:r>
    </w:p>
    <w:p w14:paraId="1DD099B3" w14:textId="575BB4EE" w:rsidR="00DA77B6" w:rsidRPr="00C17C4C" w:rsidRDefault="00D44435" w:rsidP="00DA77B6">
      <w:pPr>
        <w:pStyle w:val="NormalHanging12a"/>
        <w:rPr>
          <w:bCs/>
          <w:iCs/>
        </w:rPr>
      </w:pPr>
      <w:r>
        <w:t>62</w:t>
      </w:r>
      <w:r w:rsidR="00DA77B6" w:rsidRPr="00C17C4C">
        <w:t>.</w:t>
      </w:r>
      <w:r w:rsidR="00DA77B6" w:rsidRPr="00C17C4C">
        <w:tab/>
        <w:t>подчертава значението на подкрепата от ЕС за укрепване на системите за социална закрила в Латинска Америка и Карибския басейн, включително за интегрирани социални регистри, по-добра координация на схемите и съвместни пилотни проекти, особено с гражданското общество и местните органи, като основни двигатели на приобщаването и намаляването на бедността в партньорството между ЕС и Латинска Америка и Карибския басейн;</w:t>
      </w:r>
    </w:p>
    <w:p w14:paraId="66A52145" w14:textId="77777777" w:rsidR="00DA77B6" w:rsidRPr="00C17C4C" w:rsidRDefault="00DA77B6" w:rsidP="00DA77B6">
      <w:pPr>
        <w:pStyle w:val="Normal12a24b"/>
      </w:pPr>
      <w:r w:rsidRPr="00C17C4C">
        <w:rPr>
          <w:rStyle w:val="BoldItalic"/>
          <w:bCs/>
          <w:iCs/>
        </w:rPr>
        <w:t>Сътрудничество в областта на сигурността</w:t>
      </w:r>
      <w:r w:rsidRPr="00C17C4C">
        <w:rPr>
          <w:b/>
          <w:bCs/>
          <w:i/>
          <w:iCs/>
        </w:rPr>
        <w:t xml:space="preserve"> и борбата с трафика на наркотици</w:t>
      </w:r>
    </w:p>
    <w:p w14:paraId="67FA4B93" w14:textId="7438EA65" w:rsidR="00DA77B6" w:rsidRPr="00C17C4C" w:rsidRDefault="00D44435" w:rsidP="00DA77B6">
      <w:pPr>
        <w:pStyle w:val="NormalHanging12a"/>
      </w:pPr>
      <w:r>
        <w:t>63</w:t>
      </w:r>
      <w:r w:rsidR="00DA77B6" w:rsidRPr="00C17C4C">
        <w:t>.</w:t>
      </w:r>
      <w:r w:rsidR="00DA77B6" w:rsidRPr="00C17C4C">
        <w:tab/>
        <w:t xml:space="preserve">отчита увеличаването на организираната престъпност и трафика на наркотици в ЕС и Латинска Америка и Карибския басейн, както и безпрецедентните </w:t>
      </w:r>
      <w:r w:rsidR="00DA77B6" w:rsidRPr="00C17C4C">
        <w:lastRenderedPageBreak/>
        <w:t xml:space="preserve">количества незаконни наркотици, които са обект на трафик от региона към ЕС главно през неговите пристанища; изразява особена загриженост относно нарастващото предизвикателство за сигурността и в двата региона, което представлява транснационалната координация на престъпни организации, установени в Латинска Америка и Карибския басейн и ЕС; подчертава необходимостта от засилване на сътрудничеството не само с държавите производителки на наркотици, но и с транзитните държави в Латинска Америка и Карибския басейн, както и от засилване на многостранното сътрудничество за борба с тези заплахи; призовава за укрепване на партньорството между ЕС и Латинска Америка и Карибския басейн в областта на правосъдието и сигурността, EL </w:t>
      </w:r>
      <w:proofErr w:type="spellStart"/>
      <w:r w:rsidR="00DA77B6" w:rsidRPr="00C17C4C">
        <w:t>PAcCTO</w:t>
      </w:r>
      <w:proofErr w:type="spellEnd"/>
      <w:r w:rsidR="00DA77B6" w:rsidRPr="00C17C4C">
        <w:t xml:space="preserve"> 2.0,</w:t>
      </w:r>
      <w:r w:rsidR="00DA77B6" w:rsidRPr="00C17C4C">
        <w:rPr>
          <w:i/>
        </w:rPr>
        <w:t xml:space="preserve"> </w:t>
      </w:r>
      <w:r w:rsidR="00DA77B6" w:rsidRPr="00C17C4C">
        <w:t>COPOLAD, EUROFRONT, Глобалната програма за незаконни потоци (GFIP) и Европейския пристанищен алианс;</w:t>
      </w:r>
    </w:p>
    <w:p w14:paraId="08323BBE" w14:textId="46852006" w:rsidR="00DA77B6" w:rsidRPr="00C17C4C" w:rsidRDefault="00D44435" w:rsidP="00DA77B6">
      <w:pPr>
        <w:pStyle w:val="NormalHanging12a"/>
      </w:pPr>
      <w:r>
        <w:t>64</w:t>
      </w:r>
      <w:r w:rsidR="00DA77B6" w:rsidRPr="00C17C4C">
        <w:t>.</w:t>
      </w:r>
      <w:r w:rsidR="00DA77B6" w:rsidRPr="00C17C4C">
        <w:tab/>
        <w:t>признава значението на Латиноамериканския комитет по вътрешна сигурност (CLASI) за изграждането на обща и споделена рамка за сигурност в Латинска Америка и Карибския басейн; подчертава, че CLASI е ключов инструмент за постигане на по-голяма интеграция и ефективност в борбата с престъпността в региона; приветства продължаващия</w:t>
      </w:r>
      <w:r w:rsidR="00DA77B6" w:rsidRPr="00C17C4C">
        <w:rPr>
          <w:b/>
          <w:i/>
        </w:rPr>
        <w:t xml:space="preserve"> </w:t>
      </w:r>
      <w:r w:rsidR="00DA77B6" w:rsidRPr="00C17C4C">
        <w:t>стратегически ангажимент между министрите на вътрешните работи и/или на сигурността на държавите – членки на ЕС, и министрите, отговарящи за въпросите на сигурността в държавите – членки на CLASI, както и на техническо равнище, с цел засилване на оперативното сътрудничество в областта на правоприлагането между ЕС и Латинска Америка и Карибския басейн; приветства приемането на съвместна декларация и пътна карта за приоритетите на оперативното сътрудничество за периода 2025 – 2026 г.; призовава за установяването на подобно сътрудничество в областта на правосъдието и управлението на границите;</w:t>
      </w:r>
    </w:p>
    <w:p w14:paraId="0A2AACBC" w14:textId="7C2A5F6A" w:rsidR="00DA77B6" w:rsidRPr="00C17C4C" w:rsidRDefault="00D44435" w:rsidP="00DA77B6">
      <w:pPr>
        <w:pStyle w:val="NormalHanging12a"/>
        <w:rPr>
          <w:bCs/>
          <w:iCs/>
        </w:rPr>
      </w:pPr>
      <w:r>
        <w:t>65</w:t>
      </w:r>
      <w:r w:rsidR="00DA77B6" w:rsidRPr="00C17C4C">
        <w:t>.</w:t>
      </w:r>
      <w:r w:rsidR="00DA77B6" w:rsidRPr="00C17C4C">
        <w:tab/>
        <w:t xml:space="preserve">приканва Комисията да засили и разшири подкрепата за сътрудничеството между държавите партньори от Латинска Америка и Карибския басейн и съответните агенции на ЕС, включително Европол, Евроюст и EUDA, и да укрепи техните работни договорености; приветства идеята за създаване на партньорство между пристанищата в Латинска Америка и Карибския басейн и Европейския пристанищен алианс; подчертава, че е важно да се постигне напредък по отношение на технологиите с ИИ и да се засили сътрудничеството между пристанищата и властите в борбата с трафика на наркотици; призовава за съвместни инициативи за правоприлагане, оперативни партньорства и обмен на разузнавателна информация; приветства конкретния принос на държавите членки в това отношение; </w:t>
      </w:r>
    </w:p>
    <w:p w14:paraId="2231716E" w14:textId="009B7287" w:rsidR="00DA77B6" w:rsidRPr="00C17C4C" w:rsidRDefault="00D44435" w:rsidP="00DA77B6">
      <w:pPr>
        <w:pStyle w:val="NormalHanging12a"/>
      </w:pPr>
      <w:r>
        <w:t>66</w:t>
      </w:r>
      <w:r w:rsidR="00DA77B6" w:rsidRPr="00C17C4C">
        <w:t>.</w:t>
      </w:r>
      <w:r w:rsidR="00DA77B6" w:rsidRPr="00C17C4C">
        <w:tab/>
        <w:t>приветства усилията за укрепване на регионалното сътрудничество в областта на сигурността чрез разширяването на CLASI и създаването на AMERIPOL като официален правоприлагащ орган, улесняващ трансграничната координация; подчертава необходимостта от ратифициране на Договора за създаване на AMERIPOL, за да стане напълно ефективен, и призовава подписалите го държави да започнат своите конституционни процедури за ратифициране;</w:t>
      </w:r>
    </w:p>
    <w:p w14:paraId="5DD9473A" w14:textId="668552D2" w:rsidR="00DA77B6" w:rsidRPr="00C17C4C" w:rsidRDefault="00D44435" w:rsidP="00DA77B6">
      <w:pPr>
        <w:pStyle w:val="NormalHanging12a"/>
      </w:pPr>
      <w:r>
        <w:t>67</w:t>
      </w:r>
      <w:r w:rsidR="00DA77B6" w:rsidRPr="00C17C4C">
        <w:t>.</w:t>
      </w:r>
      <w:r w:rsidR="00DA77B6" w:rsidRPr="00C17C4C">
        <w:tab/>
        <w:t xml:space="preserve">подчертава необходимостта от справяне с първопричините за организираната престъпност, включително корупцията, слабото управление и социалното неравенство, и се застъпва за подход, който съчетава правоприлагането с дългосрочни социални политики и други междусекторни стратегии, с цел да се гарантира подход към сигурността на гражданите, обхващащ цялото правителство и цялото общество; посочва ползите от споразуменията за асоцииране и други </w:t>
      </w:r>
      <w:r w:rsidR="00DA77B6" w:rsidRPr="00C17C4C">
        <w:lastRenderedPageBreak/>
        <w:t>двустранни споразумения между ЕС и Латинска Америка и Карибския басейн като основни инструменти за сътрудничество с държавите партньори с цел справяне с първопричините за организираната престъпност и борба с трафика на незаконни наркотици;</w:t>
      </w:r>
    </w:p>
    <w:p w14:paraId="738E53BC" w14:textId="77777777" w:rsidR="00DA77B6" w:rsidRPr="00C17C4C" w:rsidRDefault="00DA77B6" w:rsidP="00DA77B6">
      <w:pPr>
        <w:pStyle w:val="Normal12a24b"/>
        <w:rPr>
          <w:rStyle w:val="BoldItalic"/>
        </w:rPr>
      </w:pPr>
      <w:r w:rsidRPr="00C17C4C">
        <w:rPr>
          <w:rStyle w:val="BoldItalic"/>
        </w:rPr>
        <w:t>Правосъдие, права на човека и принципи на правовата държава</w:t>
      </w:r>
    </w:p>
    <w:p w14:paraId="362F4111" w14:textId="23C741D2" w:rsidR="00DA77B6" w:rsidRPr="00C17C4C" w:rsidRDefault="00D44435" w:rsidP="00DA77B6">
      <w:pPr>
        <w:pStyle w:val="Normal12a24b"/>
        <w:ind w:left="567" w:hanging="567"/>
        <w:rPr>
          <w:bCs/>
          <w:iCs/>
        </w:rPr>
      </w:pPr>
      <w:r>
        <w:t>68</w:t>
      </w:r>
      <w:r w:rsidR="00DA77B6" w:rsidRPr="00C17C4C">
        <w:t>.</w:t>
      </w:r>
      <w:r w:rsidR="00DA77B6" w:rsidRPr="00C17C4C">
        <w:tab/>
        <w:t>подчертава, че е важно да се гарантира, че съдебните реформи в Латинска Америка и Карибския басейн зачитат независимостта на съдебната система и спазват международните стандарти за върховенство на закона; призовава да се гарантира, че подобни реформи допринасят за укрепване на демократичното управление и за поддържане на почтеността в съдебната система; подчертава необходимостта от борба с политическите връзки с корупцията и организираната престъпност; призовава властите да спазват върховенството на закона и правото на мирни събрания, да зачитат справедливия процес и да гарантират безопасността и неприкосновеността на членовете на съдебната система и задържаните лица; поема ангажимент да подкрепя държавите от Латинска Америка и Карибския басейн в тези усилия;</w:t>
      </w:r>
    </w:p>
    <w:p w14:paraId="4DE0070F" w14:textId="2E34DA13" w:rsidR="00DA77B6" w:rsidRPr="00C17C4C" w:rsidRDefault="00D44435" w:rsidP="00DA77B6">
      <w:pPr>
        <w:pStyle w:val="NormalHanging12a"/>
        <w:rPr>
          <w:b/>
          <w:i/>
        </w:rPr>
      </w:pPr>
      <w:r>
        <w:t>69</w:t>
      </w:r>
      <w:r w:rsidR="00DA77B6" w:rsidRPr="00C17C4C">
        <w:t>.</w:t>
      </w:r>
      <w:r w:rsidR="00DA77B6" w:rsidRPr="00C17C4C">
        <w:tab/>
        <w:t>приветства продължаващото сътрудничество между ЕС и Латинска Америка и Карибския басейн за отстояване и насърчаване на демокрацията, правата на човека и доброто управление, както и за укрепване на политическата стабилност; подчертава факта, че почтеността и прозрачността на изборните процеси са основни стълбове на партньорството между ЕС и Латинска Америка и Карибския басейн;</w:t>
      </w:r>
    </w:p>
    <w:p w14:paraId="267BBB25" w14:textId="3C9EDB00" w:rsidR="00DA77B6" w:rsidRPr="00C17C4C" w:rsidRDefault="00D44435" w:rsidP="00DA77B6">
      <w:pPr>
        <w:pStyle w:val="NormalHanging12a"/>
        <w:rPr>
          <w:bCs/>
          <w:iCs/>
        </w:rPr>
      </w:pPr>
      <w:r>
        <w:t>70</w:t>
      </w:r>
      <w:r w:rsidR="00DA77B6" w:rsidRPr="00C17C4C">
        <w:t>.</w:t>
      </w:r>
      <w:r w:rsidR="00DA77B6" w:rsidRPr="00C17C4C">
        <w:tab/>
        <w:t>подчертава факта, че мисиите на ЕС за наблюдение на избори играят ключова роля в подкрепата на честните избори и гарантирането на прозрачност, както показаха неотдавнашните мисии в Гватемала, Парагвай и Еквадор, и съгласно планираното за предстоящите мисии в Боливия, Гвиана и Хондурас през 2025 г. и в Перу и Колумбия през 2026 г.;</w:t>
      </w:r>
    </w:p>
    <w:p w14:paraId="73C7351C" w14:textId="35446F82" w:rsidR="00DA77B6" w:rsidRPr="00C17C4C" w:rsidRDefault="00D44435" w:rsidP="00DA77B6">
      <w:pPr>
        <w:pStyle w:val="NormalHanging12a"/>
        <w:rPr>
          <w:bCs/>
          <w:iCs/>
        </w:rPr>
      </w:pPr>
      <w:r>
        <w:t>71</w:t>
      </w:r>
      <w:r w:rsidR="00DA77B6" w:rsidRPr="00C17C4C">
        <w:t>.</w:t>
      </w:r>
      <w:r w:rsidR="00DA77B6" w:rsidRPr="00C17C4C">
        <w:tab/>
        <w:t xml:space="preserve">призовава за засилено сътрудничество между ЕС и Латинска Америка и Карибския басейн за противодействие на дезинформационните кампании и хибридните заплахи, особено тези, произхождащи от авторитарни държави като Русия, Китай и Иран, които целят да подкопаят демократичните институции, електоралната почтеност и общественото доверие в двата региона; подчертава, че е важно да се укрепят програмите за цифрова грамотност в отговор на нарастващите хибридни заплахи и невярната информация, за да се предоставят на гражданите уменията, от които се нуждаят за критична оценка на онлайн информацията; </w:t>
      </w:r>
    </w:p>
    <w:p w14:paraId="3C4D55A1" w14:textId="77777777" w:rsidR="00DA77B6" w:rsidRPr="00C17C4C" w:rsidRDefault="00DA77B6" w:rsidP="00DA77B6">
      <w:pPr>
        <w:pStyle w:val="NormalHanging12a"/>
        <w:rPr>
          <w:b/>
          <w:i/>
        </w:rPr>
      </w:pPr>
      <w:r w:rsidRPr="00C17C4C">
        <w:rPr>
          <w:b/>
          <w:i/>
        </w:rPr>
        <w:t>Сътрудничество в областта на правата на човека</w:t>
      </w:r>
    </w:p>
    <w:p w14:paraId="7DDACF09" w14:textId="1D76A645" w:rsidR="00DA77B6" w:rsidRPr="00C17C4C" w:rsidRDefault="00D44435" w:rsidP="00DA77B6">
      <w:pPr>
        <w:pStyle w:val="NormalHanging12a"/>
      </w:pPr>
      <w:r>
        <w:t>72</w:t>
      </w:r>
      <w:r w:rsidR="00DA77B6" w:rsidRPr="00C17C4C">
        <w:t>.</w:t>
      </w:r>
      <w:r w:rsidR="00DA77B6" w:rsidRPr="00C17C4C">
        <w:tab/>
        <w:t xml:space="preserve">подчертава, че нарастващите репресии, влошаващите се условия при автократични режими и задълбочаващата се икономическа нестабилност в някои части на Латинска Америка и Карибския басейн принуждават мнозина да бягат в търсене на закрила, икономически възможности и основни права; отбелязва със загриженост произтичащото от това мащабно разселване, особено от Хаити, Никарагуа и Венесуела, и трансгранична миграция в региона; подчертава нарастващия хуманитарен, социален и институционален натиск, който това оказва </w:t>
      </w:r>
      <w:r w:rsidR="00DA77B6" w:rsidRPr="00C17C4C">
        <w:lastRenderedPageBreak/>
        <w:t>върху демократичните държави, приемащи значителен брой мигранти и лица, търсещи убежище; поради това подчертава необходимостта от всеобхватно сътрудничество и солидарност между държавите на произход, транзитно преминаване и местоназначение и изтъква значението на координираните действия за гарантиране на правата, достойнството и безопасността на всички мигранти и бежанци; подчертава значението на приобщаващите политики за интегрирането на мигрантите в приемащите общности, както и положителния принос на мигрантите от региона към обществото и икономиката;</w:t>
      </w:r>
    </w:p>
    <w:p w14:paraId="4E458C65" w14:textId="6BD568F3" w:rsidR="00DA77B6" w:rsidRPr="00C17C4C" w:rsidRDefault="00D44435" w:rsidP="00DA77B6">
      <w:pPr>
        <w:pStyle w:val="NormalHanging12a"/>
        <w:rPr>
          <w:bCs/>
          <w:iCs/>
        </w:rPr>
      </w:pPr>
      <w:r>
        <w:t>73</w:t>
      </w:r>
      <w:r w:rsidR="00DA77B6" w:rsidRPr="00C17C4C">
        <w:t>.</w:t>
      </w:r>
      <w:r w:rsidR="00DA77B6" w:rsidRPr="00C17C4C">
        <w:tab/>
        <w:t>подчертава, че сътрудничеството в областта на защитата на правата на човека е от основно значение за отношенията между ЕС и Латинска Америка и Карибския басейн; подчертава необходимостта от разработване на стратегии за укрепване на правата на афроамериканците и коренното население в Латинска Америка и Карибския басейн; признава тревожното увеличение на убийствата на жени в Латинска Америка и Карибския басейн; подчертава неотложната необходимост от борба с убийствата на жени чрез укрепване на политиките за борба с насилието, основано на пола, улесняване на собствеността върху земята и възможностите за заетост и гарантиране на достъп до образование; подчертава необходимостта от продължаване на сътрудничеството по тези въпроси;</w:t>
      </w:r>
    </w:p>
    <w:p w14:paraId="5D27EFE8" w14:textId="752821D8" w:rsidR="00DA77B6" w:rsidRPr="00C17C4C" w:rsidRDefault="00D44435" w:rsidP="00DA77B6">
      <w:pPr>
        <w:pStyle w:val="NormalHanging12a"/>
        <w:rPr>
          <w:bCs/>
          <w:iCs/>
          <w:u w:val="single"/>
        </w:rPr>
      </w:pPr>
      <w:r>
        <w:t>74</w:t>
      </w:r>
      <w:r w:rsidR="00DA77B6" w:rsidRPr="00C17C4C">
        <w:t>.</w:t>
      </w:r>
      <w:r w:rsidR="00DA77B6" w:rsidRPr="00C17C4C">
        <w:tab/>
        <w:t xml:space="preserve">изразява дълбока загриженост, че значителна част от Хаити остава под контрола на въоръжени организирани престъпни групи, отговорни за широко разпространеното насилие и сериозни нарушения на правата на човека; призовава за координирана стратегия между партньорите от Латинска Америка и Карибския басейн, държавите – членки на ЕС, и САЩ за справяне с тази криза и за подкрепа на хаитянския народ при възстановяването на стабилността, демократичното управление и върховенството на закона; подчертава, че участието в този процес на всички съответни заинтересовани страни, включително НПО, е от съществено значение; призовава ЕС спешно да засили политическата, хуманитарната и икономическата си подкрепа за Хаити в рамките на партньорството между ЕС и региона на Латинска Америка и Карибския басейн, като признава, че настоящите усилия остават недостатъчни за справяне с мащаба на кризата и за подкрепа на хаитянския народ при възстановяването на стабилността, демократичното управление и върховенството на закона; </w:t>
      </w:r>
    </w:p>
    <w:p w14:paraId="602B82BA" w14:textId="1FA74725" w:rsidR="00DA77B6" w:rsidRPr="00C17C4C" w:rsidRDefault="00D44435" w:rsidP="00DA77B6">
      <w:pPr>
        <w:pStyle w:val="NormalHanging12a"/>
        <w:rPr>
          <w:bCs/>
          <w:iCs/>
        </w:rPr>
      </w:pPr>
      <w:r>
        <w:t>75</w:t>
      </w:r>
      <w:r w:rsidR="00DA77B6" w:rsidRPr="00C17C4C">
        <w:t>.</w:t>
      </w:r>
      <w:r w:rsidR="00DA77B6" w:rsidRPr="00C17C4C">
        <w:tab/>
        <w:t>подчертава жизненоважната роля на гражданското общество в отношенията между ЕС и Латинска Америка и Карибския басейн; решително осъжда убийствата на защитници на правата на човека и систематичните нарушения на свободата на печата; изразява дълбока загриженост относно целенасоченото преследване, криминализирането, произволното задържане и систематичните репресии срещу членове на опозицията, коренното население, студентите, НПО и религиозните лидери в няколко държави; осъжда злоупотребата с наказателното право за заглушаване на несъгласието и потискане на легитимната критика;</w:t>
      </w:r>
    </w:p>
    <w:p w14:paraId="0043058C" w14:textId="6F610AAA" w:rsidR="00DA77B6" w:rsidRPr="00C17C4C" w:rsidRDefault="00D44435" w:rsidP="00DA77B6">
      <w:pPr>
        <w:pStyle w:val="NormalHanging12a"/>
      </w:pPr>
      <w:r>
        <w:t>76</w:t>
      </w:r>
      <w:r w:rsidR="00DA77B6" w:rsidRPr="00C17C4C">
        <w:t>.</w:t>
      </w:r>
      <w:r w:rsidR="00DA77B6" w:rsidRPr="00C17C4C">
        <w:tab/>
        <w:t>подчертава необходимостта сътрудничеството в областта на правата на човека да включва също така укрепването на институциите и независимостта на съдебната система и гарантирането на всеобщ достъп до правосъдие, включително закрилата на защитниците на правата на човека, активистите в областта на околната среда и журналистите и защитата на тяхната работа в двата региона; осъжда неотдавнашните закони срещу НПО в някои държави от Латинска Америка и Карибския басейн, които ограничават операциите, финансирането и независимостта на НПО;</w:t>
      </w:r>
    </w:p>
    <w:p w14:paraId="26387585" w14:textId="78E30CBF" w:rsidR="00DA77B6" w:rsidRPr="00C17C4C" w:rsidRDefault="00D44435" w:rsidP="00DA77B6">
      <w:pPr>
        <w:pStyle w:val="NormalHanging12a"/>
        <w:rPr>
          <w:bCs/>
          <w:iCs/>
        </w:rPr>
      </w:pPr>
      <w:r>
        <w:lastRenderedPageBreak/>
        <w:t>77</w:t>
      </w:r>
      <w:r w:rsidR="00DA77B6" w:rsidRPr="00C17C4C">
        <w:t>.</w:t>
      </w:r>
      <w:r w:rsidR="00DA77B6" w:rsidRPr="00C17C4C">
        <w:tab/>
        <w:t>призовава ЕС да използва глобалния режим на ЕС за санкции в областта на правата на човека срещу лицата, отговорни за нарушенията на правата на човека, и да продължи да използва ограничителните мерки на ЕС, за да санкционира лицата, които постепенно и тайно подкопават демокрацията и върховенството на закона; освен това призовава ЕС да включва конкретни гаранции за спазване на правата на човека при отпускането на средства на ЕС, включително чрез многостранни и финансови институции, и да гарантира, че тези средства не засилват авторитарния контрол на подобни режими; призовава Комисията да използва клаузите в областта на правата на човека от споразуменията за асоцииране, когато установи груби нарушения на права на човека;</w:t>
      </w:r>
    </w:p>
    <w:p w14:paraId="5F0148DB" w14:textId="77777777" w:rsidR="00DA77B6" w:rsidRPr="00C17C4C" w:rsidRDefault="00DA77B6" w:rsidP="00DA77B6">
      <w:pPr>
        <w:pStyle w:val="Normal12a24b"/>
      </w:pPr>
      <w:r w:rsidRPr="00C17C4C">
        <w:rPr>
          <w:rStyle w:val="BoldItalic"/>
          <w:bCs/>
          <w:iCs/>
        </w:rPr>
        <w:t>Парламентарно сътрудничество</w:t>
      </w:r>
      <w:r w:rsidRPr="00C17C4C">
        <w:rPr>
          <w:b/>
          <w:bCs/>
          <w:i/>
          <w:iCs/>
        </w:rPr>
        <w:t xml:space="preserve"> и междуличностни отношения</w:t>
      </w:r>
    </w:p>
    <w:p w14:paraId="4F54E41B" w14:textId="396CF84B" w:rsidR="00DA77B6" w:rsidRPr="00C17C4C" w:rsidRDefault="00D44435" w:rsidP="00DA77B6">
      <w:pPr>
        <w:pStyle w:val="NormalHanging12a"/>
      </w:pPr>
      <w:r>
        <w:t>78</w:t>
      </w:r>
      <w:r w:rsidR="00DA77B6" w:rsidRPr="00C17C4C">
        <w:t>.</w:t>
      </w:r>
      <w:r w:rsidR="00DA77B6" w:rsidRPr="00C17C4C">
        <w:tab/>
        <w:t>приветства задълбочаването на парламентарното сътрудничество между ЕС и Латинска Америка и Карибския басейн, по-специално чрез Евро-латиноамериканската парламентарна асамблея (</w:t>
      </w:r>
      <w:proofErr w:type="spellStart"/>
      <w:r w:rsidR="00DA77B6" w:rsidRPr="00C17C4C">
        <w:t>Евролат</w:t>
      </w:r>
      <w:proofErr w:type="spellEnd"/>
      <w:r w:rsidR="00DA77B6" w:rsidRPr="00C17C4C">
        <w:t xml:space="preserve">), както и чрез двустранни асамблеи, като например с Чили и Мексико, и </w:t>
      </w:r>
      <w:proofErr w:type="spellStart"/>
      <w:r w:rsidR="00DA77B6" w:rsidRPr="00C17C4C">
        <w:t>подрегионални</w:t>
      </w:r>
      <w:proofErr w:type="spellEnd"/>
      <w:r w:rsidR="00DA77B6" w:rsidRPr="00C17C4C">
        <w:t xml:space="preserve"> съвместни парламентарни асамблеи, което насърчава диалога по ключови въпроси като търговията, сигурността и устойчивото развитие; признава </w:t>
      </w:r>
      <w:proofErr w:type="spellStart"/>
      <w:r w:rsidR="00DA77B6" w:rsidRPr="00C17C4C">
        <w:t>Евролат</w:t>
      </w:r>
      <w:proofErr w:type="spellEnd"/>
      <w:r w:rsidR="00DA77B6" w:rsidRPr="00C17C4C">
        <w:t xml:space="preserve"> като стратегически компонент на отношенията между ЕС и Латинска Америка и Карибския басейн и неговата ключова роля за укрепването на това партньорство; приветства резултатите от 16-ата пленарна сесия на </w:t>
      </w:r>
      <w:proofErr w:type="spellStart"/>
      <w:r w:rsidR="00DA77B6" w:rsidRPr="00C17C4C">
        <w:t>Евролат</w:t>
      </w:r>
      <w:proofErr w:type="spellEnd"/>
      <w:r w:rsidR="00DA77B6" w:rsidRPr="00C17C4C">
        <w:t>, която се проведе в Лима от 1 до 3 юни 2025 г.;</w:t>
      </w:r>
    </w:p>
    <w:p w14:paraId="06BFC4E4" w14:textId="247E274B" w:rsidR="00DA77B6" w:rsidRPr="00C17C4C" w:rsidRDefault="00D44435" w:rsidP="00DA77B6">
      <w:pPr>
        <w:pStyle w:val="NormalHanging12a"/>
      </w:pPr>
      <w:r>
        <w:t>79</w:t>
      </w:r>
      <w:r w:rsidR="00DA77B6" w:rsidRPr="00C17C4C">
        <w:t>.</w:t>
      </w:r>
      <w:r w:rsidR="00DA77B6" w:rsidRPr="00C17C4C">
        <w:tab/>
        <w:t xml:space="preserve">призовава за засилена координация между Парламента и националните и регионалните парламенти в Латинска Америка с цел съвместно решаване на транснационални въпроси, които са в съответствие с приоритетите на двурегионалното сътрудничество и са от ключово значение за устойчивото развитие; </w:t>
      </w:r>
    </w:p>
    <w:p w14:paraId="05F11395" w14:textId="16B63E1E" w:rsidR="00DA77B6" w:rsidRPr="00C17C4C" w:rsidRDefault="00D44435" w:rsidP="00DA77B6">
      <w:pPr>
        <w:pStyle w:val="NormalHanging12a"/>
      </w:pPr>
      <w:r>
        <w:t>80</w:t>
      </w:r>
      <w:r w:rsidR="00DA77B6" w:rsidRPr="00C17C4C">
        <w:t>.</w:t>
      </w:r>
      <w:r w:rsidR="00DA77B6" w:rsidRPr="00C17C4C">
        <w:tab/>
        <w:t>посочва решаващата роля на парламентарната дипломация за укрепване на отношенията между двата региона чрез улесняване на прекия диалог с националните и регионалните парламенти; призовава за по-силна парламентарна дипломация в подкрепа на процесите на демократичен преход и за укрепване на законодателния капацитет на парламентите на държавите от Латинска Америка и Карибския басейн; приветства в този контекст откриването на местното бюро на Парламента в Панама;</w:t>
      </w:r>
    </w:p>
    <w:p w14:paraId="0C88E9D0" w14:textId="6879BE84" w:rsidR="00DA77B6" w:rsidRPr="00C17C4C" w:rsidRDefault="00D44435" w:rsidP="00DA77B6">
      <w:pPr>
        <w:pStyle w:val="NormalHanging12a"/>
      </w:pPr>
      <w:r>
        <w:t>81</w:t>
      </w:r>
      <w:r w:rsidR="00DA77B6" w:rsidRPr="00C17C4C">
        <w:t>.</w:t>
      </w:r>
      <w:r w:rsidR="00DA77B6" w:rsidRPr="00C17C4C">
        <w:tab/>
        <w:t>настоятелно призовава за по-голяма подкрепа и повече инвестиции в жизненоважната работа на мрежите на гражданското общество, общностите на диаспората в двата региона, междуличностните инициативи, младежката мобилност и фондацията „Европа – Латинска Америка и Карибския басейн“ за подобряване на двурегионалните отношения;</w:t>
      </w:r>
    </w:p>
    <w:p w14:paraId="7B7E8A41" w14:textId="218EC1F2" w:rsidR="00DA77B6" w:rsidRPr="00C17C4C" w:rsidRDefault="00D44435" w:rsidP="00DA77B6">
      <w:pPr>
        <w:pStyle w:val="NormalHanging12a"/>
      </w:pPr>
      <w:r>
        <w:t>82</w:t>
      </w:r>
      <w:r w:rsidR="00DA77B6" w:rsidRPr="00C17C4C">
        <w:t>.</w:t>
      </w:r>
      <w:r w:rsidR="00DA77B6" w:rsidRPr="00C17C4C">
        <w:tab/>
        <w:t>насърчава включването на младите хора в партньорството между ЕС и Латинска Америка и Карибския басейн чрез насърчаване на образователния обмен, ръководените от младите хора инициативи и платформите, които дават възможност на младите хора да допринасят пълноценно за процесите на изготвяне на политики между двата региона;</w:t>
      </w:r>
    </w:p>
    <w:p w14:paraId="408ADA92" w14:textId="77777777" w:rsidR="00DA77B6" w:rsidRPr="00C17C4C" w:rsidRDefault="00DA77B6" w:rsidP="00DA77B6">
      <w:pPr>
        <w:pStyle w:val="Normal12a24b"/>
      </w:pPr>
      <w:r w:rsidRPr="00C17C4C">
        <w:rPr>
          <w:rStyle w:val="BoldItalic"/>
        </w:rPr>
        <w:t>Препоръки за срещата на високо равнище между ЕС и CELAC през ноември 2025 г.</w:t>
      </w:r>
    </w:p>
    <w:p w14:paraId="29EFEFBA" w14:textId="7CB31B48" w:rsidR="00DA77B6" w:rsidRPr="00C17C4C" w:rsidRDefault="00D44435" w:rsidP="00DA77B6">
      <w:pPr>
        <w:pStyle w:val="NormalHanging12a"/>
      </w:pPr>
      <w:r>
        <w:lastRenderedPageBreak/>
        <w:t>83</w:t>
      </w:r>
      <w:r w:rsidR="00DA77B6" w:rsidRPr="00C17C4C">
        <w:t>.</w:t>
      </w:r>
      <w:r w:rsidR="00DA77B6" w:rsidRPr="00C17C4C">
        <w:tab/>
        <w:t>изразява задоволство от срещата между ЕС и CELAC през 2023 г. и изпълнението на инициативите в рамките на пътната карта ЕС-CELAC за периода 2023 – 2025 г.; приветства целта за организиране на редовни срещи на високо равнище на всеки две години; във връзка с това подчертава необходимостта от приемане на нова и амбициозна пътна карта по време на предстоящата през 2025 г. среща на високо равнище в Санта Марта, Колумбия, на 9 – 10 ноември 2025 г., която допълнително да укрепи партньорството, да е ясно съгласувана с ЦУР и да вземе предвид нарастващото равнище на ангажираността между двата региона;</w:t>
      </w:r>
    </w:p>
    <w:p w14:paraId="74CC807E" w14:textId="7E2A8619" w:rsidR="00DA77B6" w:rsidRPr="00C17C4C" w:rsidRDefault="00D44435" w:rsidP="00DA77B6">
      <w:pPr>
        <w:pStyle w:val="NormalHanging12a"/>
        <w:rPr>
          <w:i/>
          <w:iCs/>
        </w:rPr>
      </w:pPr>
      <w:r>
        <w:t>84</w:t>
      </w:r>
      <w:r w:rsidR="00DA77B6" w:rsidRPr="00C17C4C">
        <w:t>.</w:t>
      </w:r>
      <w:r w:rsidR="00DA77B6" w:rsidRPr="00C17C4C">
        <w:tab/>
        <w:t>подчертава факта, че предстоящата среща на високо равнище между ЕС и CELAC ще бъде важна възможност да се чуе гласът на ЕС и Латинска Америка и Карибския басейн пред света на базата на общи ценности, както и възможност да се подновят политическите ангажименти на най-високо равнище и да се определи амбициозна и оперативна двурегионална програма;</w:t>
      </w:r>
    </w:p>
    <w:p w14:paraId="646A5E61" w14:textId="4067717B" w:rsidR="00DA77B6" w:rsidRPr="00C17C4C" w:rsidRDefault="00D44435" w:rsidP="00DA77B6">
      <w:pPr>
        <w:pStyle w:val="NormalHanging12a"/>
      </w:pPr>
      <w:r>
        <w:t>85</w:t>
      </w:r>
      <w:r w:rsidR="00DA77B6" w:rsidRPr="00C17C4C">
        <w:t>.</w:t>
      </w:r>
      <w:r w:rsidR="00DA77B6" w:rsidRPr="00C17C4C">
        <w:tab/>
        <w:t>очаква срещата на високо равнище между ЕС и CELAC да укрепи съюза между ЕС и Латинска Америка и Карибския басейн с цел постигане на най-високите стандарти за устойчиво развитие на многостранно равнище, и да потвърди отново съвместния ангажимент за подкрепа на реформата на многостранните институции, за да станат те по-приобщаващи и ефективни, особено финансовите институции, които играят основна роля в справянето с дълга и разработването на по-устойчив международен модел на финансиране, включително финансирането на сътрудничеството за развитие, разгледано на Четвъртата международна конференция за финансиране на развитието в Севиля, Испания; подчертава значението на продължаващата подкрепа на ЕС за регионалната интеграция на Латинска Америка и Карибския басейн и за усилията за справяне с дългогодишните структурни предизвикателства пред устойчивото развитие в региона;</w:t>
      </w:r>
    </w:p>
    <w:p w14:paraId="5FB38BC6" w14:textId="5B795406" w:rsidR="00DA77B6" w:rsidRPr="00C17C4C" w:rsidRDefault="00D44435" w:rsidP="00DA77B6">
      <w:pPr>
        <w:pStyle w:val="NormalHanging12a"/>
      </w:pPr>
      <w:r>
        <w:t>86</w:t>
      </w:r>
      <w:r w:rsidR="00DA77B6" w:rsidRPr="00C17C4C">
        <w:t>.</w:t>
      </w:r>
      <w:r w:rsidR="00DA77B6" w:rsidRPr="00C17C4C">
        <w:tab/>
      </w:r>
      <w:bookmarkStart w:id="17" w:name="_Hlk204156663"/>
      <w:r w:rsidR="00DA77B6" w:rsidRPr="00C17C4C">
        <w:t>очаква на срещата на високо равнище между ЕС и CELAC да се постигне напредък по отношение на създаването на постоянен механизъм с участието на множество заинтересовани лица с подходящо финансиране, така че да се установят редовни консултации с гражданското общество, профсъюзите, местните правителства и други заинтересовани страни от двата региона</w:t>
      </w:r>
      <w:bookmarkEnd w:id="17"/>
      <w:r w:rsidR="00DA77B6" w:rsidRPr="00C17C4C">
        <w:t>; признава работата на фондация „Европа – Латинска Америка и Карибския басейн“ като междуправителствена организация и нейния потенциален принос за постоянния механизъм с участието на множество заинтересовани лица;</w:t>
      </w:r>
    </w:p>
    <w:p w14:paraId="06061149" w14:textId="589949F0" w:rsidR="00DA77B6" w:rsidRPr="00C17C4C" w:rsidRDefault="00D44435" w:rsidP="00DA77B6">
      <w:pPr>
        <w:pStyle w:val="NormalHanging12a"/>
      </w:pPr>
      <w:r>
        <w:t>87</w:t>
      </w:r>
      <w:r w:rsidR="00DA77B6" w:rsidRPr="00C17C4C">
        <w:t>.</w:t>
      </w:r>
      <w:r w:rsidR="00DA77B6" w:rsidRPr="00C17C4C">
        <w:tab/>
        <w:t xml:space="preserve">във връзка с това подчертава, че е важно да се отстояват принципите на правовата държава, демокрацията и правата на човека, и призовава всички участници в срещата на високо равнище да спазват тези принципи; посочва, че това няма да бъде възможно без действително прозрачното, всеобхватно и съдържателно включване на гражданското общество; призовава програмата за срещата на високо равнище да включва дискусия относно демокрацията и правата на човека, като например правото на участие в честни и свободни избори, а заключенията от срещата на високо равнище да включват силен призив за защита на правата на човека и принципите на правовата държава; призовава ЕС решително да защитава каузата на демокрацията и правата на човека; </w:t>
      </w:r>
    </w:p>
    <w:p w14:paraId="31D1D5A4" w14:textId="0BB65B46" w:rsidR="00DA77B6" w:rsidRPr="00C17C4C" w:rsidRDefault="00D44435" w:rsidP="00DA77B6">
      <w:pPr>
        <w:pStyle w:val="NormalHanging12a"/>
      </w:pPr>
      <w:r>
        <w:t>88</w:t>
      </w:r>
      <w:r w:rsidR="00DA77B6" w:rsidRPr="00C17C4C">
        <w:t>.</w:t>
      </w:r>
      <w:r w:rsidR="00DA77B6" w:rsidRPr="00C17C4C">
        <w:tab/>
        <w:t xml:space="preserve">призовава страните да потвърдят отново съвместния си ангажимент по отношение на мира, демокрацията, многостранното сътрудничество, основания на правила </w:t>
      </w:r>
      <w:r w:rsidR="00DA77B6" w:rsidRPr="00C17C4C">
        <w:lastRenderedPageBreak/>
        <w:t>световен ред, териториалната цялост на държавите, принципите на правовата държава, международното правосъдие, демокрацията, правата на човека, социалната справедливост, устойчивото развитие и свободната търговия по време на срещата на високо равнище през ноември 2025 г. с оглед на постепенното създаване на европейско-латиноамериканско-трансатлантическо пространство на мир, демокрация и просперитет;</w:t>
      </w:r>
    </w:p>
    <w:p w14:paraId="59FDD04A" w14:textId="6DD85329" w:rsidR="00DA77B6" w:rsidRPr="00C17C4C" w:rsidRDefault="00D44435" w:rsidP="00DA77B6">
      <w:pPr>
        <w:pStyle w:val="NormalHanging12a"/>
      </w:pPr>
      <w:r>
        <w:t>89</w:t>
      </w:r>
      <w:r w:rsidR="00DA77B6" w:rsidRPr="00C17C4C">
        <w:t>.</w:t>
      </w:r>
      <w:r w:rsidR="00DA77B6" w:rsidRPr="00C17C4C">
        <w:tab/>
        <w:t xml:space="preserve">призовава страните да осъдят категорично продължаващата агресивна война на Русия, по-специално всички сериозни нарушения от нейна страна на международното право и международното хуманитарно право, и да предоставят дипломатическа, финансова и военна подкрепа на Украйна; призовава страните да обединят усилията си за бързо постигане на трайно прекратяване на огъня, хуманитарна намеса в Газа и освобождаване на всички заложници; </w:t>
      </w:r>
    </w:p>
    <w:p w14:paraId="792C8D4E" w14:textId="1EFB37B8" w:rsidR="00DA77B6" w:rsidRPr="00C17C4C" w:rsidRDefault="00D44435" w:rsidP="00DA77B6">
      <w:pPr>
        <w:pStyle w:val="NormalHanging12a"/>
        <w:rPr>
          <w:bCs/>
          <w:iCs/>
        </w:rPr>
      </w:pPr>
      <w:r>
        <w:t>90</w:t>
      </w:r>
      <w:r w:rsidR="00DA77B6" w:rsidRPr="00C17C4C">
        <w:t>.</w:t>
      </w:r>
      <w:r w:rsidR="00DA77B6" w:rsidRPr="00C17C4C">
        <w:tab/>
        <w:t>призовава ЕС и CELAC да постигнат напредък по конкретни ангажименти по отношение на намаляването на бедността и неравенството, насърчаването на сближаването, институционалния капацитет и управлението, както и защитата на правата на работниците, и да продължат подкрепата за всеобщия достъп до образование и здравеопазване; подчертава необходимостта да се поеме ангажимент от страна на двата региона към Двурегионалния пакт за полагане на грижи, за да се консолидират и финансират всеобхватни системи за полагане на грижи като стълб на социалното благосъстояние, при което грижите се признават като право, колективна отговорност и съществена предпоставка за равенството между половете, социалната справедливост и устойчивото развитие в ЕС и Латинска Америка и Карибския басейн;</w:t>
      </w:r>
    </w:p>
    <w:p w14:paraId="3D35F527" w14:textId="26955002" w:rsidR="00DA77B6" w:rsidRPr="00C17C4C" w:rsidRDefault="00D44435" w:rsidP="00DA77B6">
      <w:pPr>
        <w:pStyle w:val="NormalHanging12a"/>
        <w:rPr>
          <w:bCs/>
          <w:iCs/>
        </w:rPr>
      </w:pPr>
      <w:r>
        <w:t>91</w:t>
      </w:r>
      <w:r w:rsidR="00DA77B6" w:rsidRPr="00C17C4C">
        <w:t>.</w:t>
      </w:r>
      <w:r w:rsidR="00DA77B6" w:rsidRPr="00C17C4C">
        <w:tab/>
        <w:t xml:space="preserve">призовава срещата на високо равнище между ЕС и CELAC да даде тласък на сътрудничеството в областта на устойчивостта спрямо изменението на климата, опазването на биологичното разнообразие и борбата с обезлесяването, като се гарантира, че политиките в областта на околната среда и </w:t>
      </w:r>
      <w:proofErr w:type="spellStart"/>
      <w:r w:rsidR="00DA77B6" w:rsidRPr="00C17C4C">
        <w:t>декарбонизацията</w:t>
      </w:r>
      <w:proofErr w:type="spellEnd"/>
      <w:r w:rsidR="00DA77B6" w:rsidRPr="00C17C4C">
        <w:t xml:space="preserve"> се прилагат справедливо, че местното население участва и печели от екологичния преход и че най-уязвимите общности се подкрепят при адаптирането към изменението на климата;</w:t>
      </w:r>
    </w:p>
    <w:p w14:paraId="5A0AB0E8" w14:textId="492B1F1D" w:rsidR="00DA77B6" w:rsidRPr="00C17C4C" w:rsidRDefault="00D44435" w:rsidP="00DA77B6">
      <w:pPr>
        <w:pStyle w:val="NormalHanging12a"/>
        <w:rPr>
          <w:bCs/>
          <w:iCs/>
        </w:rPr>
      </w:pPr>
      <w:r>
        <w:t>92</w:t>
      </w:r>
      <w:r w:rsidR="00DA77B6" w:rsidRPr="00C17C4C">
        <w:t>.</w:t>
      </w:r>
      <w:r w:rsidR="00DA77B6" w:rsidRPr="00C17C4C">
        <w:tab/>
        <w:t>призовава за по-силни ангажименти за защита на правата на коренното население във всички измерения на сътрудничеството между ЕС и CELAC;</w:t>
      </w:r>
    </w:p>
    <w:p w14:paraId="6731A904" w14:textId="165572D4" w:rsidR="00DA77B6" w:rsidRPr="00C17C4C" w:rsidRDefault="00D44435" w:rsidP="00DA77B6">
      <w:pPr>
        <w:pStyle w:val="NormalHanging12a"/>
      </w:pPr>
      <w:r>
        <w:t>93</w:t>
      </w:r>
      <w:r w:rsidR="00DA77B6" w:rsidRPr="00C17C4C">
        <w:t>.</w:t>
      </w:r>
      <w:r w:rsidR="00DA77B6" w:rsidRPr="00C17C4C">
        <w:tab/>
        <w:t>счита, че е важно ЕС и Латинска Америка и Карибският басейн да поемат ангажимент да стимулират съвместно глобални и социално справедливи екологични инициативи, като например договарянето на международен договор за прекратяване на замърсяването с пластмаси, или да надграждат върху меморандума за разбирателство относно интегрираното управление на риска от бедствия, както и да насърчават устойчивото използване на природните ресурси; призовава страните да потвърдят отново споделения си ангажимент за ефективното прилагане на Парижкото споразумение;</w:t>
      </w:r>
    </w:p>
    <w:p w14:paraId="772DFE81" w14:textId="6722F9F1" w:rsidR="00DA77B6" w:rsidRPr="00C17C4C" w:rsidRDefault="00D44435" w:rsidP="00DA77B6">
      <w:pPr>
        <w:pStyle w:val="NormalHanging12a"/>
      </w:pPr>
      <w:r>
        <w:t>94</w:t>
      </w:r>
      <w:r w:rsidR="00DA77B6" w:rsidRPr="00C17C4C">
        <w:t>.</w:t>
      </w:r>
      <w:r w:rsidR="00DA77B6" w:rsidRPr="00C17C4C">
        <w:tab/>
        <w:t>насърчава продължаващото тясно сътрудничество по въпросите на цифровите технологии чрез Цифровия алианс между ЕС и Латинска Америка и Карибския басейн с цел насърчаване на ориентирана към човека цифрова трансформация и в двата региона; призовава за хармонизиране на регулаторните рамки в цифровата област, по-специално чрез диалог относно защитата на данните, регулирането на платформите, етиката на ИИ и киберсигурността;</w:t>
      </w:r>
    </w:p>
    <w:p w14:paraId="3A8984F6" w14:textId="43DB84F7" w:rsidR="00DA77B6" w:rsidRPr="00C17C4C" w:rsidRDefault="00D44435" w:rsidP="00DA77B6">
      <w:pPr>
        <w:pStyle w:val="NormalHanging12a"/>
      </w:pPr>
      <w:r>
        <w:lastRenderedPageBreak/>
        <w:t>95</w:t>
      </w:r>
      <w:r w:rsidR="00DA77B6" w:rsidRPr="00C17C4C">
        <w:t>.</w:t>
      </w:r>
      <w:r w:rsidR="00DA77B6" w:rsidRPr="00C17C4C">
        <w:tab/>
        <w:t>отново отправя призива си за значително засилване на сътрудничеството между двата региона в борбата срещу организираната престъпност и трафика на наркотици като част от един всеобхватен подход към сигурността на гражданите;</w:t>
      </w:r>
    </w:p>
    <w:p w14:paraId="48BEB300" w14:textId="5788DF94" w:rsidR="00DA77B6" w:rsidRPr="00C17C4C" w:rsidRDefault="00D44435" w:rsidP="00DA77B6">
      <w:pPr>
        <w:pStyle w:val="NormalHanging12a"/>
        <w:rPr>
          <w:bCs/>
          <w:iCs/>
        </w:rPr>
      </w:pPr>
      <w:r>
        <w:t>96</w:t>
      </w:r>
      <w:r w:rsidR="00DA77B6" w:rsidRPr="00C17C4C">
        <w:t>.</w:t>
      </w:r>
      <w:r w:rsidR="00DA77B6" w:rsidRPr="00C17C4C">
        <w:tab/>
        <w:t>призовава за по-силен ангажимент за сътрудничество в областта на образованието, по-конкретно чрез разширяване на програмите за обмен по линия на „Еразъм+“;</w:t>
      </w:r>
    </w:p>
    <w:p w14:paraId="56E5D47A" w14:textId="38F62787" w:rsidR="00DA77B6" w:rsidRPr="00C17C4C" w:rsidRDefault="00D44435" w:rsidP="00DA77B6">
      <w:pPr>
        <w:pStyle w:val="NormalHanging12a"/>
        <w:rPr>
          <w:bCs/>
          <w:iCs/>
        </w:rPr>
      </w:pPr>
      <w:r>
        <w:t>97</w:t>
      </w:r>
      <w:r w:rsidR="00DA77B6" w:rsidRPr="00C17C4C">
        <w:t>.</w:t>
      </w:r>
      <w:r w:rsidR="00DA77B6" w:rsidRPr="00C17C4C">
        <w:tab/>
        <w:t xml:space="preserve">подчертава необходимостта от предоставяне на повече институционална подкрепа, ресурси и технически експертен опит за организирането на редовните срещи на високо равнище между ЕС и CELAC; във връзка с това призовава за създаването на постоянно институционално пространство между срещите на високо равнище, което позволява по-голяма координация, по-добра подготовка, по-бърза комуникация и мониторинг на резултатите; </w:t>
      </w:r>
    </w:p>
    <w:p w14:paraId="4A151F1E" w14:textId="56573C0F" w:rsidR="00DA77B6" w:rsidRPr="00C17C4C" w:rsidRDefault="00D44435" w:rsidP="00DA77B6">
      <w:pPr>
        <w:pStyle w:val="NormalHanging12a"/>
        <w:rPr>
          <w:bCs/>
          <w:iCs/>
        </w:rPr>
      </w:pPr>
      <w:r>
        <w:t>98</w:t>
      </w:r>
      <w:r w:rsidR="00DA77B6" w:rsidRPr="00C17C4C">
        <w:t>.</w:t>
      </w:r>
      <w:r w:rsidR="00DA77B6" w:rsidRPr="00C17C4C">
        <w:tab/>
        <w:t xml:space="preserve">призовава за редовни консултации с участието на множество заинтересовани страни, особено преди и след всяка среща на високо равнище между ЕС и CELAC, между местните правителства и гражданското общество в региона на Латинска Америка и Карибския басейн и Комисията, за да се гарантира, че проектите по линия на </w:t>
      </w:r>
      <w:proofErr w:type="spellStart"/>
      <w:r w:rsidR="00DA77B6" w:rsidRPr="00C17C4C">
        <w:t>Global</w:t>
      </w:r>
      <w:proofErr w:type="spellEnd"/>
      <w:r w:rsidR="00DA77B6" w:rsidRPr="00C17C4C">
        <w:t xml:space="preserve"> </w:t>
      </w:r>
      <w:proofErr w:type="spellStart"/>
      <w:r w:rsidR="00DA77B6" w:rsidRPr="00C17C4C">
        <w:t>Gateway</w:t>
      </w:r>
      <w:proofErr w:type="spellEnd"/>
      <w:r w:rsidR="00DA77B6" w:rsidRPr="00C17C4C">
        <w:t xml:space="preserve"> са в съответствие с постигането на ЦУР и с приоритетите на местното и регионалното развитие; освен това призовава за създаването на постоянен механизъм за проследяване с участието на множество заинтересовани страни, чрез който да се наблюдават отношенията между ЕС и CELAC и напредъка в изпълнението на ангажиментите; подчертава, че е важно да се гарантира смисленото участие и консултации с гражданското общество както на ЕС, така и на Латинска Америка и Карибския басейн по време на срещата на високо равнище;</w:t>
      </w:r>
    </w:p>
    <w:p w14:paraId="275790BA" w14:textId="77777777" w:rsidR="00DA77B6" w:rsidRPr="00C17C4C" w:rsidRDefault="00DA77B6" w:rsidP="00DA77B6">
      <w:pPr>
        <w:pStyle w:val="NormalCenter12a"/>
      </w:pPr>
      <w:r w:rsidRPr="00C17C4C">
        <w:t>°</w:t>
      </w:r>
    </w:p>
    <w:p w14:paraId="6557E657" w14:textId="77777777" w:rsidR="00DA77B6" w:rsidRPr="00C17C4C" w:rsidRDefault="00DA77B6" w:rsidP="00DA77B6">
      <w:pPr>
        <w:pStyle w:val="NormalCenter12a"/>
      </w:pPr>
      <w:r w:rsidRPr="00C17C4C">
        <w:t>°</w:t>
      </w:r>
      <w:r w:rsidRPr="00C17C4C">
        <w:tab/>
        <w:t>°</w:t>
      </w:r>
    </w:p>
    <w:p w14:paraId="782C8F56" w14:textId="6BA7F95E" w:rsidR="00DA77B6" w:rsidRPr="00C17C4C" w:rsidRDefault="00D44435" w:rsidP="00DA77B6">
      <w:pPr>
        <w:pStyle w:val="NormalHanging12a"/>
      </w:pPr>
      <w:r>
        <w:t>99</w:t>
      </w:r>
      <w:r w:rsidR="00DA77B6" w:rsidRPr="00C17C4C">
        <w:t>.</w:t>
      </w:r>
      <w:r w:rsidR="00DA77B6" w:rsidRPr="00C17C4C">
        <w:tab/>
        <w:t>възлага на своя председател да предаде настоящата резолюция на Съвета, на Комисията и на заместник-председателя на Комисията/върховен представител на Съюза по въпросите на външните работи и политиката на сигурност.</w:t>
      </w:r>
    </w:p>
    <w:p w14:paraId="1F9BE59C" w14:textId="6456AF8E" w:rsidR="00E365E1" w:rsidRPr="00C17C4C" w:rsidRDefault="00E365E1" w:rsidP="00CE0E92"/>
    <w:sectPr w:rsidR="00E365E1" w:rsidRPr="00C17C4C" w:rsidSect="00C17C4C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643648" w14:textId="77777777" w:rsidR="00CE0E92" w:rsidRPr="00C17C4C" w:rsidRDefault="00CE0E92">
      <w:r w:rsidRPr="00C17C4C">
        <w:separator/>
      </w:r>
    </w:p>
  </w:endnote>
  <w:endnote w:type="continuationSeparator" w:id="0">
    <w:p w14:paraId="4E6E7483" w14:textId="77777777" w:rsidR="00CE0E92" w:rsidRPr="00C17C4C" w:rsidRDefault="00CE0E92">
      <w:r w:rsidRPr="00C17C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C72D18" w14:textId="77777777" w:rsidR="00CE0E92" w:rsidRPr="00C17C4C" w:rsidRDefault="00CE0E92">
      <w:r w:rsidRPr="00C17C4C">
        <w:separator/>
      </w:r>
    </w:p>
  </w:footnote>
  <w:footnote w:type="continuationSeparator" w:id="0">
    <w:p w14:paraId="6ECEF63B" w14:textId="77777777" w:rsidR="00CE0E92" w:rsidRPr="00C17C4C" w:rsidRDefault="00CE0E92">
      <w:r w:rsidRPr="00C17C4C">
        <w:continuationSeparator/>
      </w:r>
    </w:p>
  </w:footnote>
  <w:footnote w:id="1">
    <w:p w14:paraId="64966399" w14:textId="1833A11C" w:rsidR="00DA77B6" w:rsidRPr="00C17C4C" w:rsidRDefault="00DA77B6" w:rsidP="00C17C4C">
      <w:pPr>
        <w:pStyle w:val="FootnoteText"/>
        <w:ind w:left="567" w:hanging="567"/>
        <w:rPr>
          <w:sz w:val="24"/>
          <w:lang w:val="bg-BG"/>
        </w:rPr>
      </w:pPr>
      <w:r w:rsidRPr="00C17C4C">
        <w:rPr>
          <w:rStyle w:val="FootnoteReference"/>
          <w:sz w:val="24"/>
          <w:lang w:val="bg-BG"/>
        </w:rPr>
        <w:footnoteRef/>
      </w:r>
      <w:r w:rsidR="00C17C4C" w:rsidRPr="00C17C4C">
        <w:rPr>
          <w:sz w:val="24"/>
          <w:lang w:val="bg-BG"/>
        </w:rPr>
        <w:t xml:space="preserve"> </w:t>
      </w:r>
      <w:r w:rsidR="00C17C4C" w:rsidRPr="00C17C4C">
        <w:rPr>
          <w:sz w:val="24"/>
          <w:lang w:val="bg-BG"/>
        </w:rPr>
        <w:tab/>
      </w:r>
      <w:r w:rsidRPr="00C17C4C">
        <w:rPr>
          <w:sz w:val="24"/>
          <w:lang w:val="bg-BG"/>
        </w:rPr>
        <w:t>Приети текстове, P10_TA(2025)0057.</w:t>
      </w:r>
    </w:p>
  </w:footnote>
  <w:footnote w:id="2">
    <w:p w14:paraId="7877E0E3" w14:textId="46DC10D3" w:rsidR="00DA77B6" w:rsidRPr="00C17C4C" w:rsidRDefault="00DA77B6" w:rsidP="00C17C4C">
      <w:pPr>
        <w:pStyle w:val="FootnoteText"/>
        <w:ind w:left="567" w:hanging="567"/>
        <w:rPr>
          <w:sz w:val="24"/>
          <w:lang w:val="bg-BG"/>
        </w:rPr>
      </w:pPr>
      <w:r w:rsidRPr="00C17C4C">
        <w:rPr>
          <w:rStyle w:val="FootnoteReference"/>
          <w:sz w:val="24"/>
          <w:lang w:val="bg-BG"/>
        </w:rPr>
        <w:footnoteRef/>
      </w:r>
      <w:r w:rsidR="00C17C4C" w:rsidRPr="00C17C4C">
        <w:rPr>
          <w:sz w:val="24"/>
          <w:lang w:val="bg-BG"/>
        </w:rPr>
        <w:t xml:space="preserve"> </w:t>
      </w:r>
      <w:r w:rsidR="00C17C4C" w:rsidRPr="00C17C4C">
        <w:rPr>
          <w:sz w:val="24"/>
          <w:lang w:val="bg-BG"/>
        </w:rPr>
        <w:tab/>
      </w:r>
      <w:r w:rsidRPr="00C17C4C">
        <w:rPr>
          <w:sz w:val="24"/>
          <w:lang w:val="bg-BG"/>
        </w:rPr>
        <w:t>ОВ L 209, 14.6.2021 г., стр. 1</w:t>
      </w:r>
      <w:r w:rsidR="004C4B1E">
        <w:rPr>
          <w:sz w:val="24"/>
          <w:lang w:val="bg-BG"/>
        </w:rPr>
        <w:t>,</w:t>
      </w:r>
      <w:r w:rsidRPr="00C17C4C">
        <w:rPr>
          <w:sz w:val="24"/>
          <w:lang w:val="bg-BG"/>
        </w:rPr>
        <w:t xml:space="preserve"> </w:t>
      </w:r>
      <w:r w:rsidRPr="00C17C4C">
        <w:rPr>
          <w:sz w:val="24"/>
          <w:lang w:val="bg-BG"/>
        </w:rPr>
        <w:t xml:space="preserve">ELI: </w:t>
      </w:r>
      <w:hyperlink r:id="rId1" w:history="1">
        <w:r w:rsidRPr="00C17C4C">
          <w:rPr>
            <w:rStyle w:val="Hyperlink"/>
            <w:sz w:val="24"/>
            <w:lang w:val="bg-BG"/>
          </w:rPr>
          <w:t>http://data.europa.eu/eli/reg/2021/947/oj</w:t>
        </w:r>
      </w:hyperlink>
      <w:r w:rsidRPr="00C17C4C">
        <w:rPr>
          <w:sz w:val="24"/>
          <w:lang w:val="bg-BG"/>
        </w:rPr>
        <w:t>.</w:t>
      </w:r>
    </w:p>
  </w:footnote>
  <w:footnote w:id="3">
    <w:p w14:paraId="29FB4B6B" w14:textId="1CD590C9" w:rsidR="00DA77B6" w:rsidRPr="00C17C4C" w:rsidRDefault="00DA77B6" w:rsidP="00C17C4C">
      <w:pPr>
        <w:pStyle w:val="FootnoteText"/>
        <w:ind w:left="567" w:hanging="567"/>
        <w:rPr>
          <w:sz w:val="24"/>
          <w:lang w:val="bg-BG"/>
        </w:rPr>
      </w:pPr>
      <w:r w:rsidRPr="00C17C4C">
        <w:rPr>
          <w:rStyle w:val="FootnoteReference"/>
          <w:sz w:val="24"/>
          <w:lang w:val="bg-BG"/>
        </w:rPr>
        <w:footnoteRef/>
      </w:r>
      <w:r w:rsidR="00C17C4C" w:rsidRPr="00C17C4C">
        <w:rPr>
          <w:sz w:val="24"/>
          <w:lang w:val="bg-BG"/>
        </w:rPr>
        <w:t xml:space="preserve"> </w:t>
      </w:r>
      <w:r w:rsidR="00C17C4C" w:rsidRPr="00C17C4C">
        <w:rPr>
          <w:sz w:val="24"/>
          <w:lang w:val="bg-BG"/>
        </w:rPr>
        <w:tab/>
      </w:r>
      <w:r w:rsidRPr="00C17C4C">
        <w:rPr>
          <w:sz w:val="24"/>
          <w:lang w:val="bg-BG"/>
        </w:rPr>
        <w:t>ОВ C, C/2023/398, 23.11.2023 г.</w:t>
      </w:r>
      <w:r w:rsidR="004C4B1E">
        <w:rPr>
          <w:sz w:val="24"/>
          <w:lang w:val="bg-BG"/>
        </w:rPr>
        <w:t>,</w:t>
      </w:r>
      <w:r w:rsidRPr="00C17C4C">
        <w:rPr>
          <w:sz w:val="24"/>
          <w:lang w:val="bg-BG"/>
        </w:rPr>
        <w:t xml:space="preserve"> </w:t>
      </w:r>
      <w:r w:rsidRPr="00C17C4C">
        <w:rPr>
          <w:sz w:val="24"/>
          <w:lang w:val="bg-BG"/>
        </w:rPr>
        <w:t xml:space="preserve">ELI: </w:t>
      </w:r>
      <w:hyperlink r:id="rId2" w:history="1">
        <w:r w:rsidRPr="00C17C4C">
          <w:rPr>
            <w:rStyle w:val="Hyperlink"/>
            <w:sz w:val="24"/>
            <w:lang w:val="bg-BG"/>
          </w:rPr>
          <w:t>http://data.europa.eu/eli/C/2023/398/oj</w:t>
        </w:r>
      </w:hyperlink>
      <w:r w:rsidRPr="00C17C4C">
        <w:rPr>
          <w:sz w:val="24"/>
          <w:lang w:val="bg-BG"/>
        </w:rPr>
        <w:t>.</w:t>
      </w:r>
    </w:p>
  </w:footnote>
  <w:footnote w:id="4">
    <w:p w14:paraId="28891187" w14:textId="17F1649B" w:rsidR="00DA77B6" w:rsidRPr="00C17C4C" w:rsidRDefault="00DA77B6" w:rsidP="00C17C4C">
      <w:pPr>
        <w:pStyle w:val="FootnoteText"/>
        <w:ind w:left="567" w:hanging="567"/>
        <w:rPr>
          <w:sz w:val="24"/>
          <w:lang w:val="bg-BG"/>
        </w:rPr>
      </w:pPr>
      <w:r w:rsidRPr="00C17C4C">
        <w:rPr>
          <w:rStyle w:val="FootnoteReference"/>
          <w:sz w:val="24"/>
          <w:lang w:val="bg-BG"/>
        </w:rPr>
        <w:footnoteRef/>
      </w:r>
      <w:r w:rsidR="00C17C4C" w:rsidRPr="00C17C4C">
        <w:rPr>
          <w:sz w:val="24"/>
          <w:lang w:val="bg-BG"/>
        </w:rPr>
        <w:t xml:space="preserve"> </w:t>
      </w:r>
      <w:r w:rsidR="00C17C4C" w:rsidRPr="00C17C4C">
        <w:rPr>
          <w:sz w:val="24"/>
          <w:lang w:val="bg-BG"/>
        </w:rPr>
        <w:tab/>
      </w:r>
      <w:r w:rsidRPr="00C17C4C">
        <w:rPr>
          <w:sz w:val="24"/>
          <w:lang w:val="bg-BG"/>
        </w:rPr>
        <w:t>ОВ C, C/2025/2148, 23.4.2025 г.</w:t>
      </w:r>
      <w:r w:rsidR="004C4B1E">
        <w:rPr>
          <w:sz w:val="24"/>
          <w:lang w:val="bg-BG"/>
        </w:rPr>
        <w:t>,</w:t>
      </w:r>
      <w:r w:rsidRPr="00C17C4C">
        <w:rPr>
          <w:sz w:val="24"/>
          <w:lang w:val="bg-BG"/>
        </w:rPr>
        <w:t xml:space="preserve"> </w:t>
      </w:r>
      <w:r w:rsidRPr="00C17C4C">
        <w:rPr>
          <w:sz w:val="24"/>
          <w:lang w:val="bg-BG"/>
        </w:rPr>
        <w:t xml:space="preserve">ELI: </w:t>
      </w:r>
      <w:hyperlink r:id="rId3" w:history="1">
        <w:r w:rsidRPr="00C17C4C">
          <w:rPr>
            <w:rStyle w:val="Hyperlink"/>
            <w:sz w:val="24"/>
            <w:lang w:val="bg-BG"/>
          </w:rPr>
          <w:t>http://data.europa.eu/eli/C/2025/2148/oj</w:t>
        </w:r>
      </w:hyperlink>
      <w:r w:rsidRPr="00C17C4C">
        <w:rPr>
          <w:sz w:val="24"/>
          <w:lang w:val="bg-BG"/>
        </w:rPr>
        <w:t>.</w:t>
      </w:r>
    </w:p>
  </w:footnote>
  <w:footnote w:id="5">
    <w:p w14:paraId="2D7230BA" w14:textId="703C7A16" w:rsidR="00DA77B6" w:rsidRPr="00C17C4C" w:rsidRDefault="00DA77B6" w:rsidP="00C17C4C">
      <w:pPr>
        <w:pStyle w:val="FootnoteText"/>
        <w:ind w:left="567" w:hanging="567"/>
        <w:rPr>
          <w:sz w:val="24"/>
          <w:lang w:val="bg-BG"/>
        </w:rPr>
      </w:pPr>
      <w:r w:rsidRPr="00C17C4C">
        <w:rPr>
          <w:rStyle w:val="FootnoteReference"/>
          <w:sz w:val="24"/>
          <w:lang w:val="bg-BG"/>
        </w:rPr>
        <w:footnoteRef/>
      </w:r>
      <w:r w:rsidR="00C17C4C" w:rsidRPr="00C17C4C">
        <w:rPr>
          <w:sz w:val="24"/>
          <w:lang w:val="bg-BG"/>
        </w:rPr>
        <w:t xml:space="preserve"> </w:t>
      </w:r>
      <w:r w:rsidR="00C17C4C" w:rsidRPr="00C17C4C">
        <w:rPr>
          <w:sz w:val="24"/>
          <w:lang w:val="bg-BG"/>
        </w:rPr>
        <w:tab/>
      </w:r>
      <w:r w:rsidRPr="00C17C4C">
        <w:rPr>
          <w:sz w:val="24"/>
          <w:lang w:val="bg-BG"/>
        </w:rPr>
        <w:t>ОВ C, C/2024/7215, 10.12.2024 г.</w:t>
      </w:r>
      <w:r w:rsidR="004C4B1E">
        <w:rPr>
          <w:sz w:val="24"/>
          <w:lang w:val="bg-BG"/>
        </w:rPr>
        <w:t>,</w:t>
      </w:r>
      <w:r w:rsidRPr="00C17C4C">
        <w:rPr>
          <w:sz w:val="24"/>
          <w:lang w:val="bg-BG"/>
        </w:rPr>
        <w:t xml:space="preserve"> </w:t>
      </w:r>
      <w:r w:rsidRPr="00C17C4C">
        <w:rPr>
          <w:sz w:val="24"/>
          <w:lang w:val="bg-BG"/>
        </w:rPr>
        <w:t xml:space="preserve">ELI: </w:t>
      </w:r>
      <w:hyperlink r:id="rId4" w:history="1">
        <w:r w:rsidRPr="00C17C4C">
          <w:rPr>
            <w:rStyle w:val="Hyperlink"/>
            <w:sz w:val="24"/>
            <w:lang w:val="bg-BG"/>
          </w:rPr>
          <w:t>http://data.europa.eu/eli/C/2024/7215/oj</w:t>
        </w:r>
      </w:hyperlink>
      <w:r w:rsidRPr="00C17C4C">
        <w:rPr>
          <w:sz w:val="24"/>
          <w:lang w:val="bg-BG"/>
        </w:rPr>
        <w:t>.</w:t>
      </w:r>
    </w:p>
  </w:footnote>
  <w:footnote w:id="6">
    <w:p w14:paraId="10C40A64" w14:textId="27908D6E" w:rsidR="00DA77B6" w:rsidRPr="00C17C4C" w:rsidRDefault="00DA77B6" w:rsidP="00C17C4C">
      <w:pPr>
        <w:pStyle w:val="FootnoteText"/>
        <w:ind w:left="567" w:hanging="567"/>
        <w:rPr>
          <w:sz w:val="24"/>
          <w:lang w:val="bg-BG"/>
        </w:rPr>
      </w:pPr>
      <w:r w:rsidRPr="00C17C4C">
        <w:rPr>
          <w:rStyle w:val="FootnoteReference"/>
          <w:sz w:val="24"/>
          <w:lang w:val="bg-BG"/>
        </w:rPr>
        <w:footnoteRef/>
      </w:r>
      <w:r w:rsidR="00C17C4C" w:rsidRPr="00C17C4C">
        <w:rPr>
          <w:sz w:val="24"/>
          <w:lang w:val="bg-BG"/>
        </w:rPr>
        <w:t xml:space="preserve"> </w:t>
      </w:r>
      <w:r w:rsidR="00C17C4C" w:rsidRPr="00C17C4C">
        <w:rPr>
          <w:sz w:val="24"/>
          <w:lang w:val="bg-BG"/>
        </w:rPr>
        <w:tab/>
      </w:r>
      <w:r w:rsidRPr="00C17C4C">
        <w:rPr>
          <w:sz w:val="24"/>
          <w:lang w:val="bg-BG"/>
        </w:rPr>
        <w:t>ОВ C, C/2024/4001, 17.7.2024 г.</w:t>
      </w:r>
      <w:r w:rsidR="004C4B1E">
        <w:rPr>
          <w:sz w:val="24"/>
          <w:lang w:val="bg-BG"/>
        </w:rPr>
        <w:t>,</w:t>
      </w:r>
      <w:r w:rsidRPr="00C17C4C">
        <w:rPr>
          <w:sz w:val="24"/>
          <w:lang w:val="bg-BG"/>
        </w:rPr>
        <w:t xml:space="preserve"> </w:t>
      </w:r>
      <w:r w:rsidRPr="00C17C4C">
        <w:rPr>
          <w:sz w:val="24"/>
          <w:lang w:val="bg-BG"/>
        </w:rPr>
        <w:t xml:space="preserve">ELI: </w:t>
      </w:r>
      <w:hyperlink r:id="rId5" w:history="1">
        <w:r w:rsidRPr="00C17C4C">
          <w:rPr>
            <w:rStyle w:val="Hyperlink"/>
            <w:sz w:val="24"/>
            <w:lang w:val="bg-BG"/>
          </w:rPr>
          <w:t>http://data.europa.eu/eli/C/2024/4001/oj</w:t>
        </w:r>
      </w:hyperlink>
      <w:r w:rsidRPr="00C17C4C">
        <w:rPr>
          <w:sz w:val="24"/>
          <w:lang w:val="bg-BG"/>
        </w:rPr>
        <w:t>.</w:t>
      </w:r>
    </w:p>
  </w:footnote>
  <w:footnote w:id="7">
    <w:p w14:paraId="4BCF685B" w14:textId="4B11BFC2" w:rsidR="00DA77B6" w:rsidRPr="00C17C4C" w:rsidRDefault="00DA77B6" w:rsidP="00C17C4C">
      <w:pPr>
        <w:pStyle w:val="FootnoteText"/>
        <w:ind w:left="567" w:hanging="567"/>
        <w:rPr>
          <w:sz w:val="24"/>
          <w:lang w:val="bg-BG"/>
        </w:rPr>
      </w:pPr>
      <w:r w:rsidRPr="00C17C4C">
        <w:rPr>
          <w:rStyle w:val="FootnoteReference"/>
          <w:sz w:val="24"/>
          <w:lang w:val="bg-BG"/>
        </w:rPr>
        <w:footnoteRef/>
      </w:r>
      <w:r w:rsidR="00C17C4C" w:rsidRPr="00C17C4C">
        <w:rPr>
          <w:sz w:val="24"/>
          <w:lang w:val="bg-BG"/>
        </w:rPr>
        <w:t xml:space="preserve"> </w:t>
      </w:r>
      <w:r w:rsidR="00C17C4C" w:rsidRPr="00C17C4C">
        <w:rPr>
          <w:sz w:val="24"/>
          <w:lang w:val="bg-BG"/>
        </w:rPr>
        <w:tab/>
      </w:r>
      <w:r w:rsidRPr="00C17C4C">
        <w:rPr>
          <w:sz w:val="24"/>
          <w:lang w:val="bg-BG"/>
        </w:rPr>
        <w:t>ОВ C, C/2024/7213, 10.12.2024 г.</w:t>
      </w:r>
      <w:r w:rsidR="004C4B1E">
        <w:rPr>
          <w:sz w:val="24"/>
          <w:lang w:val="bg-BG"/>
        </w:rPr>
        <w:t>,</w:t>
      </w:r>
      <w:r w:rsidRPr="00C17C4C">
        <w:rPr>
          <w:sz w:val="24"/>
          <w:lang w:val="bg-BG"/>
        </w:rPr>
        <w:t xml:space="preserve"> </w:t>
      </w:r>
      <w:r w:rsidRPr="00C17C4C">
        <w:rPr>
          <w:sz w:val="24"/>
          <w:lang w:val="bg-BG"/>
        </w:rPr>
        <w:t xml:space="preserve">ELI: </w:t>
      </w:r>
      <w:hyperlink r:id="rId6" w:history="1">
        <w:r w:rsidRPr="00C17C4C">
          <w:rPr>
            <w:rStyle w:val="Hyperlink"/>
            <w:sz w:val="24"/>
            <w:lang w:val="bg-BG"/>
          </w:rPr>
          <w:t>http://data.europa.eu/eli/C/2024/7213/oj</w:t>
        </w:r>
      </w:hyperlink>
      <w:r w:rsidRPr="00C17C4C">
        <w:rPr>
          <w:sz w:val="24"/>
          <w:lang w:val="bg-BG"/>
        </w:rPr>
        <w:t>.</w:t>
      </w:r>
    </w:p>
  </w:footnote>
  <w:footnote w:id="8">
    <w:p w14:paraId="6EE35694" w14:textId="3C64FE15" w:rsidR="00DA77B6" w:rsidRPr="00C17C4C" w:rsidRDefault="00DA77B6" w:rsidP="00C17C4C">
      <w:pPr>
        <w:pStyle w:val="FootnoteText"/>
        <w:ind w:left="567" w:hanging="567"/>
        <w:rPr>
          <w:sz w:val="24"/>
          <w:lang w:val="bg-BG"/>
        </w:rPr>
      </w:pPr>
      <w:r w:rsidRPr="00C17C4C">
        <w:rPr>
          <w:rStyle w:val="FootnoteReference"/>
          <w:sz w:val="24"/>
          <w:lang w:val="bg-BG"/>
        </w:rPr>
        <w:footnoteRef/>
      </w:r>
      <w:r w:rsidR="00C17C4C" w:rsidRPr="00C17C4C">
        <w:rPr>
          <w:sz w:val="24"/>
          <w:lang w:val="bg-BG"/>
        </w:rPr>
        <w:t xml:space="preserve"> </w:t>
      </w:r>
      <w:r w:rsidR="00C17C4C" w:rsidRPr="00C17C4C">
        <w:rPr>
          <w:sz w:val="24"/>
          <w:lang w:val="bg-BG"/>
        </w:rPr>
        <w:tab/>
      </w:r>
      <w:r w:rsidRPr="00C17C4C">
        <w:rPr>
          <w:sz w:val="24"/>
          <w:lang w:val="bg-BG"/>
        </w:rPr>
        <w:t>ОВ C, C/2025/2249, 29.4.2025 г.</w:t>
      </w:r>
      <w:r w:rsidR="004C4B1E">
        <w:rPr>
          <w:sz w:val="24"/>
          <w:lang w:val="bg-BG"/>
        </w:rPr>
        <w:t>,</w:t>
      </w:r>
      <w:r w:rsidRPr="00C17C4C">
        <w:rPr>
          <w:sz w:val="24"/>
          <w:lang w:val="bg-BG"/>
        </w:rPr>
        <w:t xml:space="preserve"> </w:t>
      </w:r>
      <w:r w:rsidRPr="00C17C4C">
        <w:rPr>
          <w:sz w:val="24"/>
          <w:lang w:val="bg-BG"/>
        </w:rPr>
        <w:t xml:space="preserve">ELI: </w:t>
      </w:r>
      <w:hyperlink r:id="rId7" w:history="1">
        <w:r w:rsidRPr="00C17C4C">
          <w:rPr>
            <w:rStyle w:val="Hyperlink"/>
            <w:sz w:val="24"/>
            <w:lang w:val="bg-BG"/>
          </w:rPr>
          <w:t>http://data.europa.eu/eli/C/2025/2249/oj</w:t>
        </w:r>
      </w:hyperlink>
      <w:r w:rsidRPr="00C17C4C">
        <w:rPr>
          <w:sz w:val="24"/>
          <w:lang w:val="bg-BG"/>
        </w:rPr>
        <w:t>.</w:t>
      </w:r>
    </w:p>
  </w:footnote>
  <w:footnote w:id="9">
    <w:p w14:paraId="227D5EB5" w14:textId="09744F11" w:rsidR="00DA77B6" w:rsidRPr="00C17C4C" w:rsidRDefault="00DA77B6" w:rsidP="00C17C4C">
      <w:pPr>
        <w:pStyle w:val="FootnoteText"/>
        <w:ind w:left="567" w:hanging="567"/>
        <w:rPr>
          <w:sz w:val="24"/>
          <w:lang w:val="bg-BG"/>
        </w:rPr>
      </w:pPr>
      <w:r w:rsidRPr="00C17C4C">
        <w:rPr>
          <w:rStyle w:val="FootnoteReference"/>
          <w:sz w:val="24"/>
          <w:lang w:val="bg-BG"/>
        </w:rPr>
        <w:footnoteRef/>
      </w:r>
      <w:r w:rsidR="00C17C4C" w:rsidRPr="00C17C4C">
        <w:rPr>
          <w:sz w:val="24"/>
          <w:lang w:val="bg-BG"/>
        </w:rPr>
        <w:t xml:space="preserve"> </w:t>
      </w:r>
      <w:r w:rsidR="00C17C4C" w:rsidRPr="00C17C4C">
        <w:rPr>
          <w:sz w:val="24"/>
          <w:lang w:val="bg-BG"/>
        </w:rPr>
        <w:tab/>
      </w:r>
      <w:r w:rsidR="004C4B1E" w:rsidRPr="00B23C78">
        <w:t>ОВ C 210, 30.6.2017 г., стр. 1</w:t>
      </w:r>
      <w:r w:rsidRPr="00C17C4C">
        <w:rPr>
          <w:sz w:val="24"/>
          <w:lang w:val="bg-BG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33837091">
    <w:abstractNumId w:val="9"/>
  </w:num>
  <w:num w:numId="2" w16cid:durableId="205413806">
    <w:abstractNumId w:val="9"/>
  </w:num>
  <w:num w:numId="3" w16cid:durableId="1725983007">
    <w:abstractNumId w:val="7"/>
  </w:num>
  <w:num w:numId="4" w16cid:durableId="1013847067">
    <w:abstractNumId w:val="7"/>
  </w:num>
  <w:num w:numId="5" w16cid:durableId="390081826">
    <w:abstractNumId w:val="6"/>
  </w:num>
  <w:num w:numId="6" w16cid:durableId="2140756414">
    <w:abstractNumId w:val="6"/>
  </w:num>
  <w:num w:numId="7" w16cid:durableId="5719080">
    <w:abstractNumId w:val="5"/>
  </w:num>
  <w:num w:numId="8" w16cid:durableId="2085375590">
    <w:abstractNumId w:val="5"/>
  </w:num>
  <w:num w:numId="9" w16cid:durableId="343941652">
    <w:abstractNumId w:val="4"/>
  </w:num>
  <w:num w:numId="10" w16cid:durableId="91711359">
    <w:abstractNumId w:val="4"/>
  </w:num>
  <w:num w:numId="11" w16cid:durableId="1018655621">
    <w:abstractNumId w:val="8"/>
  </w:num>
  <w:num w:numId="12" w16cid:durableId="1072850610">
    <w:abstractNumId w:val="8"/>
  </w:num>
  <w:num w:numId="13" w16cid:durableId="1563564110">
    <w:abstractNumId w:val="3"/>
  </w:num>
  <w:num w:numId="14" w16cid:durableId="1532762200">
    <w:abstractNumId w:val="3"/>
  </w:num>
  <w:num w:numId="15" w16cid:durableId="1731223820">
    <w:abstractNumId w:val="2"/>
  </w:num>
  <w:num w:numId="16" w16cid:durableId="387922135">
    <w:abstractNumId w:val="2"/>
  </w:num>
  <w:num w:numId="17" w16cid:durableId="1528568848">
    <w:abstractNumId w:val="1"/>
  </w:num>
  <w:num w:numId="18" w16cid:durableId="997536249">
    <w:abstractNumId w:val="1"/>
  </w:num>
  <w:num w:numId="19" w16cid:durableId="1192647529">
    <w:abstractNumId w:val="0"/>
  </w:num>
  <w:num w:numId="20" w16cid:durableId="53428329">
    <w:abstractNumId w:val="0"/>
  </w:num>
  <w:num w:numId="21" w16cid:durableId="704058008">
    <w:abstractNumId w:val="9"/>
  </w:num>
  <w:num w:numId="22" w16cid:durableId="407309504">
    <w:abstractNumId w:val="7"/>
  </w:num>
  <w:num w:numId="23" w16cid:durableId="1722554548">
    <w:abstractNumId w:val="6"/>
  </w:num>
  <w:num w:numId="24" w16cid:durableId="1156798574">
    <w:abstractNumId w:val="5"/>
  </w:num>
  <w:num w:numId="25" w16cid:durableId="1856921177">
    <w:abstractNumId w:val="4"/>
  </w:num>
  <w:num w:numId="26" w16cid:durableId="2001079790">
    <w:abstractNumId w:val="8"/>
  </w:num>
  <w:num w:numId="27" w16cid:durableId="1751077096">
    <w:abstractNumId w:val="3"/>
  </w:num>
  <w:num w:numId="28" w16cid:durableId="268204966">
    <w:abstractNumId w:val="2"/>
  </w:num>
  <w:num w:numId="29" w16cid:durableId="1650092652">
    <w:abstractNumId w:val="1"/>
  </w:num>
  <w:num w:numId="30" w16cid:durableId="1583294018">
    <w:abstractNumId w:val="0"/>
  </w:num>
  <w:num w:numId="31" w16cid:durableId="1706979994">
    <w:abstractNumId w:val="9"/>
  </w:num>
  <w:num w:numId="32" w16cid:durableId="1608997162">
    <w:abstractNumId w:val="7"/>
  </w:num>
  <w:num w:numId="33" w16cid:durableId="1027364645">
    <w:abstractNumId w:val="6"/>
  </w:num>
  <w:num w:numId="34" w16cid:durableId="1503935654">
    <w:abstractNumId w:val="5"/>
  </w:num>
  <w:num w:numId="35" w16cid:durableId="362294509">
    <w:abstractNumId w:val="4"/>
  </w:num>
  <w:num w:numId="36" w16cid:durableId="74589955">
    <w:abstractNumId w:val="8"/>
  </w:num>
  <w:num w:numId="37" w16cid:durableId="977300490">
    <w:abstractNumId w:val="3"/>
  </w:num>
  <w:num w:numId="38" w16cid:durableId="24717192">
    <w:abstractNumId w:val="2"/>
  </w:num>
  <w:num w:numId="39" w16cid:durableId="2048138061">
    <w:abstractNumId w:val="1"/>
  </w:num>
  <w:num w:numId="40" w16cid:durableId="2095785088">
    <w:abstractNumId w:val="0"/>
  </w:num>
  <w:num w:numId="41" w16cid:durableId="1013071207">
    <w:abstractNumId w:val="10"/>
  </w:num>
  <w:num w:numId="42" w16cid:durableId="2024937789">
    <w:abstractNumId w:val="10"/>
  </w:num>
  <w:num w:numId="43" w16cid:durableId="1700275070">
    <w:abstractNumId w:val="10"/>
  </w:num>
  <w:num w:numId="44" w16cid:durableId="101600711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1/2025"/>
    <w:docVar w:name="dvlangue" w:val="BG"/>
    <w:docVar w:name="dvnumam" w:val="71"/>
    <w:docVar w:name="dvpe" w:val="773.170"/>
    <w:docVar w:name="dvrapporteur" w:val="Докладчик: "/>
    <w:docVar w:name="dvtitre" w:val="Резолюция на Европейския парламент от ... 2025 г. относно политическата стратегия на ЕС по отношение на Латинска Америка(2025/2083(INI))"/>
  </w:docVars>
  <w:rsids>
    <w:rsidRoot w:val="00CE0E9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4B1E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34DD4"/>
    <w:rsid w:val="00650E1A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18C1"/>
    <w:rsid w:val="00786EC0"/>
    <w:rsid w:val="007D1690"/>
    <w:rsid w:val="007E22AD"/>
    <w:rsid w:val="00817416"/>
    <w:rsid w:val="00842779"/>
    <w:rsid w:val="00865F67"/>
    <w:rsid w:val="00873FBE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A6C74"/>
    <w:rsid w:val="00AB441E"/>
    <w:rsid w:val="00AB6293"/>
    <w:rsid w:val="00AE0928"/>
    <w:rsid w:val="00AF3B82"/>
    <w:rsid w:val="00B12E95"/>
    <w:rsid w:val="00B22876"/>
    <w:rsid w:val="00B23C78"/>
    <w:rsid w:val="00B558F0"/>
    <w:rsid w:val="00BD48FE"/>
    <w:rsid w:val="00BD7BD8"/>
    <w:rsid w:val="00BE6ADC"/>
    <w:rsid w:val="00C05BFE"/>
    <w:rsid w:val="00C17C4C"/>
    <w:rsid w:val="00C23CD4"/>
    <w:rsid w:val="00C61C0C"/>
    <w:rsid w:val="00C941CB"/>
    <w:rsid w:val="00CC2357"/>
    <w:rsid w:val="00CE0E92"/>
    <w:rsid w:val="00CF071A"/>
    <w:rsid w:val="00D058B8"/>
    <w:rsid w:val="00D44435"/>
    <w:rsid w:val="00D56C11"/>
    <w:rsid w:val="00D834A0"/>
    <w:rsid w:val="00D872DF"/>
    <w:rsid w:val="00D91E21"/>
    <w:rsid w:val="00DA77B6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5ABCD56"/>
  <w15:chartTrackingRefBased/>
  <w15:docId w15:val="{74942A4C-647F-4120-92BB-4991D84CCF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DA77B6"/>
    <w:pPr>
      <w:spacing w:after="240"/>
      <w:ind w:left="567" w:hanging="567"/>
    </w:pPr>
  </w:style>
  <w:style w:type="paragraph" w:customStyle="1" w:styleId="EPComma">
    <w:name w:val="EPComma"/>
    <w:basedOn w:val="Normal"/>
    <w:rsid w:val="00DA77B6"/>
    <w:pPr>
      <w:spacing w:before="480" w:after="240"/>
    </w:pPr>
  </w:style>
  <w:style w:type="paragraph" w:customStyle="1" w:styleId="NormalCenter12a">
    <w:name w:val="NormalCenter12a"/>
    <w:basedOn w:val="Normal"/>
    <w:rsid w:val="00DA77B6"/>
    <w:pPr>
      <w:spacing w:after="240"/>
      <w:jc w:val="center"/>
    </w:pPr>
  </w:style>
  <w:style w:type="character" w:customStyle="1" w:styleId="BoldItalic">
    <w:name w:val="BoldItalic"/>
    <w:uiPriority w:val="1"/>
    <w:rsid w:val="00DA77B6"/>
    <w:rPr>
      <w:b/>
      <w:i/>
      <w:u w:val="none"/>
    </w:rPr>
  </w:style>
  <w:style w:type="paragraph" w:customStyle="1" w:styleId="Normal12a24b">
    <w:name w:val="Normal12a24b"/>
    <w:basedOn w:val="Normal"/>
    <w:rsid w:val="00DA77B6"/>
    <w:pPr>
      <w:spacing w:before="360" w:after="240"/>
    </w:pPr>
    <w:rPr>
      <w:snapToGrid w:val="0"/>
      <w:lang w:eastAsia="en-US"/>
    </w:rPr>
  </w:style>
  <w:style w:type="character" w:styleId="Hyperlink">
    <w:name w:val="Hyperlink"/>
    <w:basedOn w:val="DefaultParagraphFont"/>
    <w:rsid w:val="00DA77B6"/>
    <w:rPr>
      <w:color w:val="0563C1" w:themeColor="hyperlink"/>
      <w:u w:val="single"/>
    </w:rPr>
  </w:style>
  <w:style w:type="paragraph" w:styleId="Revision">
    <w:name w:val="Revision"/>
    <w:hidden/>
    <w:uiPriority w:val="99"/>
    <w:semiHidden/>
    <w:rsid w:val="004C4B1E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C/2025/2148/oj" TargetMode="External"/><Relationship Id="rId7" Type="http://schemas.openxmlformats.org/officeDocument/2006/relationships/hyperlink" Target="http://data.europa.eu/eli/C/2025/2249/oj" TargetMode="External"/><Relationship Id="rId2" Type="http://schemas.openxmlformats.org/officeDocument/2006/relationships/hyperlink" Target="http://data.europa.eu/eli/C/2023/398/oj" TargetMode="External"/><Relationship Id="rId1" Type="http://schemas.openxmlformats.org/officeDocument/2006/relationships/hyperlink" Target="http://data.europa.eu/eli/reg/2021/947/oj" TargetMode="External"/><Relationship Id="rId6" Type="http://schemas.openxmlformats.org/officeDocument/2006/relationships/hyperlink" Target="http://data.europa.eu/eli/C/2024/7213/oj" TargetMode="External"/><Relationship Id="rId5" Type="http://schemas.openxmlformats.org/officeDocument/2006/relationships/hyperlink" Target="http://data.europa.eu/eli/C/2024/4001/oj" TargetMode="External"/><Relationship Id="rId4" Type="http://schemas.openxmlformats.org/officeDocument/2006/relationships/hyperlink" Target="http://data.europa.eu/eli/C/2024/721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28</Pages>
  <Words>12208</Words>
  <Characters>74720</Characters>
  <Application>Microsoft Office Word</Application>
  <DocSecurity>0</DocSecurity>
  <Lines>622</Lines>
  <Paragraphs>173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86755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GIRGINOV Kiril</cp:lastModifiedBy>
  <cp:revision>2</cp:revision>
  <cp:lastPrinted>2004-11-19T15:42:00Z</cp:lastPrinted>
  <dcterms:created xsi:type="dcterms:W3CDTF">2025-10-08T13:26:00Z</dcterms:created>
  <dcterms:modified xsi:type="dcterms:W3CDTF">2025-10-08T13:26:00Z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A10-0171/2025</vt:lpwstr>
  </property>
  <property fmtid="{D5CDD505-2E9C-101B-9397-08002B2CF9AE}" pid="4" name="&lt;Type&gt;">
    <vt:lpwstr>RR</vt:lpwstr>
  </property>
</Properties>
</file>