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66E1" w14:paraId="0CE465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7EE258" w14:textId="77777777" w:rsidR="00751A4A" w:rsidRPr="007A66E1" w:rsidRDefault="00E233E2" w:rsidP="0010095E">
            <w:pPr>
              <w:pStyle w:val="EPName"/>
            </w:pPr>
            <w:r w:rsidRPr="007A66E1">
              <w:t>Parlament Europejski</w:t>
            </w:r>
          </w:p>
          <w:p w14:paraId="1DBDFA73" w14:textId="77777777" w:rsidR="00751A4A" w:rsidRPr="007A66E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66E1">
              <w:t>2024</w:t>
            </w:r>
            <w:r w:rsidR="00817416" w:rsidRPr="007A66E1">
              <w:t>-202</w:t>
            </w:r>
            <w:r w:rsidRPr="007A66E1">
              <w:t>9</w:t>
            </w:r>
          </w:p>
        </w:tc>
        <w:tc>
          <w:tcPr>
            <w:tcW w:w="2268" w:type="dxa"/>
            <w:shd w:val="clear" w:color="auto" w:fill="auto"/>
          </w:tcPr>
          <w:p w14:paraId="1C3DE0C3" w14:textId="77777777" w:rsidR="00751A4A" w:rsidRPr="007A66E1" w:rsidRDefault="00187494" w:rsidP="0010095E">
            <w:pPr>
              <w:pStyle w:val="EPLogo"/>
            </w:pPr>
            <w:r w:rsidRPr="007A66E1">
              <w:rPr>
                <w:noProof/>
                <w:lang w:eastAsia="ja-JP"/>
              </w:rPr>
              <w:drawing>
                <wp:inline distT="0" distB="0" distL="0" distR="0" wp14:anchorId="54DE896B" wp14:editId="784AB4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2634EF" w14:textId="77777777" w:rsidR="00D058B8" w:rsidRPr="007A66E1" w:rsidRDefault="00D058B8" w:rsidP="004C5D52">
      <w:pPr>
        <w:pStyle w:val="LineTop"/>
      </w:pPr>
    </w:p>
    <w:p w14:paraId="21C98723" w14:textId="77777777" w:rsidR="00680577" w:rsidRPr="007A66E1" w:rsidRDefault="00E233E2" w:rsidP="00680577">
      <w:pPr>
        <w:pStyle w:val="EPBodyTA1"/>
      </w:pPr>
      <w:r w:rsidRPr="007A66E1">
        <w:t>TEKSTY PRZYJĘTE</w:t>
      </w:r>
    </w:p>
    <w:p w14:paraId="4B51FE6D" w14:textId="77777777" w:rsidR="00D058B8" w:rsidRPr="007A66E1" w:rsidRDefault="00D058B8" w:rsidP="00D058B8">
      <w:pPr>
        <w:pStyle w:val="LineBottom"/>
      </w:pPr>
    </w:p>
    <w:p w14:paraId="239A8057" w14:textId="3A8C30E1" w:rsidR="00E233E2" w:rsidRPr="007A66E1" w:rsidRDefault="00E233E2" w:rsidP="00E233E2">
      <w:pPr>
        <w:pStyle w:val="ATHeading1"/>
      </w:pPr>
      <w:bookmarkStart w:id="0" w:name="TANumber"/>
      <w:r w:rsidRPr="007A66E1">
        <w:t>P10_</w:t>
      </w:r>
      <w:proofErr w:type="gramStart"/>
      <w:r w:rsidRPr="007A66E1">
        <w:t>TA(</w:t>
      </w:r>
      <w:proofErr w:type="gramEnd"/>
      <w:r w:rsidRPr="007A66E1">
        <w:t>2025)0</w:t>
      </w:r>
      <w:bookmarkEnd w:id="0"/>
      <w:r w:rsidR="00860E5A">
        <w:t>221</w:t>
      </w:r>
    </w:p>
    <w:p w14:paraId="793A5894" w14:textId="647F6AFA" w:rsidR="00E233E2" w:rsidRPr="00E505C4" w:rsidRDefault="00E505C4" w:rsidP="00E233E2">
      <w:pPr>
        <w:pStyle w:val="ATHeading2"/>
      </w:pPr>
      <w:r w:rsidRPr="00E505C4">
        <w:rPr>
          <w:bCs/>
        </w:rPr>
        <w:t>Unijna strategia polityczna dotycz</w:t>
      </w:r>
      <w:r w:rsidRPr="00E505C4">
        <w:rPr>
          <w:rFonts w:hint="eastAsia"/>
          <w:bCs/>
        </w:rPr>
        <w:t>ą</w:t>
      </w:r>
      <w:r w:rsidRPr="00E505C4">
        <w:rPr>
          <w:bCs/>
        </w:rPr>
        <w:t xml:space="preserve">ca Ameryki </w:t>
      </w:r>
      <w:r w:rsidRPr="00E505C4">
        <w:rPr>
          <w:rFonts w:hint="eastAsia"/>
          <w:bCs/>
        </w:rPr>
        <w:t>Ł</w:t>
      </w:r>
      <w:r w:rsidRPr="00E505C4">
        <w:rPr>
          <w:bCs/>
        </w:rPr>
        <w:t>aci</w:t>
      </w:r>
      <w:r w:rsidRPr="00E505C4">
        <w:rPr>
          <w:rFonts w:hint="eastAsia"/>
          <w:bCs/>
        </w:rPr>
        <w:t>ń</w:t>
      </w:r>
      <w:r w:rsidRPr="00E505C4">
        <w:rPr>
          <w:bCs/>
        </w:rPr>
        <w:t>skiej</w:t>
      </w:r>
    </w:p>
    <w:p w14:paraId="4E6510D6" w14:textId="77777777" w:rsidR="00E233E2" w:rsidRPr="007A66E1" w:rsidRDefault="00E233E2" w:rsidP="00E233E2">
      <w:pPr>
        <w:rPr>
          <w:i/>
          <w:vanish/>
        </w:rPr>
      </w:pPr>
      <w:r w:rsidRPr="007A66E1">
        <w:rPr>
          <w:i/>
        </w:rPr>
        <w:fldChar w:fldCharType="begin"/>
      </w:r>
      <w:r w:rsidRPr="007A66E1">
        <w:rPr>
          <w:i/>
        </w:rPr>
        <w:instrText xml:space="preserve"> TC"(</w:instrText>
      </w:r>
      <w:bookmarkStart w:id="1" w:name="DocNumber"/>
      <w:r w:rsidRPr="007A66E1">
        <w:rPr>
          <w:i/>
        </w:rPr>
        <w:instrText>A10-0171/2025</w:instrText>
      </w:r>
      <w:bookmarkEnd w:id="1"/>
      <w:r w:rsidRPr="007A66E1">
        <w:rPr>
          <w:i/>
        </w:rPr>
        <w:instrText xml:space="preserve"> - Sprawozdawca: </w:instrText>
      </w:r>
      <w:proofErr w:type="spellStart"/>
      <w:r w:rsidRPr="007A66E1">
        <w:rPr>
          <w:i/>
        </w:rPr>
        <w:instrText>Davor</w:instrText>
      </w:r>
      <w:proofErr w:type="spellEnd"/>
      <w:r w:rsidRPr="007A66E1">
        <w:rPr>
          <w:i/>
        </w:rPr>
        <w:instrText xml:space="preserve"> </w:instrText>
      </w:r>
      <w:proofErr w:type="spellStart"/>
      <w:r w:rsidRPr="007A66E1">
        <w:rPr>
          <w:i/>
        </w:rPr>
        <w:instrText>Ivo</w:instrText>
      </w:r>
      <w:proofErr w:type="spellEnd"/>
      <w:r w:rsidRPr="007A66E1">
        <w:rPr>
          <w:i/>
        </w:rPr>
        <w:instrText xml:space="preserve"> </w:instrText>
      </w:r>
      <w:proofErr w:type="spellStart"/>
      <w:r w:rsidRPr="007A66E1">
        <w:rPr>
          <w:i/>
        </w:rPr>
        <w:instrText>Stier</w:instrText>
      </w:r>
      <w:proofErr w:type="spellEnd"/>
      <w:r w:rsidRPr="007A66E1">
        <w:rPr>
          <w:i/>
        </w:rPr>
        <w:instrText xml:space="preserve">)"\l3 \n&gt; \* MERGEFORMAT </w:instrText>
      </w:r>
      <w:r w:rsidRPr="007A66E1">
        <w:rPr>
          <w:i/>
        </w:rPr>
        <w:fldChar w:fldCharType="end"/>
      </w:r>
    </w:p>
    <w:p w14:paraId="1643D150" w14:textId="77777777" w:rsidR="00E233E2" w:rsidRPr="007A66E1" w:rsidRDefault="00E233E2" w:rsidP="00E233E2">
      <w:pPr>
        <w:rPr>
          <w:vanish/>
        </w:rPr>
      </w:pPr>
      <w:bookmarkStart w:id="2" w:name="Commission"/>
      <w:r w:rsidRPr="007A66E1">
        <w:rPr>
          <w:vanish/>
        </w:rPr>
        <w:t>Komisja Spraw Zagranicznych</w:t>
      </w:r>
      <w:bookmarkEnd w:id="2"/>
    </w:p>
    <w:p w14:paraId="42C1AF4C" w14:textId="77777777" w:rsidR="00E233E2" w:rsidRPr="007A66E1" w:rsidRDefault="00E233E2" w:rsidP="00E233E2">
      <w:pPr>
        <w:rPr>
          <w:vanish/>
        </w:rPr>
      </w:pPr>
      <w:bookmarkStart w:id="3" w:name="PE"/>
      <w:r w:rsidRPr="007A66E1">
        <w:rPr>
          <w:vanish/>
        </w:rPr>
        <w:t>PE773.170</w:t>
      </w:r>
      <w:bookmarkEnd w:id="3"/>
    </w:p>
    <w:p w14:paraId="1B6ECA28" w14:textId="5DB86162" w:rsidR="00E233E2" w:rsidRPr="007A66E1" w:rsidRDefault="00E233E2" w:rsidP="00E233E2">
      <w:pPr>
        <w:pStyle w:val="ATHeading3"/>
      </w:pPr>
      <w:bookmarkStart w:id="4" w:name="Sujet"/>
      <w:r w:rsidRPr="007A66E1">
        <w:t xml:space="preserve">Rezolucja Parlamentu Europejskiego z dnia </w:t>
      </w:r>
      <w:r w:rsidR="00A21DE6">
        <w:t>8</w:t>
      </w:r>
      <w:r w:rsidR="00E505C4">
        <w:t xml:space="preserve"> października</w:t>
      </w:r>
      <w:r w:rsidRPr="007A66E1">
        <w:t xml:space="preserve"> 2025 r. w sprawie strategii politycznej UE w odniesieniu do Ameryki Łacińskiej</w:t>
      </w:r>
      <w:bookmarkEnd w:id="4"/>
      <w:r w:rsidRPr="007A66E1">
        <w:t xml:space="preserve"> </w:t>
      </w:r>
      <w:bookmarkStart w:id="5" w:name="References"/>
      <w:r w:rsidRPr="007A66E1">
        <w:t>(2025/2083(INI))</w:t>
      </w:r>
      <w:bookmarkEnd w:id="5"/>
    </w:p>
    <w:p w14:paraId="5BE5AFDA" w14:textId="77777777" w:rsidR="00FD6134" w:rsidRPr="007A66E1" w:rsidRDefault="00FD6134" w:rsidP="00FD6134">
      <w:pPr>
        <w:pStyle w:val="EPComma"/>
      </w:pPr>
      <w:r w:rsidRPr="007A66E1">
        <w:rPr>
          <w:i/>
        </w:rPr>
        <w:t>Parlament Europejski</w:t>
      </w:r>
      <w:r w:rsidRPr="007A66E1">
        <w:t>,</w:t>
      </w:r>
    </w:p>
    <w:p w14:paraId="15981EB5" w14:textId="77777777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Traktat o Unii Europejskiej (TUE), a w szczególności jego tytuł V w sprawie działań zewnętrznych UE,</w:t>
      </w:r>
    </w:p>
    <w:p w14:paraId="07DEB76F" w14:textId="77777777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art. 3 i 21 TUE oraz art. 208 Traktatu o funkcjonowaniu Unii Europejskiej (TFUE),</w:t>
      </w:r>
    </w:p>
    <w:p w14:paraId="062FE137" w14:textId="42785DED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 xml:space="preserve">uwzględniając rezolucję z </w:t>
      </w:r>
      <w:r w:rsidR="00E505C4">
        <w:t xml:space="preserve">dnia </w:t>
      </w:r>
      <w:r w:rsidRPr="007A66E1">
        <w:t>2 kwietnia 2025 r. w sprawie realizacji wspólnej polityki zagranicznej i bezpieczeństwa – sprawozdanie roczne za rok 2024</w:t>
      </w:r>
      <w:r w:rsidRPr="007A66E1">
        <w:rPr>
          <w:rStyle w:val="FootnoteReference"/>
        </w:rPr>
        <w:footnoteReference w:id="1"/>
      </w:r>
      <w:r w:rsidRPr="007A66E1">
        <w:t>,</w:t>
      </w:r>
    </w:p>
    <w:p w14:paraId="75DF9DD2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–</w:t>
      </w:r>
      <w:r w:rsidRPr="007A66E1">
        <w:tab/>
        <w:t xml:space="preserve">uwzględniając rozporządzenie Parlamentu Europejskiego i Rady (UE) 2021/947 z dnia 9 czerwca 2021 r. ustanawiające Instrument Sąsiedztwa oraz Współpracy Międzynarodowej i Rozwojowej – „Globalny wymiar Europy”, zmieniające i uchylające decyzję Parlamentu Europejskiego i Rady nr 466/2014/UE oraz uchylające rozporządzenie Parlamentu Europejskiego i Rady (UE) 2017/1601 i rozporządzenie Rady (WE, </w:t>
      </w:r>
      <w:proofErr w:type="spellStart"/>
      <w:r w:rsidRPr="007A66E1">
        <w:t>Euratom</w:t>
      </w:r>
      <w:proofErr w:type="spellEnd"/>
      <w:r w:rsidRPr="007A66E1">
        <w:t>) nr 480/2009</w:t>
      </w:r>
      <w:r w:rsidRPr="007A66E1">
        <w:rPr>
          <w:rStyle w:val="FootnoteReference"/>
          <w:bCs/>
          <w:iCs/>
        </w:rPr>
        <w:footnoteReference w:id="2"/>
      </w:r>
      <w:r w:rsidRPr="007A66E1">
        <w:t>,</w:t>
      </w:r>
    </w:p>
    <w:p w14:paraId="1EB66CE3" w14:textId="73332344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 xml:space="preserve">uwzględniając swoją rezolucję z </w:t>
      </w:r>
      <w:r w:rsidR="00E505C4">
        <w:t xml:space="preserve">dnia </w:t>
      </w:r>
      <w:r w:rsidRPr="007A66E1">
        <w:t>14 marca 2023 r. w sprawie spójności polityki na rzecz rozwoju</w:t>
      </w:r>
      <w:r w:rsidRPr="007A66E1">
        <w:rPr>
          <w:rStyle w:val="FootnoteReference"/>
        </w:rPr>
        <w:footnoteReference w:id="3"/>
      </w:r>
      <w:r w:rsidRPr="007A66E1">
        <w:t>,</w:t>
      </w:r>
    </w:p>
    <w:p w14:paraId="577C1402" w14:textId="77777777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Agendę na rzecz zrównoważonego rozwoju 2030 i cele zrównoważonego rozwoju Organizacji Narodów Zjednoczonych przyjęte we wrześniu 2015 r.,</w:t>
      </w:r>
    </w:p>
    <w:p w14:paraId="4E187EDF" w14:textId="5889D6E0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 xml:space="preserve">uwzględniając swoje rezolucje w sprawie Wenezueli, w szczególności rezolucję z </w:t>
      </w:r>
      <w:r w:rsidR="00E505C4">
        <w:t xml:space="preserve">dnia </w:t>
      </w:r>
      <w:r w:rsidRPr="007A66E1">
        <w:t xml:space="preserve">21 stycznia 2025 r. w sprawie sytuacji w Wenezueli po uzurpowaniu stanowiska </w:t>
      </w:r>
      <w:r w:rsidRPr="007A66E1">
        <w:lastRenderedPageBreak/>
        <w:t>prezydenta 10 stycznia 2025 r.</w:t>
      </w:r>
      <w:r w:rsidRPr="007A66E1">
        <w:rPr>
          <w:rStyle w:val="FootnoteReference"/>
        </w:rPr>
        <w:footnoteReference w:id="4"/>
      </w:r>
      <w:r w:rsidRPr="007A66E1">
        <w:t xml:space="preserve"> oraz rezolucję z </w:t>
      </w:r>
      <w:r w:rsidR="00E505C4">
        <w:t xml:space="preserve">dnia </w:t>
      </w:r>
      <w:r w:rsidRPr="007A66E1">
        <w:t>19 września 2024 r. w sprawie sytuacji w Wenezueli</w:t>
      </w:r>
      <w:r w:rsidRPr="007A66E1">
        <w:rPr>
          <w:rStyle w:val="FootnoteReference"/>
        </w:rPr>
        <w:footnoteReference w:id="5"/>
      </w:r>
      <w:r w:rsidRPr="007A66E1">
        <w:t xml:space="preserve">, rezolucje w sprawie Kuby, w szczególności rezolucję z </w:t>
      </w:r>
      <w:r w:rsidR="00E505C4">
        <w:t xml:space="preserve">dnia </w:t>
      </w:r>
      <w:r w:rsidRPr="007A66E1">
        <w:t>12 lipca 2023 r. w sprawie stanu realizacji umowy o dialogu politycznym i współpracy między UE a Kubą w świetle niedawnej wizyty wysokiego przedstawiciela na tej wyspie</w:t>
      </w:r>
      <w:r w:rsidRPr="007A66E1">
        <w:rPr>
          <w:rStyle w:val="FootnoteReference"/>
        </w:rPr>
        <w:footnoteReference w:id="6"/>
      </w:r>
      <w:r w:rsidRPr="007A66E1">
        <w:t xml:space="preserve"> oraz rezolucję z </w:t>
      </w:r>
      <w:r w:rsidR="00E505C4">
        <w:t xml:space="preserve">dnia </w:t>
      </w:r>
      <w:r w:rsidRPr="007A66E1">
        <w:t xml:space="preserve">19 września 2024 r. dotyczącą sprawy </w:t>
      </w:r>
      <w:proofErr w:type="spellStart"/>
      <w:r w:rsidRPr="007A66E1">
        <w:t>Joségo</w:t>
      </w:r>
      <w:proofErr w:type="spellEnd"/>
      <w:r w:rsidRPr="007A66E1">
        <w:t xml:space="preserve"> Daniela Ferrera </w:t>
      </w:r>
      <w:proofErr w:type="spellStart"/>
      <w:r w:rsidRPr="007A66E1">
        <w:t>Garcíi</w:t>
      </w:r>
      <w:proofErr w:type="spellEnd"/>
      <w:r w:rsidRPr="007A66E1">
        <w:t xml:space="preserve"> na Kubie</w:t>
      </w:r>
      <w:r w:rsidRPr="007A66E1">
        <w:rPr>
          <w:rStyle w:val="FootnoteReference"/>
        </w:rPr>
        <w:footnoteReference w:id="7"/>
      </w:r>
      <w:r w:rsidRPr="007A66E1">
        <w:t xml:space="preserve">, a także rezolucje w sprawie Nikaragui, w szczególności rezolucję z </w:t>
      </w:r>
      <w:r w:rsidR="00E505C4">
        <w:t xml:space="preserve">dnia </w:t>
      </w:r>
      <w:r w:rsidRPr="007A66E1">
        <w:t>13 lutego 2025 r. w sprawie represji, jakich dopuszcza się reżim Ortegi i Murillo w Nikaragui, wymierzonych zwłaszcza w obrońców praw człowieka, przeciwników politycznych i wspólnoty religijne</w:t>
      </w:r>
      <w:r w:rsidRPr="007A66E1">
        <w:rPr>
          <w:rStyle w:val="FootnoteReference"/>
        </w:rPr>
        <w:footnoteReference w:id="8"/>
      </w:r>
      <w:r w:rsidRPr="007A66E1">
        <w:t>,</w:t>
      </w:r>
    </w:p>
    <w:p w14:paraId="1CC80B4E" w14:textId="6454367F" w:rsidR="00FD6134" w:rsidRPr="007A66E1" w:rsidRDefault="00FD6134" w:rsidP="00FD6134">
      <w:pPr>
        <w:pStyle w:val="NormalHanging12a"/>
        <w:rPr>
          <w:bCs/>
          <w:iCs/>
        </w:rPr>
      </w:pPr>
      <w:r w:rsidRPr="007A66E1">
        <w:t>–</w:t>
      </w:r>
      <w:r w:rsidRPr="007A66E1">
        <w:tab/>
        <w:t xml:space="preserve">uwzględniając trzydzieści dwie rezolucje przyjęte przez Zgromadzenie Ogólne ONZ w latach 1992–2024, w tym rezolucję A/RES/79/7 z </w:t>
      </w:r>
      <w:r w:rsidR="00E505C4">
        <w:t xml:space="preserve">dnia </w:t>
      </w:r>
      <w:r w:rsidRPr="007A66E1">
        <w:t>1 listopada 2024 r. w sprawie konieczności zniesienia embarga gospodarczego, handlowego i finansowego nałożonego przez Stany Zjednoczone Ameryki na Kubę,</w:t>
      </w:r>
    </w:p>
    <w:p w14:paraId="41665E17" w14:textId="7F94FC12" w:rsidR="00FD6134" w:rsidRPr="007A66E1" w:rsidRDefault="00FD6134" w:rsidP="00FD6134">
      <w:pPr>
        <w:pStyle w:val="NormalHanging12a"/>
        <w:rPr>
          <w:bCs/>
          <w:iCs/>
        </w:rPr>
      </w:pPr>
      <w:r w:rsidRPr="007A66E1">
        <w:t>–</w:t>
      </w:r>
      <w:r w:rsidRPr="007A66E1">
        <w:tab/>
        <w:t xml:space="preserve">uwzględniając rezolucje Zgromadzenia Ogólnego ONZ w sprawie sytuacji na Haiti, w szczególności rezolucję Rady Praw Człowieka 58/32 z </w:t>
      </w:r>
      <w:r w:rsidR="00E505C4">
        <w:t xml:space="preserve">dnia </w:t>
      </w:r>
      <w:r w:rsidRPr="007A66E1">
        <w:t>4 kwietnia 2025 r. w sprawie pomocy technicznej i budowania zdolności w celu poprawy sytuacji w zakresie praw człowieka na Haiti w związku z wnioskiem władz Haiti o skoordynowane i ukierunkowane działania międzynarodowe,</w:t>
      </w:r>
    </w:p>
    <w:p w14:paraId="0F347F63" w14:textId="6806F7C4" w:rsidR="00FD6134" w:rsidRPr="007A66E1" w:rsidRDefault="00FD6134" w:rsidP="00FD6134">
      <w:pPr>
        <w:pStyle w:val="NormalHanging12a"/>
        <w:rPr>
          <w:bCs/>
          <w:iCs/>
        </w:rPr>
      </w:pPr>
      <w:r w:rsidRPr="007A66E1">
        <w:t>–</w:t>
      </w:r>
      <w:r w:rsidRPr="007A66E1">
        <w:tab/>
        <w:t>uwzględniając konkluzje Rady z</w:t>
      </w:r>
      <w:r w:rsidR="00E505C4">
        <w:t xml:space="preserve"> dnia</w:t>
      </w:r>
      <w:r w:rsidRPr="007A66E1">
        <w:t xml:space="preserve"> 26 maja 2025 r. pt. „Ścieżki postępu – maksymalne zwiększenie oddziaływania z myślą o zrównoważonym rozwoju i globalnym dobrobycie”, zatwierdzone na 4099. posiedzeniu, które odbyło się przed 4. Międzynarodową Konferencją w sprawie Finansowania Rozwoju zaplanowaną na 30 czerwca – 3 lipca 2025 r. w Sewilli,</w:t>
      </w:r>
    </w:p>
    <w:p w14:paraId="6C07A312" w14:textId="3499FE8C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 xml:space="preserve">uwzględniając wspólny komunikat Komisji i wysokiego przedstawiciela Unii Europejskiej do spraw zagranicznych i polityki bezpieczeństwa z </w:t>
      </w:r>
      <w:r w:rsidR="00E505C4">
        <w:t xml:space="preserve">dnia </w:t>
      </w:r>
      <w:r w:rsidRPr="007A66E1">
        <w:t>7 czerwca 2023 r. pt. „Nowy program na rzecz stosunków między UE a Ameryką Łacińską i Karaibami” (</w:t>
      </w:r>
      <w:proofErr w:type="gramStart"/>
      <w:r w:rsidRPr="007A66E1">
        <w:t>JOIN(</w:t>
      </w:r>
      <w:proofErr w:type="gramEnd"/>
      <w:r w:rsidRPr="007A66E1">
        <w:t>2023)0017),</w:t>
      </w:r>
    </w:p>
    <w:p w14:paraId="7C07ECE3" w14:textId="556753B9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wspólny komunikat Komisji i wysokiego przedstawiciela Unii do spraw zagranicznych i polityki bezpieczeństwa z </w:t>
      </w:r>
      <w:r w:rsidR="00E505C4">
        <w:t xml:space="preserve">dnia </w:t>
      </w:r>
      <w:r w:rsidRPr="007A66E1">
        <w:t>1 grudnia 2021 r. pt. „Strategia Global Gateway” (</w:t>
      </w:r>
      <w:proofErr w:type="gramStart"/>
      <w:r w:rsidRPr="007A66E1">
        <w:t>JOIN(</w:t>
      </w:r>
      <w:proofErr w:type="gramEnd"/>
      <w:r w:rsidRPr="007A66E1">
        <w:t>2021)0030),</w:t>
      </w:r>
    </w:p>
    <w:p w14:paraId="5717AA56" w14:textId="5F46DA46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 xml:space="preserve">uwzględniając rezolucję Zgromadzenia Ogólnego Narodów Zjednoczonych ES-11/1 z </w:t>
      </w:r>
      <w:r w:rsidR="00E505C4">
        <w:t xml:space="preserve">dnia </w:t>
      </w:r>
      <w:r w:rsidRPr="007A66E1">
        <w:t>2 marca 2022 r. pt. „Napaść na Ukrainę”,</w:t>
      </w:r>
    </w:p>
    <w:p w14:paraId="41EE9868" w14:textId="77777777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Deklarację praw ludów tubylczych przyjętą przez Zgromadzenie Ogólne ONZ 13 września 2007 r.,</w:t>
      </w:r>
    </w:p>
    <w:p w14:paraId="7959AE96" w14:textId="4EAB7DC0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 xml:space="preserve">uwzględniając wspólny komunikat Komisji i wysokiego przedstawiciela Unii do spraw zagranicznych i polityki bezpieczeństwa z </w:t>
      </w:r>
      <w:r w:rsidR="00E505C4">
        <w:t xml:space="preserve">dnia </w:t>
      </w:r>
      <w:r w:rsidRPr="007A66E1">
        <w:t xml:space="preserve">25 listopada 2020 r. pt. „Trzeci unijny plan działania w sprawie równości płci (GAP III) – ambitny program na rzecz równouprawnienia płci i wzmocnienia pozycji kobiet w działaniach zewnętrznych UE” </w:t>
      </w:r>
      <w:r w:rsidRPr="007A66E1">
        <w:lastRenderedPageBreak/>
        <w:t>(</w:t>
      </w:r>
      <w:proofErr w:type="gramStart"/>
      <w:r w:rsidRPr="007A66E1">
        <w:t>JOIN(</w:t>
      </w:r>
      <w:proofErr w:type="gramEnd"/>
      <w:r w:rsidRPr="007A66E1">
        <w:t>2020)0017),</w:t>
      </w:r>
    </w:p>
    <w:p w14:paraId="008BA469" w14:textId="77777777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Deklarację ONZ o likwidacji przemocy wobec kobiet, przyjętą 20 grudnia 1993 r.,</w:t>
      </w:r>
    </w:p>
    <w:p w14:paraId="082F03A0" w14:textId="723D4C0E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 xml:space="preserve">uwzględniając podpisaną przez UE Konwencję Rady Europy o zapobieganiu i zwalczaniu przemocy wobec kobiet i przemocy domowej z </w:t>
      </w:r>
      <w:r w:rsidR="00E505C4">
        <w:t xml:space="preserve">dnia </w:t>
      </w:r>
      <w:r w:rsidRPr="007A66E1">
        <w:t>11 maja 2011 r. (konwencja stambulska),</w:t>
      </w:r>
    </w:p>
    <w:p w14:paraId="0EAABC70" w14:textId="77777777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Ramową konwencję ONZ w sprawie zmian klimatu (UNFCCC) i porozumienie paryskie przyjęte podczas 21. Konferencji Stron Ramowej Konwencji Narodów Zjednoczonych w sprawie Zmian Klimatu w dniu 12 grudnia 2015 r.,</w:t>
      </w:r>
    </w:p>
    <w:p w14:paraId="470BD337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–</w:t>
      </w:r>
      <w:r w:rsidRPr="007A66E1">
        <w:tab/>
        <w:t>uwzględniając Pakt na rzecz przyszłości uzgodniony na Szczycie Przyszłości ONZ 22 września 2024 r.,</w:t>
      </w:r>
    </w:p>
    <w:p w14:paraId="2BB2C1DB" w14:textId="77777777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deklarację ze szczytu UE i Wspólnoty Państw Ameryki Łacińskiej i Karaibów (CELAC), który odbył się w Brukseli w dniach 17–18 lipca 2023 r.,</w:t>
      </w:r>
    </w:p>
    <w:p w14:paraId="03C3BAB1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–</w:t>
      </w:r>
      <w:r w:rsidRPr="007A66E1">
        <w:tab/>
        <w:t>uwzględniając program inwestycyjny UE oraz Ameryki Łacińskiej i Karaibów w ramach strategii Global Gateway, ogłoszony podczas szczytu UE–CELAC w Brukseli w lipcu 2023 r.,</w:t>
      </w:r>
    </w:p>
    <w:p w14:paraId="06DDBA66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–</w:t>
      </w:r>
      <w:r w:rsidRPr="007A66E1">
        <w:tab/>
        <w:t xml:space="preserve">uwzględniając wspólną deklarację ministrów spraw wewnętrznych lub bezpieczeństwa państw członkowskich Unii Europejskiej oraz ministrów odpowiedzialnych za kwestie bezpieczeństwa państw będących członkami Komitetu Ameryki Łacińskiej ds. Bezpieczeństwa Wewnętrznego, przyjętą 5 marca 2025 r., </w:t>
      </w:r>
    </w:p>
    <w:p w14:paraId="034480F9" w14:textId="784BA1E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–</w:t>
      </w:r>
      <w:r w:rsidRPr="007A66E1">
        <w:tab/>
        <w:t xml:space="preserve">uwzględniając wspólne oświadczenie Rady i przedstawicieli rządów państw członkowskich zebranych w Radzie, Parlamentu Europejskiego i Komisji z </w:t>
      </w:r>
      <w:r w:rsidR="00E505C4">
        <w:t xml:space="preserve">dnia </w:t>
      </w:r>
      <w:r w:rsidRPr="007A66E1">
        <w:t>30 czerwca 2017 r. pt. „Nowy europejski konsensus w sprawie rozwoju – nasz świat, nasza godność i nasza przyszłość”</w:t>
      </w:r>
      <w:r w:rsidRPr="007A66E1">
        <w:rPr>
          <w:rStyle w:val="FootnoteReference"/>
          <w:bCs/>
          <w:iCs/>
        </w:rPr>
        <w:footnoteReference w:id="9"/>
      </w:r>
      <w:r w:rsidRPr="007A66E1">
        <w:t>,</w:t>
      </w:r>
    </w:p>
    <w:p w14:paraId="7614807C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–</w:t>
      </w:r>
      <w:r w:rsidRPr="007A66E1">
        <w:tab/>
        <w:t>uwzględniając Europejski raport narkotykowy 2025 opublikowany przez Agencję Unii Europejskiej ds. Narkotyków 5 czerwca 2025 r.,</w:t>
      </w:r>
    </w:p>
    <w:p w14:paraId="0B91FF73" w14:textId="6A5CCA1B" w:rsidR="00FD6134" w:rsidRPr="007A66E1" w:rsidRDefault="00FD6134" w:rsidP="00FD6134">
      <w:pPr>
        <w:pStyle w:val="NormalHanging12a"/>
        <w:rPr>
          <w:bCs/>
          <w:iCs/>
        </w:rPr>
      </w:pPr>
      <w:r w:rsidRPr="007A66E1">
        <w:t>–</w:t>
      </w:r>
      <w:r w:rsidRPr="007A66E1">
        <w:tab/>
        <w:t xml:space="preserve">uwzględniając Porozumienie regionalne o dostępie do informacji, udziale społeczeństwa i o dostępie do wymiaru sprawiedliwości w sprawach dotyczących środowiska (porozumienie z </w:t>
      </w:r>
      <w:proofErr w:type="spellStart"/>
      <w:r w:rsidRPr="007A66E1">
        <w:t>Escazú</w:t>
      </w:r>
      <w:proofErr w:type="spellEnd"/>
      <w:r w:rsidRPr="007A66E1">
        <w:t xml:space="preserve">) z </w:t>
      </w:r>
      <w:r w:rsidR="00E505C4">
        <w:t xml:space="preserve">dnia </w:t>
      </w:r>
      <w:r w:rsidRPr="007A66E1">
        <w:t>4 marca 2018 r.,</w:t>
      </w:r>
    </w:p>
    <w:p w14:paraId="7B01A6A1" w14:textId="77777777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opinię przedstawioną przez Komisję Rozwoju,</w:t>
      </w:r>
    </w:p>
    <w:p w14:paraId="0962761D" w14:textId="77777777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art. 55 Regulaminu,</w:t>
      </w:r>
    </w:p>
    <w:p w14:paraId="2159E152" w14:textId="77777777" w:rsidR="00FD6134" w:rsidRPr="007A66E1" w:rsidRDefault="00FD6134" w:rsidP="00FD6134">
      <w:pPr>
        <w:pStyle w:val="NormalHanging12a"/>
      </w:pPr>
      <w:r w:rsidRPr="007A66E1">
        <w:t>–</w:t>
      </w:r>
      <w:r w:rsidRPr="007A66E1">
        <w:tab/>
        <w:t>uwzględniając sprawozdanie Komisji Spraw Zagranicznych (A10-0171/2025),</w:t>
      </w:r>
    </w:p>
    <w:p w14:paraId="1025D5C4" w14:textId="77777777" w:rsidR="00FD6134" w:rsidRPr="007A66E1" w:rsidRDefault="00FD6134" w:rsidP="00FD6134">
      <w:pPr>
        <w:pStyle w:val="NormalHanging12a"/>
      </w:pPr>
      <w:r w:rsidRPr="007A66E1">
        <w:t>A.</w:t>
      </w:r>
      <w:r w:rsidRPr="007A66E1">
        <w:tab/>
        <w:t xml:space="preserve">mając na uwadze, że Unię Europejską oraz narody Ameryki Łacińskiej i Karaibów od dawna łączą więzi historyczne, religijne, kulturowe i gospodarcze, dzięki czemu powstał naturalny sojusz oparty na demokracji, prawach człowieka i wielostronnej współpracy; mając na uwadze, że stosunki te wzmacniają głębokie więzi </w:t>
      </w:r>
      <w:r w:rsidRPr="007A66E1">
        <w:lastRenderedPageBreak/>
        <w:t>międzyludzkie, ponieważ wielu obywateli Ameryki Łacińskiej i Karaibów posiada również obywatelstwo UE i odwrotnie; mając na uwadze, że sojusz między krajami tego regionu a UE powinien opierać się na demokracji, prawach człowieka i wielostronnej współpracy;</w:t>
      </w:r>
    </w:p>
    <w:p w14:paraId="168684EA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B.</w:t>
      </w:r>
      <w:r w:rsidRPr="007A66E1">
        <w:tab/>
        <w:t xml:space="preserve">mając na uwadze, że porządek międzynarodowy przechodzi głęboką transformację, w której logika współpracy, od dziesięcioleci kształtująca stosunki globalne, zastępowana jest ostrą konkurencją strategiczną, a prawo silniejszego grozi zastąpieniem prawa międzynarodowego jako zasady przewodniej; mając na uwadze, że w ciągu zaledwie kilku lat międzynarodowym systemem, który gwarantował pewną stabilność po II wojnie światowej, wstrząsnęły rosnące napięcia, impulsy nacjonalistyczne i dynamika konfrontacji, co grozi załamaniem równowagi na świecie; mając na uwadze, że UE, która jest jednym z najbardziej zagorzałych architektów i obrońców wielostronnego systemu opartego na zasadach, boryka się obecnie z wrogim i trudnym otoczeniem; mając na uwadze, że napięcia strukturalne między Stanami Zjednoczonymi a Chinami, kwestionowanie wartości demokratycznych w różnych regionach oraz pokusa zwrócenia się ku bipolarności, która ogranicza złożoność świata do starcia mocarstw, wymagają zdecydowanej i strategicznej reakcji ze strony Europy; mając na uwadze, że rzadko stosunki regionalne mają taki potencjał i oferują Europie tak wiele możliwości jak stosunki z Ameryką Łacińską i Karaibami, zwłaszcza jeśli chodzi o sprostanie wspólnym wyzwaniom, takim jak zabezpieczenie surowców, transformacja energetyczna, zarządzanie migracją oraz zwalczanie przestępczości zorganizowanej i handlu narkotykami, aby kształtować przyszłość, która będzie się charakteryzować wolnością, bezpieczeństwem i dobrobytem; </w:t>
      </w:r>
    </w:p>
    <w:p w14:paraId="41A5CE23" w14:textId="77777777" w:rsidR="00FD6134" w:rsidRPr="007A66E1" w:rsidRDefault="00FD6134" w:rsidP="00FD6134">
      <w:pPr>
        <w:pStyle w:val="NormalHanging12a"/>
      </w:pPr>
      <w:r w:rsidRPr="007A66E1">
        <w:t>C.</w:t>
      </w:r>
      <w:r w:rsidRPr="007A66E1">
        <w:tab/>
        <w:t>mając na uwadze, że UE i partnerzy z Ameryki Łacińskiej i Karaibów są zobowiązani do budowania współpracy w zakresie stabilności, niezawodności, współwłasności, współodpowiedzialności oraz dialogu międzyregionalnego, który odzwierciedla różnorodność i asymetrię obu regionów oraz przyjmuje za podstawę ludzi, spójność społeczną i rozwój sprzyjający włączeniu społecznemu;</w:t>
      </w:r>
    </w:p>
    <w:p w14:paraId="10E1F959" w14:textId="77777777" w:rsidR="00FD6134" w:rsidRPr="007A66E1" w:rsidRDefault="00FD6134" w:rsidP="00FD6134">
      <w:pPr>
        <w:pStyle w:val="NormalHanging12a"/>
      </w:pPr>
      <w:r w:rsidRPr="007A66E1">
        <w:t>D.</w:t>
      </w:r>
      <w:r w:rsidRPr="007A66E1">
        <w:tab/>
        <w:t xml:space="preserve">mając na uwadze, że współpracę między obydwoma regionami dodatkowo wzmacniają silne stosunki dwustronne i głębsze relacje z podmiotami międzyregionalnymi i </w:t>
      </w:r>
      <w:proofErr w:type="spellStart"/>
      <w:r w:rsidRPr="007A66E1">
        <w:t>subregionalnymi</w:t>
      </w:r>
      <w:proofErr w:type="spellEnd"/>
      <w:r w:rsidRPr="007A66E1">
        <w:t xml:space="preserve">, takimi jak Wspólnota Państw Ameryki Łacińskiej i Karaibów, Organizacja Państw Amerykańskich, </w:t>
      </w:r>
      <w:proofErr w:type="spellStart"/>
      <w:r w:rsidRPr="007A66E1">
        <w:t>Mercosur</w:t>
      </w:r>
      <w:proofErr w:type="spellEnd"/>
      <w:r w:rsidRPr="007A66E1">
        <w:t xml:space="preserve">, Wspólnota Andyjska, Wspólnota Karaibska, Karaibskie Forum Państw AKP i Sojusz Pacyfiku; mając na uwadze, że strategiczne partnerstwo między UE a Ameryką Łacińską i Karaibami sięgają 1999 r., kiedy to w Rio de </w:t>
      </w:r>
      <w:proofErr w:type="spellStart"/>
      <w:r w:rsidRPr="007A66E1">
        <w:t>Janeiro</w:t>
      </w:r>
      <w:proofErr w:type="spellEnd"/>
      <w:r w:rsidRPr="007A66E1">
        <w:t xml:space="preserve"> odbył się pierwszy międzyregionalny szczyt UE oraz Ameryki Łacińskiej i Karaibów;</w:t>
      </w:r>
    </w:p>
    <w:p w14:paraId="48277CA2" w14:textId="62F16431" w:rsidR="00FD6134" w:rsidRPr="007A66E1" w:rsidRDefault="00FD6134" w:rsidP="00FD6134">
      <w:pPr>
        <w:pStyle w:val="NormalHanging12a"/>
      </w:pPr>
      <w:r w:rsidRPr="007A66E1">
        <w:t>E.</w:t>
      </w:r>
      <w:r w:rsidRPr="007A66E1">
        <w:tab/>
        <w:t xml:space="preserve">mając na uwadze, że łączna liczba ludności w obu regionach wynosi ponad miliard osób; mając na uwadze, że według danych za rok 2023 dwustronny handel towarami i usługami wynosi 395 mld EUR, co stanowi wzrost o </w:t>
      </w:r>
      <w:r w:rsidR="00860E5A">
        <w:t>45</w:t>
      </w:r>
      <w:r w:rsidRPr="007A66E1">
        <w:t xml:space="preserve">% od 2013 r., a bezpośrednie inwestycje UE w Ameryce Łacińskiej do 2022 r. wyniosły łącznie ponad 741 mld EUR; mając na uwadze, że UE i kraje Ameryki Łacińskiej wspólnie zobowiązują się do osiągnięcia celów zrównoważonego rozwoju ONZ poprzez promowanie sprawiedliwości społecznej, równości i zrównoważonego rozwoju; mając na uwadze, że oba regiony w dalszym ciągu stoją przed poważnymi wyzwaniami, takimi jak m.in. nierówność społeczna i nierówność płci, bezrobocie i ubóstwo; mając na uwadze, że dane z Programu Narodów Zjednoczonych ds. Rozwoju (UNDP) podkreślają pilną potrzebę większych inwestycji na rzecz włączenia społecznego, zważywszy że </w:t>
      </w:r>
      <w:r w:rsidRPr="007A66E1">
        <w:lastRenderedPageBreak/>
        <w:t>Ameryka Łacińska jest jednym z regionów, w których występują największe nierówności na świecie, a 58% osób z obszarów wiejskich, a są to zwłaszcza ludy tubylcze, żyje poniżej granicy ubóstwa w porównaniu z 26% na obszarach miejskich; mając na uwadze, że w 2023 r. 41 mln osób w Ameryce Łacińskiej doświadczyło głodu, a 187,6 mln doświadczyło umiarkowanego lub poważnego braku bezpieczeństwa żywnościowego; mając na uwadze, że pogłębiające się nierówności społeczne i gospodarcze zarówno w Europie, jak i w Ameryce Łacińskiej podsycają niezadowolenie społeczne oraz prowadzą do fragmentacji społecznej i erozji zaufania do instytucji demokratycznych, tworząc podatny grunt dla ruchów populistycznych i autorytarnych, które wykorzystują złe nastroje, polaryzują społeczeństwa i podważają praworządność, normy demokratyczne i pluralistyczną debatę;</w:t>
      </w:r>
    </w:p>
    <w:p w14:paraId="2DE5409F" w14:textId="77777777" w:rsidR="00FD6134" w:rsidRPr="007A66E1" w:rsidRDefault="00FD6134" w:rsidP="00FD6134">
      <w:pPr>
        <w:pStyle w:val="NormalHanging12a"/>
      </w:pPr>
      <w:r w:rsidRPr="007A66E1">
        <w:t>F.</w:t>
      </w:r>
      <w:r w:rsidRPr="007A66E1">
        <w:tab/>
        <w:t>mając na uwadze, że na UE oraz państwa Ameryki Łacińskiej i Karaibów przypada razem jedna trzecia całej populacji członków Organizacji Narodów Zjednoczonych i ok. 21% globalnego PKB;</w:t>
      </w:r>
    </w:p>
    <w:p w14:paraId="4EECF192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G.</w:t>
      </w:r>
      <w:r w:rsidRPr="007A66E1">
        <w:tab/>
        <w:t>mając na uwadze, że wysoki poziom długu publicznego w połączeniu z rosnącymi kosztami jego obsługi, w szczególności płatnościami z tytułu odsetek, oraz wysokim poziomem nieformalnego zatrudnienia w regionie w 2024 r. nadal stanowi wyzwanie dla ochrony socjalnej pracowników i powoduje dalsze ograniczenia fiskalne, które stanowią jedną z głównych przeszkód dla zrównoważonego rozwoju w regionie, co ma trwały wpływ na wzrost gospodarczy, inwestycje, ubóstwo i zjawisko nierówności;</w:t>
      </w:r>
    </w:p>
    <w:p w14:paraId="72FC57C3" w14:textId="77777777" w:rsidR="00FD6134" w:rsidRPr="007A66E1" w:rsidRDefault="00FD6134" w:rsidP="00FD6134">
      <w:pPr>
        <w:pStyle w:val="NormalHanging12a"/>
      </w:pPr>
      <w:r w:rsidRPr="007A66E1">
        <w:t>H.</w:t>
      </w:r>
      <w:r w:rsidRPr="007A66E1">
        <w:tab/>
        <w:t>mając na uwadze, że należy pilnie zająć się takimi nierównościami, aby promować bardziej sprawiedliwe i stabilne demokracje, marginalizować populizm i ekstremizm oraz stworzyć podstawy do trwałego ożywienia gospodarczego, tworzenia wysokiej jakości miejsc pracy i wspólnego dobrobytu, a jednocześnie wyeliminować podstawowe przyczyny migracji i przymusowych przesiedleń w regionie, które to zjawiska są potęgowane przez nasilenie się przemocy, brak bezpieczeństwa, bezkarność i łamanie praw człowieka; mając na uwadze, że kluczowe znaczenie ma umożliwienie rozwoju zdrowej przestrzeni obywatelskiej, która chroni organizacje praw człowieka i obrońców środowiska;</w:t>
      </w:r>
    </w:p>
    <w:p w14:paraId="55BFB8FE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I.</w:t>
      </w:r>
      <w:r w:rsidRPr="007A66E1">
        <w:tab/>
        <w:t xml:space="preserve">mając na uwadze, że 74% krajów Ameryki Łacińskiej i Karaibów jest w dużym stopniu narażonych na ekstremalne zjawiska pogodowe i stoi w obliczu poważnych wyzwań związanych z klimatem, takich jak wpływ El </w:t>
      </w:r>
      <w:proofErr w:type="spellStart"/>
      <w:r w:rsidRPr="007A66E1">
        <w:t>Niño</w:t>
      </w:r>
      <w:proofErr w:type="spellEnd"/>
      <w:r w:rsidRPr="007A66E1">
        <w:t xml:space="preserve"> na dostawy żywności; mając na uwadze, że pod względem narażenia na klęski żywiołowe region ten zajmuje drugie miejsce na świecie, a w ciągu ostatnich trzech dziesięcioleci ponad 190 mln ludzi ucierpiało tam z powodu klęsk żywiołowych, w szczególności kobiety i najsłabsze grupy społeczne; mając na uwadze, że zmiana klimatu stanowi problem w szczególności dla małych rozwijających się państw wyspiarskich w regionie Karaibów;</w:t>
      </w:r>
    </w:p>
    <w:p w14:paraId="3728CA81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J.</w:t>
      </w:r>
      <w:r w:rsidRPr="007A66E1">
        <w:tab/>
        <w:t>mając na uwadze, że w krajach Ameryki Łacińskiej i Karaibów znajduje się prawie 35% wszystkich obszarów leśnych na świecie, 40% światowej różnorodności biologicznej i około 50% gatunków lądowych, co ma zasadnicze znaczenie w walce ze zmianą klimatu; mając na uwadze, że tradycyjna wiedza ludów tubylczych mogłaby odegrać kluczową rolę w ochronie tych lasów i gatunków;</w:t>
      </w:r>
    </w:p>
    <w:p w14:paraId="32ED95B9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K.</w:t>
      </w:r>
      <w:r w:rsidRPr="007A66E1">
        <w:tab/>
        <w:t xml:space="preserve">mając na uwadze, że zarówno UE, jak i Ameryka Łacińska i Karaiby zobowiązały się do osiągnięcia celów porozumienia paryskiego; mając na uwadze, że podstawowe surowce (produkty rolne i zasoby naturalne) stanowią około 50% całego eksportu </w:t>
      </w:r>
      <w:r w:rsidRPr="007A66E1">
        <w:lastRenderedPageBreak/>
        <w:t>towarowego w krajach Ameryki Łacińskiej i Karaibów; mając na uwadze, że Ameryka Łacińska i Karaiby dysponują dużymi rezerwami surowców niezbędnych do transformacji ekologicznej i energetycznej naszych gospodarek; mając na uwadze, że zapotrzebowanie na te surowce i związana z nimi współpraca w ramach projektów Global Gateway powinna opierać się na wzajemnie korzystnych partnerstwach, które m.in. generują miejsca pracy i inwestycje, są źródłem wartości dodanej dla regionu, a jednocześnie stają na wysokości wyzwania, jakim jest rosnąca presja na różnorodność i bezpieczeństwo żywnościowe; mając na uwadze, że Ameryka Łacińska i Karaiby borykają się z dużą luką inwestycyjną, aby przeprowadzić sprawiedliwą transformację ekologiczną i cyfrową;</w:t>
      </w:r>
    </w:p>
    <w:p w14:paraId="5F95B265" w14:textId="77777777" w:rsidR="00FD6134" w:rsidRPr="007A66E1" w:rsidRDefault="00FD6134" w:rsidP="00FD6134">
      <w:pPr>
        <w:pStyle w:val="NormalHanging12a"/>
        <w:rPr>
          <w:b/>
          <w:iCs/>
        </w:rPr>
      </w:pPr>
      <w:r w:rsidRPr="007A66E1">
        <w:t>L.</w:t>
      </w:r>
      <w:r w:rsidRPr="007A66E1">
        <w:tab/>
        <w:t>mając na uwadze, że tendencje demograficzne i epidemiologiczne oraz skutki zmiany klimatu w UE i państwach Ameryki Łacińskiej i Karaibów skutkują rosnącym zapotrzebowaniem na opiekę, w tym opiekę długoterminową, a tym samym mają wpływ na równe prawa i szanse kobiet, ponieważ to głównie im powierza się odpłatną i nieodpłatną pracę domową i opiekuńczą przy braku wystarczającej polityki i usług opiekuńczych zapewniających współodpowiedzialność mężczyzn i kobiet;</w:t>
      </w:r>
    </w:p>
    <w:p w14:paraId="0CE9C4E1" w14:textId="77777777" w:rsidR="00FD6134" w:rsidRPr="007A66E1" w:rsidRDefault="00FD6134" w:rsidP="00FD6134">
      <w:pPr>
        <w:pStyle w:val="NormalHanging12a"/>
      </w:pPr>
      <w:r w:rsidRPr="007A66E1">
        <w:t>M.</w:t>
      </w:r>
      <w:r w:rsidRPr="007A66E1">
        <w:tab/>
        <w:t>mając na uwadze, że wielostronny porządek oparty na zasadach, który od 80 lat jest podstawą pokoju, dobrobytu, poszanowania praworządności, prawa międzynarodowego i praw człowieka, jest coraz częściej kwestionowany przez autokracje i związane z nimi nastroje autorytarne na całym świecie; mając na uwadze, że oba regiony łącznie posiadają jedną trzecią praw głosu w ONZ;</w:t>
      </w:r>
    </w:p>
    <w:p w14:paraId="7F32ACB3" w14:textId="77777777" w:rsidR="00FD6134" w:rsidRPr="007A66E1" w:rsidRDefault="00FD6134" w:rsidP="00FD6134">
      <w:pPr>
        <w:pStyle w:val="NormalHanging12a"/>
      </w:pPr>
      <w:r w:rsidRPr="007A66E1">
        <w:t>N.</w:t>
      </w:r>
      <w:r w:rsidRPr="007A66E1">
        <w:tab/>
        <w:t>mając na uwadze, że bezprawna, nieuzasadniona i niesprowokowana wojna napastnicza Rosji przeciw Ukrainie stanowi rażące naruszenie prawa międzynarodowego i zagraża bezpieczeństwu światowemu, co wymaga zdecydowanego, skoordynowanego i jednoznacznego stanowiska ze strony partnerów demokratycznych, w tym partnerów z Ameryki Łacińskiej i Karaibów; mając na uwadze, że większość krajów Ameryki Łacińskiej i Karaibów poparła rezolucje ONZ przeciwko rosyjskiej agresji na Ukrainę;</w:t>
      </w:r>
    </w:p>
    <w:p w14:paraId="56183B5F" w14:textId="77777777" w:rsidR="00FD6134" w:rsidRPr="007A66E1" w:rsidRDefault="00FD6134" w:rsidP="00FD6134">
      <w:pPr>
        <w:pStyle w:val="NormalHanging12a"/>
      </w:pPr>
      <w:r w:rsidRPr="007A66E1">
        <w:t>O.</w:t>
      </w:r>
      <w:r w:rsidRPr="007A66E1">
        <w:tab/>
        <w:t xml:space="preserve">mając na uwadze, że podmioty zewnętrzne, w szczególności Chiny, Rosja i Iran, rozszerzają swoje wpływy w Ameryce Łacińskiej i na Karaibach, przy czym Pekin zwiększa inwestycje w projekty dotyczące infrastruktury i surowców naturalnych, Moskwa ugruntowuje swoją obecność dyplomatyczną, polityczną, propagandową, wojskową i w zakresie bezpieczeństwa, a Teheran intensyfikuje działania wywiadowcze w regionie; mając na uwadze, że owe podmioty zewnętrzne wspierają lokalne siły antydemokratyczne i przyczyniają się do regresu demokracji; mając na uwadze, że Rosja wykorzystuje zależności gospodarcze, w tym uzależnienie od nawozów i oleju napędowego, oraz rozpowszechnia kampanie dezinformacyjne w celu destabilizacji systemów demokratycznych; mając na uwadze, że obecność Chin również prowadzi do zależności gospodarczej, która wpływa na politykę zagraniczną w regionie; </w:t>
      </w:r>
    </w:p>
    <w:p w14:paraId="7AAA9E86" w14:textId="77777777" w:rsidR="00FD6134" w:rsidRPr="007A66E1" w:rsidRDefault="00FD6134" w:rsidP="00FD6134">
      <w:pPr>
        <w:pStyle w:val="NormalHanging12a"/>
      </w:pPr>
      <w:r w:rsidRPr="007A66E1">
        <w:t>P.</w:t>
      </w:r>
      <w:r w:rsidRPr="007A66E1">
        <w:tab/>
        <w:t xml:space="preserve">mając na uwadze, że wolność wypowiedzi i zgromadzeń to kluczowe elementy i czynniki sprzyjające demokratycznym, wolnym i uczestniczącym społeczeństwom; mając na uwadze, że przemoc wobec przeciwników politycznych stanowi bezpośrednie zagrożenie dla podstaw demokracji, czego przykładem jest zabójstwo kolumbijskiego senatora Miguela </w:t>
      </w:r>
      <w:proofErr w:type="spellStart"/>
      <w:r w:rsidRPr="007A66E1">
        <w:t>Uribe</w:t>
      </w:r>
      <w:proofErr w:type="spellEnd"/>
      <w:r w:rsidRPr="007A66E1">
        <w:t xml:space="preserve"> </w:t>
      </w:r>
      <w:proofErr w:type="spellStart"/>
      <w:r w:rsidRPr="007A66E1">
        <w:t>Turbaya</w:t>
      </w:r>
      <w:proofErr w:type="spellEnd"/>
      <w:r w:rsidRPr="007A66E1">
        <w:t xml:space="preserve"> i alarmujący wzrost przemocy w Kolumbii;</w:t>
      </w:r>
    </w:p>
    <w:p w14:paraId="7E9073E9" w14:textId="77777777" w:rsidR="00FD6134" w:rsidRPr="007A66E1" w:rsidRDefault="00FD6134" w:rsidP="00FD6134">
      <w:pPr>
        <w:pStyle w:val="NormalHanging12a"/>
      </w:pPr>
      <w:r w:rsidRPr="007A66E1">
        <w:t>Q.</w:t>
      </w:r>
      <w:r w:rsidRPr="007A66E1">
        <w:tab/>
        <w:t xml:space="preserve">mając na uwadze, że UE i Parlament bardzo wspierają porozumienie w sprawie procesu pokojowego w Kolumbii, zawarte w 2016 r., i nadal monitorują jego wdrażanie; mając </w:t>
      </w:r>
      <w:r w:rsidRPr="007A66E1">
        <w:lastRenderedPageBreak/>
        <w:t>na uwadze, że porozumienie to zakończyło pięćdziesięcioletni konflikt zbrojny; mając na uwadze, że stałe wsparcie UE na rzecz pełnego wdrożenia porozumienia pokojowego powinno uwzględniać niedawną eskalację przemocy;</w:t>
      </w:r>
    </w:p>
    <w:p w14:paraId="06BBADF4" w14:textId="77777777" w:rsidR="00FD6134" w:rsidRPr="007A66E1" w:rsidRDefault="00FD6134" w:rsidP="00FD6134">
      <w:pPr>
        <w:pStyle w:val="NormalHanging12a"/>
      </w:pPr>
      <w:r w:rsidRPr="007A66E1">
        <w:t>R.</w:t>
      </w:r>
      <w:r w:rsidRPr="007A66E1">
        <w:tab/>
        <w:t>mając na uwadze, że ogólny regres demokracji w reżimach autokratycznych i nieliberalnych umożliwia tym reżimom stosowanie strategii legitymizacji, w tym poprzez znoszenie skutecznych kontroli egzekwowania represyjnych ustaw;</w:t>
      </w:r>
    </w:p>
    <w:p w14:paraId="690D2A4D" w14:textId="77777777" w:rsidR="00FD6134" w:rsidRPr="007A66E1" w:rsidRDefault="00FD6134" w:rsidP="00FD6134">
      <w:pPr>
        <w:pStyle w:val="NormalHanging12a"/>
      </w:pPr>
      <w:r w:rsidRPr="007A66E1">
        <w:t>S.</w:t>
      </w:r>
      <w:r w:rsidRPr="007A66E1">
        <w:tab/>
        <w:t>mając na uwadze, że Parlament niedawno jednoznacznie wyraził swoje stanowisko w licznych rezolucjach dotyczących nieprzestrzegania umowy o dialogu politycznym i współpracy między UE a Kubą; mając na uwadze, że obecnie na Kubie przebywa 1155 więźniów politycznych, a reżim kubański systematycznie narusza prawa człowieka;</w:t>
      </w:r>
    </w:p>
    <w:p w14:paraId="391CC2CF" w14:textId="77777777" w:rsidR="00FD6134" w:rsidRPr="007A66E1" w:rsidRDefault="00FD6134" w:rsidP="00FD6134">
      <w:pPr>
        <w:pStyle w:val="NormalHanging12a"/>
      </w:pPr>
      <w:r w:rsidRPr="007A66E1">
        <w:t>T.</w:t>
      </w:r>
      <w:r w:rsidRPr="007A66E1">
        <w:tab/>
        <w:t xml:space="preserve">mając na uwadze, że 10 stycznia 2025 r. Parlament potępił uzurpację władzy prezydenckiej w Wenezueli przez </w:t>
      </w:r>
      <w:proofErr w:type="spellStart"/>
      <w:r w:rsidRPr="007A66E1">
        <w:t>Nicolása</w:t>
      </w:r>
      <w:proofErr w:type="spellEnd"/>
      <w:r w:rsidRPr="007A66E1">
        <w:t xml:space="preserve"> Maduro i uznał Edmundo </w:t>
      </w:r>
      <w:proofErr w:type="spellStart"/>
      <w:r w:rsidRPr="007A66E1">
        <w:t>Gonzáleza</w:t>
      </w:r>
      <w:proofErr w:type="spellEnd"/>
      <w:r w:rsidRPr="007A66E1">
        <w:t xml:space="preserve"> </w:t>
      </w:r>
      <w:proofErr w:type="spellStart"/>
      <w:r w:rsidRPr="007A66E1">
        <w:t>Urrutię</w:t>
      </w:r>
      <w:proofErr w:type="spellEnd"/>
      <w:r w:rsidRPr="007A66E1">
        <w:t xml:space="preserve"> za prawowitego i demokratycznie wybranego prezydenta Wenezueli, a </w:t>
      </w:r>
      <w:proofErr w:type="spellStart"/>
      <w:r w:rsidRPr="007A66E1">
        <w:t>Maríę</w:t>
      </w:r>
      <w:proofErr w:type="spellEnd"/>
      <w:r w:rsidRPr="007A66E1">
        <w:t xml:space="preserve"> </w:t>
      </w:r>
      <w:proofErr w:type="spellStart"/>
      <w:r w:rsidRPr="007A66E1">
        <w:t>Corinę</w:t>
      </w:r>
      <w:proofErr w:type="spellEnd"/>
      <w:r w:rsidRPr="007A66E1">
        <w:t xml:space="preserve"> Machado – za przywódczynię sił demokratycznych w Wenezueli; mając na uwadze, że w 2024 r. Parlament przyznał im Nagrodę im. Sacharowa za wolność myśli, co jest symbolem poparcia dla walki o wolność i demokrację w Wenezueli; mając na uwadze, że należy współczuć ponad 7 mln Wenezuelczyków, których zmuszono do opuszczenia swojego kraju od 2015 r., przy czym około 6 mln przesiedliło się do krajów w Ameryce Łacińskiej i na Karaibach; mając na uwadze, że jest to znaczne obciążenie dla krajów sąsiadujących; mając na uwadze, że należy wyrazić uznanie dla solidarności i ogromnych wysiłków społeczności przyjmujących, zwłaszcza w Kolumbii, starających się zapewnić uchodźcom wenezuelskim dostęp do opieki zdrowotnej, edukacji i zatrudnienia, ponieważ sprzyja to stabilności w regionie i pomaga chronić prawa podstawowe;</w:t>
      </w:r>
    </w:p>
    <w:p w14:paraId="1F6A5C30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U.</w:t>
      </w:r>
      <w:r w:rsidRPr="007A66E1">
        <w:tab/>
        <w:t>mając na uwadze, że od 2018 r. reżim Nikaragui planowo, bez przerwy i w sposób arbitralny prześladuje m.in. obrońców praw człowieka, opozycję i przedstawicieli wspólnot religijnych; mając na uwadze, że rozwiązano ponad 5600 organizacji pozarządowych, w tym grup religijnych, głównie katolickich, i skonfiskowano ich mienie; mając na uwadze, że Parlament wielokrotnie potępiał reżim narzucony w Nikaragui przez Daniela Ortegę i Rosario Murillo;</w:t>
      </w:r>
    </w:p>
    <w:p w14:paraId="4E5F60DF" w14:textId="77777777" w:rsidR="00FD6134" w:rsidRPr="007A66E1" w:rsidRDefault="00FD6134" w:rsidP="00FD6134">
      <w:pPr>
        <w:pStyle w:val="NormalHanging12a"/>
      </w:pPr>
      <w:r w:rsidRPr="007A66E1">
        <w:t>V.</w:t>
      </w:r>
      <w:r w:rsidRPr="007A66E1">
        <w:tab/>
        <w:t xml:space="preserve">mając na uwadze, że działania podejmowane przez administrację Donalda </w:t>
      </w:r>
      <w:proofErr w:type="spellStart"/>
      <w:r w:rsidRPr="007A66E1">
        <w:t>Trumpa</w:t>
      </w:r>
      <w:proofErr w:type="spellEnd"/>
      <w:r w:rsidRPr="007A66E1">
        <w:t xml:space="preserve"> w Stanach Zjednoczonych wprowadzają niepewność geopolityczną, podważają multilateralizm i utrudniają współpracę międzyregionalną, zwiększając tym samym potrzebę silnego i autonomicznego sojuszu UE z Ameryką Łacińską i Karaibami; mając na uwadze, że strategiczny sojusz UE z Ameryką Łacińską i Karaibami ma kluczowe znaczenie dla wspierania wspólnych wartości i interesów, takich jak multilateralizm i demokracja;</w:t>
      </w:r>
      <w:r w:rsidRPr="007A66E1">
        <w:rPr>
          <w:b/>
          <w:i/>
        </w:rPr>
        <w:t xml:space="preserve"> </w:t>
      </w:r>
    </w:p>
    <w:p w14:paraId="3C143722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W.</w:t>
      </w:r>
      <w:r w:rsidRPr="007A66E1">
        <w:rPr>
          <w:b/>
          <w:i/>
        </w:rPr>
        <w:tab/>
      </w:r>
      <w:r w:rsidRPr="007A66E1">
        <w:t>mając na uwadze, że region Ameryki Łacińskiej i Karaibów jest nadal niedostatecznie reprezentowany w kluczowych organizacjach i na forach międzynarodowych, w tym w G20 i w międzynarodowych organizacjach finansowych; mając na uwadze, że Meksyk i Brazylia zajmują szczególne miejsce w stosunkach między obydwoma regionami, ponieważ są to dwie największe gospodarki w Ameryce Łacińskiej, wywierają znaczny wpływ geopolityczny i są oficjalnie uznanymi partnerami strategicznymi UE;</w:t>
      </w:r>
    </w:p>
    <w:p w14:paraId="6E93F14F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X.</w:t>
      </w:r>
      <w:r w:rsidRPr="007A66E1">
        <w:tab/>
        <w:t xml:space="preserve">mając na uwadze, że handel narkotykami stanowi poważne zagrożenie dla </w:t>
      </w:r>
      <w:r w:rsidRPr="007A66E1">
        <w:lastRenderedPageBreak/>
        <w:t>bezpieczeństwa obydwu regionów; mając na uwadze, że od 2020 r. Unia Europejska jest największym na świecie rynkiem konsumpcji kokainy; mając na uwadze, że w dużej mierze kokaina ta pochodzi z Ameryki Łacińskiej i Karaibów oraz trafia do UE przez europejskie porty na Atlantyku;</w:t>
      </w:r>
    </w:p>
    <w:p w14:paraId="3C9D5B5C" w14:textId="77777777" w:rsidR="00FD6134" w:rsidRPr="007A66E1" w:rsidRDefault="00FD6134" w:rsidP="00FD6134">
      <w:pPr>
        <w:pStyle w:val="NormalHanging12a"/>
      </w:pPr>
      <w:r w:rsidRPr="007A66E1">
        <w:t>Y.</w:t>
      </w:r>
      <w:r w:rsidRPr="007A66E1">
        <w:tab/>
        <w:t xml:space="preserve">mając na uwadze, że w wielu krajach Ameryki Łacińskiej i Karaibów kurczy się przestrzeń dla społeczeństwa obywatelskiego oraz że odnotowuje się tam bezprecedensowy wzrost liczby ataków na organizacje, działaczy i obrońców praw człowieka, co prowadzi do </w:t>
      </w:r>
      <w:proofErr w:type="spellStart"/>
      <w:r w:rsidRPr="007A66E1">
        <w:t>wysiedleń</w:t>
      </w:r>
      <w:proofErr w:type="spellEnd"/>
      <w:r w:rsidRPr="007A66E1">
        <w:t>, przemocy i bezkarności;</w:t>
      </w:r>
    </w:p>
    <w:p w14:paraId="7BC6B568" w14:textId="77777777" w:rsidR="00FD6134" w:rsidRPr="007A66E1" w:rsidRDefault="00FD6134" w:rsidP="00FD6134">
      <w:pPr>
        <w:pStyle w:val="NormalHanging12a"/>
      </w:pPr>
      <w:r w:rsidRPr="007A66E1">
        <w:t>Z.</w:t>
      </w:r>
      <w:r w:rsidRPr="007A66E1">
        <w:tab/>
        <w:t>mając na uwadze, że UE oraz kraje Ameryki Łacińskiej i Karaibów mają wspólny interes strategiczny we wzmacnianiu swojej autonomii strategicznej i w dywersyfikacji łańcuchów dostaw; mając na uwadze, że Ameryka Łacińska jest światowym liderem w produkcji zrównoważonej energii, a około 69% energii elektrycznej pochodzi z odnawialnych i czystych źródeł, co świadczy o strategicznym znaczeniu i potencjale regionu w globalnej transformacji ekologicznej;</w:t>
      </w:r>
    </w:p>
    <w:p w14:paraId="112A4095" w14:textId="77777777" w:rsidR="00FD6134" w:rsidRPr="007A66E1" w:rsidRDefault="00FD6134" w:rsidP="00FD6134">
      <w:pPr>
        <w:pStyle w:val="NormalHanging12a"/>
        <w:rPr>
          <w:rStyle w:val="BoldItalic"/>
        </w:rPr>
      </w:pPr>
      <w:r w:rsidRPr="007A66E1">
        <w:t>AA.</w:t>
      </w:r>
      <w:r w:rsidRPr="007A66E1">
        <w:tab/>
        <w:t>mając na uwadze, że od czasu utworzenia CELAC w 2010 r. odbyły się trzy szczyty UE–CELAC: w roku 2013, 2015 i 2023; mając na uwadze, że UE i CELAC łączy wieloletnie partnerstwo strategiczne oraz sieć umów o stowarzyszeniu i umów handlowych; mając na uwadze, że szczyt UE i Wspólnoty Państw Ameryki Łacińskiej i Karaibów w Kolumbii w listopadzie 2025 r. będzie ważną okazją do potwierdzenia zaangażowania UE na rzecz Ameryki Łacińskiej i Karaibów, zademonstrowania, że Europa jest kluczowym i niezawodnym partnerem strategicznym, który oferuje wiarygodny, alternatywny model rozwoju w oparciu o demokratyczną współpracę i wspólny dobrobyt, oraz pokazania, że oba regiony są mocno zaangażowane na rzecz współpracy międzyregionalnej i międzynarodowego porządku opartego na zasadach;</w:t>
      </w:r>
      <w:r w:rsidRPr="007A66E1">
        <w:rPr>
          <w:rStyle w:val="BoldItalic"/>
        </w:rPr>
        <w:t xml:space="preserve"> </w:t>
      </w:r>
    </w:p>
    <w:p w14:paraId="1CFC59E4" w14:textId="77777777" w:rsidR="00FD6134" w:rsidRPr="007A66E1" w:rsidRDefault="00FD6134" w:rsidP="00FD6134">
      <w:pPr>
        <w:pStyle w:val="NormalHanging12a"/>
      </w:pPr>
      <w:r w:rsidRPr="007A66E1">
        <w:t>1.</w:t>
      </w:r>
      <w:r w:rsidRPr="007A66E1">
        <w:tab/>
        <w:t>podkreśla głębokie więzi międzyludzkie, historyczne, kulturowe, gospodarcze i religijne między UE a Ameryką Łacińską i Karaibami oraz że więzi te stanowią fundament naturalnego sojuszu i podstawę rozwoju silnego i trwałego transatlantyckiego obszaru pokoju, demokracji i dobrobytu, obejmującego Europę i Amerykę Łacińską;</w:t>
      </w:r>
    </w:p>
    <w:p w14:paraId="1811376D" w14:textId="77777777" w:rsidR="00FD6134" w:rsidRPr="007A66E1" w:rsidRDefault="00FD6134" w:rsidP="00FD6134">
      <w:pPr>
        <w:pStyle w:val="NormalHanging12a"/>
      </w:pPr>
      <w:r w:rsidRPr="007A66E1">
        <w:t>2.</w:t>
      </w:r>
      <w:r w:rsidRPr="007A66E1">
        <w:tab/>
      </w:r>
      <w:bookmarkStart w:id="6" w:name="_Hlk208222830"/>
      <w:r w:rsidRPr="007A66E1">
        <w:t>wspiera politykę mającą na celu wspieranie współpracy regionalnej i większej integracji regionalnej w państwach Ameryki Łacińskiej i Karaibów; podkreśla, że nowy globalny kontekst geopolityczny wymaga skoku jakościowego w partnerstwie UE oraz Ameryki Łacińskiej i Karaibów w celu dalszego rozwijania strategicznego sojuszu na rzecz obrony multilateralizmu i jego podstawowych zasad, w tym dialogu, włączenia społecznego, solidarności międzynarodowej, poszanowania Karty Narodów Zjednoczonych, praw człowieka, prawa humanitarnego i zrównoważonego rozwoju;</w:t>
      </w:r>
      <w:bookmarkEnd w:id="6"/>
    </w:p>
    <w:p w14:paraId="678821E5" w14:textId="77777777" w:rsidR="00FD6134" w:rsidRPr="007A66E1" w:rsidRDefault="00FD6134" w:rsidP="00FD6134">
      <w:pPr>
        <w:pStyle w:val="NormalHanging12a"/>
      </w:pPr>
      <w:r w:rsidRPr="007A66E1">
        <w:t>3.</w:t>
      </w:r>
      <w:r w:rsidRPr="007A66E1">
        <w:tab/>
        <w:t>uważa, że UE oraz Ameryka Łacińska i Karaiby jako naturalni partnerzy strategiczni mają historyczną szansę wzmocnienia swojego sojuszu w obecnym kontekście międzynarodowym charakteryzującym się strategiczną konkurencją; uważa, że ich partnerstwo może stanowić ważne zabezpieczenie przed rosnącymi napięciami geopolitycznymi, gdyż wynikają zeń wspólne strategie polityczne na rzecz strategicznej autonomii, współpracy i wzajemnego szacunku;</w:t>
      </w:r>
    </w:p>
    <w:p w14:paraId="6C892B1A" w14:textId="77777777" w:rsidR="00FD6134" w:rsidRPr="007A66E1" w:rsidRDefault="00FD6134" w:rsidP="00FD6134">
      <w:pPr>
        <w:pStyle w:val="NormalHanging12a"/>
      </w:pPr>
      <w:r w:rsidRPr="007A66E1">
        <w:t>4.</w:t>
      </w:r>
      <w:r w:rsidRPr="007A66E1">
        <w:tab/>
        <w:t xml:space="preserve">podkreśla, że stosunki między Europą a Ameryką Łacińską i Karaibami opierają się również na głębokich więzach międzyludzkich; przypomina, że w coraz bardziej chaotycznym świecie kapitał ludzki, który obejmuje wspólne języki, dziedzictwo i </w:t>
      </w:r>
      <w:r w:rsidRPr="007A66E1">
        <w:lastRenderedPageBreak/>
        <w:t>więzi kulturowe, jest strategicznym atutem, o który należy dbać;</w:t>
      </w:r>
    </w:p>
    <w:p w14:paraId="65476746" w14:textId="77777777" w:rsidR="00FD6134" w:rsidRPr="007A66E1" w:rsidRDefault="00FD6134" w:rsidP="00FD6134">
      <w:pPr>
        <w:pStyle w:val="NormalHanging12a"/>
      </w:pPr>
      <w:r w:rsidRPr="007A66E1">
        <w:t>5.</w:t>
      </w:r>
      <w:r w:rsidRPr="007A66E1">
        <w:tab/>
        <w:t>podkreśla odnowione i rosnące zaangażowanie UE w regionie, a jego przykładem jest kluczowy szczyt UE–CELAC w 2023 r., który był wyraźnym punktem zwrotnym po latach ograniczonego zaangażowania; podkreśla potrzebę trwałego zaangażowania z korzyścią dla interesów i wartości UE; zauważa, że zaangażowanie UE zmalało w ostatnich dziesięcioleciach, w wyniku czego powstała próżnia, w której swoje wpływy rozszerzają Chiny, Rosja i Iran; potępia fakt, że to zbliżenie do reżimów autorytarnych prowadzi do osłabienia demokracji w regionie;</w:t>
      </w:r>
    </w:p>
    <w:p w14:paraId="7F51D8BE" w14:textId="77777777" w:rsidR="00FD6134" w:rsidRPr="007A66E1" w:rsidRDefault="00FD6134" w:rsidP="00FD6134">
      <w:pPr>
        <w:pStyle w:val="NormalHanging12a"/>
      </w:pPr>
      <w:r w:rsidRPr="007A66E1">
        <w:t>6.</w:t>
      </w:r>
      <w:r w:rsidRPr="007A66E1">
        <w:tab/>
        <w:t>dostrzega pilną potrzebę dalszego doskonalenia i rozwijania stosunków między UE a Ameryką Łacińską i Karaibami w odpowiedzi na pojawiające się zmiany geopolityczne, zmianę klimatu, postęp technologiczny, nasilające się zjawisko nierówności i wyzwania w zakresie bezpieczeństwa, przed jakimi stoją obydwa regiony, a także potrzebę zwiększenia strategicznej autonomii obu regionów;</w:t>
      </w:r>
    </w:p>
    <w:p w14:paraId="01F4FBF2" w14:textId="77777777" w:rsidR="00FD6134" w:rsidRPr="007A66E1" w:rsidRDefault="00FD6134" w:rsidP="00FD6134">
      <w:pPr>
        <w:pStyle w:val="NormalHanging12a"/>
        <w:ind w:left="0" w:firstLine="0"/>
        <w:rPr>
          <w:b/>
          <w:bCs/>
          <w:i/>
          <w:iCs/>
        </w:rPr>
      </w:pPr>
      <w:r w:rsidRPr="007A66E1">
        <w:rPr>
          <w:b/>
          <w:i/>
        </w:rPr>
        <w:t xml:space="preserve">Geopolityczne znaczenie strategicznego sojuszu, wzmocnionego dialogu i współpracy między UE a Ameryką Łacińską i Karaibami </w:t>
      </w:r>
    </w:p>
    <w:p w14:paraId="2E721D66" w14:textId="77777777" w:rsidR="00FD6134" w:rsidRPr="007A66E1" w:rsidRDefault="00FD6134" w:rsidP="00FD6134">
      <w:pPr>
        <w:pStyle w:val="NormalHanging12a"/>
      </w:pPr>
      <w:r w:rsidRPr="007A66E1">
        <w:t>7.</w:t>
      </w:r>
      <w:r w:rsidRPr="007A66E1">
        <w:tab/>
        <w:t>wzywa wiceprzewodniczącą Komisji / wysoką przedstawiciel Unii do spraw zagranicznych i polityki bezpieczeństwa oraz państwa członkowskie do wzmożenia wysiłków dyplomatycznych w regionie w celu promowania większej konwergencji między UE a Ameryką Łacińską i Karaibami w kluczowych kwestiach polityki zagranicznej, a w szczególności do przyjęcia bardziej zdecydowanego stanowiska w sprawie rosyjskiej wojny napastniczej przeciwko Ukrainie i międzynarodowych wysiłków na rzecz trwałego zawieszenia broni w Strefie Gazy, przepływu pomocy humanitarnej i bezwarunkowego uwolnienia wszystkich zakładników; podkreśla, że z uwagi na obecny kontekst międzynarodowy partnerstwo UE z Ameryką Łacińską i Karaibami powinno opierać się na takich zasadach przewodnich jak wspólna autonomia strategiczna, ograniczanie zależności od podmiotów zewnętrznych oraz obrona wielostronnego porządku opartego na zasadach;</w:t>
      </w:r>
    </w:p>
    <w:p w14:paraId="6ADEAB85" w14:textId="77777777" w:rsidR="00FD6134" w:rsidRPr="007A66E1" w:rsidRDefault="00FD6134" w:rsidP="00FD6134">
      <w:pPr>
        <w:pStyle w:val="NormalHanging12a"/>
      </w:pPr>
      <w:r w:rsidRPr="007A66E1">
        <w:t>8.</w:t>
      </w:r>
      <w:r w:rsidRPr="007A66E1">
        <w:tab/>
        <w:t>zachęca do ściślejszej współpracy między UE a Ameryką Łacińską i Karaibami na forach międzynarodowych w celu promowania i obrony wielostronnego porządku światowego, prawa międzynarodowego, poszanowania demokracji, praw człowieka, prawa humanitarnego i zasad humanitarnych oraz sprawiedliwości społecznej i zrównoważonego rozwoju; podkreśla w związku z tym, że UE musi pokazać swoim partnerom w Ameryce Łacińskiej i na Karaibach, iż może zapewnić lepsze warunki partnerstwa niż reżimy autorytarne;</w:t>
      </w:r>
    </w:p>
    <w:p w14:paraId="7B66F982" w14:textId="77777777" w:rsidR="00FD6134" w:rsidRPr="007A66E1" w:rsidRDefault="00FD6134" w:rsidP="00FD6134">
      <w:pPr>
        <w:pStyle w:val="NormalHanging12a"/>
      </w:pPr>
      <w:r w:rsidRPr="007A66E1">
        <w:t>9.</w:t>
      </w:r>
      <w:r w:rsidRPr="007A66E1">
        <w:tab/>
        <w:t>podkreśla zatem, jak ważne jest zadbanie o to, aby wysiłki UE koncentrowały się na wzmocnieniu instytucji demokratycznych, praworządności i odpowiedzialności politycznej, a także apeluje o postępy w zakresie reform i środków budowania pokoju mających na celu poprawę bezpieczeństwa i stabilności w obu regionach; przypomina, że obrona praw człowieka, demokracji, praworządności i równouprawnienia płci musi być warunkiem przekrojowym wszystkich umów i finansowania między UE a Ameryką Łacińską i Karaibami, w tym w ramach Instrumentu Sąsiedztwa oraz Współpracy Międzynarodowej i Rozwojowej (ISWMR – „Globalny wymiar Europy”); apeluje o przejrzystość i rozliczalność, zwłaszcza w handlu i inwestycjach;</w:t>
      </w:r>
    </w:p>
    <w:p w14:paraId="387EFB85" w14:textId="77777777" w:rsidR="00FD6134" w:rsidRPr="007A66E1" w:rsidRDefault="00FD6134" w:rsidP="00FD6134">
      <w:pPr>
        <w:pStyle w:val="NormalHanging12a"/>
      </w:pPr>
      <w:r w:rsidRPr="007A66E1">
        <w:t>10.</w:t>
      </w:r>
      <w:r w:rsidRPr="007A66E1">
        <w:tab/>
        <w:t xml:space="preserve">jest zaniepokojony regresem demokracji, który ma miejsce w Ameryce Łacińskiej i na </w:t>
      </w:r>
      <w:r w:rsidRPr="007A66E1">
        <w:lastRenderedPageBreak/>
        <w:t>Karaibach od 2019 r., oraz potępia łamanie praw człowieka i ograniczanie podstawowych wolności w regionie, zwłaszcza przez reżimy w Nikaragui, na Kubie i w Wenezueli, które należą do najbardziej autorytarnych na świecie; wyraża głębokie zaniepokojenie nasilającą się tendencją w kierunku autorytarnych i populistycznych systemów rządzenia w Ameryce Łacińskiej i na Karaibach, a także postępującą erozją instytucji demokratycznych, multilateralizmu, praworządności, podstawowych praw i wolności, przestrzeni dla społeczeństwa obywatelskiego i podstawowej ochrony socjalnej; podkreśla potrzebę zwiększenia wsparcia dla podmiotów demokratycznych i społeczeństwa obywatelskiego oraz wzywa do natychmiastowego uwolnienia wszystkich więźniów politycznych;</w:t>
      </w:r>
    </w:p>
    <w:p w14:paraId="7A83EA90" w14:textId="77777777" w:rsidR="00FD6134" w:rsidRPr="007A66E1" w:rsidRDefault="00FD6134" w:rsidP="00FD6134">
      <w:pPr>
        <w:pStyle w:val="NormalHanging12a"/>
        <w:rPr>
          <w:b/>
          <w:i/>
        </w:rPr>
      </w:pPr>
      <w:r w:rsidRPr="007A66E1">
        <w:t>11.</w:t>
      </w:r>
      <w:r w:rsidRPr="007A66E1">
        <w:tab/>
        <w:t>potępia w szczególności systematyczne łamanie przez reżim kubański praw człowieka przynależnych demonstrantom, dysydentom politycznym, przywódcom religijnym i działaczom na rzecz praw człowieka oraz utrudnianie przez ten reżim tworzenia niezależnych organizacji społeczeństwa obywatelskiego; zauważa, że wiarygodne źródła podają, iż reżim przetrzymuje ponad tysiąc więźniów politycznych, w tym nieletnich, i wzywa go do ich niezwłocznego uwolnienia; wzywa do wykorzystania wszelkich niezbędnych i dostępnych instrumentów, bez żadnych wyjątków, aby zagwarantować przestrzeganie klauzul demokratycznych i klauzul dotyczących praw człowieka, zawartych w umowie o dialogu politycznym i współpracy między UE a Kubą; ponawia apel do Rady o nałożenie sankcji na osoby odpowiedzialne za ciągłe łamanie praw człowieka; potępia udział kubańskich najemników w działaniach wojennych Rosji na froncie w Ukrainie;</w:t>
      </w:r>
      <w:r w:rsidRPr="007A66E1">
        <w:rPr>
          <w:b/>
          <w:i/>
        </w:rPr>
        <w:t xml:space="preserve"> </w:t>
      </w:r>
    </w:p>
    <w:p w14:paraId="31CAA0EE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12</w:t>
      </w:r>
      <w:r w:rsidRPr="007A66E1">
        <w:rPr>
          <w:b/>
          <w:i/>
        </w:rPr>
        <w:t>.</w:t>
      </w:r>
      <w:r w:rsidRPr="007A66E1">
        <w:rPr>
          <w:b/>
          <w:i/>
        </w:rPr>
        <w:tab/>
      </w:r>
      <w:r w:rsidRPr="007A66E1">
        <w:t xml:space="preserve">zdecydowanie potępia i całkowicie odrzuca oszustwa wyborcze, jakich reżim w Wenezueli dopuścił się podczas wyborów prezydenckich w 2024 r., oraz fikcyjne wybory parlamentarne w maju 2025 r.; domaga się, aby rząd Maduro zaprzestał polityki represji i ataków na społeczeństwo obywatelskie i opozycję; przypomina, że 19 września 2024 r. Parlament za prawowitego i demokratycznie wybranego prezydenta Wenezueli uznał Edmundo </w:t>
      </w:r>
      <w:proofErr w:type="spellStart"/>
      <w:r w:rsidRPr="007A66E1">
        <w:t>Gonzáleza</w:t>
      </w:r>
      <w:proofErr w:type="spellEnd"/>
      <w:r w:rsidRPr="007A66E1">
        <w:t xml:space="preserve"> </w:t>
      </w:r>
      <w:proofErr w:type="spellStart"/>
      <w:r w:rsidRPr="007A66E1">
        <w:t>Urrutię</w:t>
      </w:r>
      <w:proofErr w:type="spellEnd"/>
      <w:r w:rsidRPr="007A66E1">
        <w:t xml:space="preserve">, a </w:t>
      </w:r>
      <w:proofErr w:type="spellStart"/>
      <w:r w:rsidRPr="007A66E1">
        <w:t>Maríę</w:t>
      </w:r>
      <w:proofErr w:type="spellEnd"/>
      <w:r w:rsidRPr="007A66E1">
        <w:t xml:space="preserve"> </w:t>
      </w:r>
      <w:proofErr w:type="spellStart"/>
      <w:r w:rsidRPr="007A66E1">
        <w:t>Corinę</w:t>
      </w:r>
      <w:proofErr w:type="spellEnd"/>
      <w:r w:rsidRPr="007A66E1">
        <w:t xml:space="preserve"> Machado – za przywódczynię sił demokratycznych w Wenezueli; podkreśla, że różne demokratyczne kraje w regionie i na świecie uznały Edmundo </w:t>
      </w:r>
      <w:proofErr w:type="spellStart"/>
      <w:r w:rsidRPr="007A66E1">
        <w:t>Gonzáleza</w:t>
      </w:r>
      <w:proofErr w:type="spellEnd"/>
      <w:r w:rsidRPr="007A66E1">
        <w:t xml:space="preserve"> </w:t>
      </w:r>
      <w:proofErr w:type="spellStart"/>
      <w:r w:rsidRPr="007A66E1">
        <w:t>Urrutię</w:t>
      </w:r>
      <w:proofErr w:type="spellEnd"/>
      <w:r w:rsidRPr="007A66E1">
        <w:t xml:space="preserve"> za nowo wybranego prezydenta; wyraża zadowolenie z faktu, że 17 grudnia 2024 r. Parlament przyznał Nagrodę im. Sacharowa za wolność myśli </w:t>
      </w:r>
      <w:proofErr w:type="spellStart"/>
      <w:r w:rsidRPr="007A66E1">
        <w:t>Maríi</w:t>
      </w:r>
      <w:proofErr w:type="spellEnd"/>
      <w:r w:rsidRPr="007A66E1">
        <w:t xml:space="preserve"> </w:t>
      </w:r>
      <w:proofErr w:type="spellStart"/>
      <w:r w:rsidRPr="007A66E1">
        <w:t>Corinie</w:t>
      </w:r>
      <w:proofErr w:type="spellEnd"/>
      <w:r w:rsidRPr="007A66E1">
        <w:t xml:space="preserve"> Machado i Edmundo </w:t>
      </w:r>
      <w:proofErr w:type="spellStart"/>
      <w:r w:rsidRPr="007A66E1">
        <w:t>Gonzálezowi</w:t>
      </w:r>
      <w:proofErr w:type="spellEnd"/>
      <w:r w:rsidRPr="007A66E1">
        <w:t xml:space="preserve"> </w:t>
      </w:r>
      <w:proofErr w:type="spellStart"/>
      <w:r w:rsidRPr="007A66E1">
        <w:t>Urrutii</w:t>
      </w:r>
      <w:proofErr w:type="spellEnd"/>
      <w:r w:rsidRPr="007A66E1">
        <w:t>, którzy reprezentują wszystkich Wenezuelczyków walczących o przywrócenie wolności i demokracji; wyraża uznanie dla zaangażowania, z jakim naród wenezuelski opowiada się za demokracją, oraz dla nieustępliwości demokratycznej opozycji mimo coraz bardziej represyjnej polityki reżimu Maduro;</w:t>
      </w:r>
    </w:p>
    <w:p w14:paraId="458CA5CC" w14:textId="77777777" w:rsidR="00FD6134" w:rsidRPr="007A66E1" w:rsidRDefault="00FD6134" w:rsidP="00FD6134">
      <w:pPr>
        <w:pStyle w:val="NormalHanging12a"/>
      </w:pPr>
      <w:r w:rsidRPr="007A66E1">
        <w:t>13.</w:t>
      </w:r>
      <w:r w:rsidRPr="007A66E1">
        <w:tab/>
        <w:t xml:space="preserve">przypomina, że w styczniu 2025 r. reżim Ortegi i Murillo w Nikaragui przyjął reformę konstytucyjną, w wyniku której zniesiono podział władzy i pluralizm polityczny oraz ustanowiono wspólną prezydenturę, w ramach którego to urzędu kontrolowane są wszystkie ośrodki rządowe i media, a międzynarodowe konwencje dotyczące praw człowieka są ignorowane; podkreśla ponadto, że reżim nikaraguański utrzymuje bliskie relacje z innymi autokracjami, takimi jak Iran, Wenezuela czy Kuba, i zdecydowanie potępia go za systematyczne łamanie praw człowieka, za prześladowanie demokratycznej opozycji, za represje wobec Kościoła katolickiego i społeczeństwa obywatelskiego oraz za niszczenie wolnych mediów i tłumienie wszelkich przejawów niezależności od władzy; wzywa władze Nikaragui do niezwłocznego przywrócenia praworządności, podstawowych wolności i praw wszystkich Nikaraguańczyków przebywających na uchodźstwie, w tym prawa do bezpiecznego powrotu; ponawia swój </w:t>
      </w:r>
      <w:r w:rsidRPr="007A66E1">
        <w:lastRenderedPageBreak/>
        <w:t>apel o uruchomienie klauzuli demokratycznej zawartej w układzie o stowarzyszeniu z UE i odrzuca wszelkie perspektywy prowadzenia dialogu z członkami Zgromadzenia Narodowego kontrolowanego przez reżim nikaraguański, a także wzywa do zaostrzenia sankcji wobec Ortegi, Murillo i ich najbliższych współpracowników; wzywa do natychmiastowego zniesienia zakazu stosowania międzynarodowych mechanizmów monitorowania praw człowieka oraz do przywrócenia prawnego statusu ponad trzem tysiącom organizacji pozarządowych, które zostały go pozbawione w 2018 r. przez rząd Nikaragui;</w:t>
      </w:r>
    </w:p>
    <w:p w14:paraId="3FC16D0F" w14:textId="77777777" w:rsidR="00FD6134" w:rsidRPr="007A66E1" w:rsidRDefault="00FD6134" w:rsidP="00FD6134">
      <w:pPr>
        <w:pStyle w:val="NormalHanging12a"/>
      </w:pPr>
      <w:r w:rsidRPr="007A66E1">
        <w:t>14.</w:t>
      </w:r>
      <w:r w:rsidRPr="007A66E1">
        <w:tab/>
        <w:t xml:space="preserve">wyraża głębokie zaniepokojenie erozją zasad demokratycznych i celowym obchodzeniem gwarancji konstytucyjnych w krajach Ameryki Łacińskiej i Karaibów, zwłaszcza w Salwadorze; wyraża zaniepokojenie brakiem niezależności sądownictwa, nieprzejrzystymi działaniami rządu, nadmiernym stosowaniem siły, nieuzasadnioną militaryzacją oraz coraz większymi ograniczeniami dotyczącymi wolności zgromadzeń i wolności prasy; jest poważnie zaniepokojony doniesieniami o powszechnych zatrzymaniach bez poważnego powodu, torturach, wymuszonych zaginięciach osób cywilnych oraz o alarmującym przeludnieniu w więzieniach; potępia władze za niepociąganie sił bezpieczeństwa do odpowiedzialności za ich działania oraz za ciągłe odrzucanie międzynarodowych wniosków o nadzór i dochodzenie; </w:t>
      </w:r>
    </w:p>
    <w:p w14:paraId="7A81AC24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15.</w:t>
      </w:r>
      <w:r w:rsidRPr="007A66E1">
        <w:tab/>
        <w:t>zdecydowanie potępia wykorzystywanie przez Federację Rosyjską hybrydowych taktyk, obejmujących operacje wojskowe, cybernetyczne, informacyjne oraz gospodarcze, w szczególności w sektorze energetycznym, w tym poprzez omijanie sankcji oraz nieprzejrzyste praktyki i korupcję, jako narzędzi ekspansji podważającej bezpieczeństwo regionalne, sprzyjającej destabilizacji wewnętrznej oraz prowadzącej do formowania bloku zagrażającego demokracji, pokojowi i prawu międzynarodowemu; jest głęboko zaniepokojony strategicznym partnerstwem między Wenezuelą a Federacją Rosyjską, które stanowi zagrożenie dla bezpieczeństwa regionalnego i międzynarodowego; wzywa UE, aby zintensyfikowała walkę z rosyjską propagandą w regionie; przypomina, że UE powinna zapewnić swoim delegaturom środki niezbędne do przeciwdziałania dezinformacji;</w:t>
      </w:r>
    </w:p>
    <w:p w14:paraId="5BB5DD28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16.</w:t>
      </w:r>
      <w:r w:rsidRPr="007A66E1">
        <w:tab/>
        <w:t>zauważa, że od 2005 r. Chiny udzieliły krajom Ameryki Łacińskiej i Karaibów pożyczek na łączną kwotę ponad 120 mld USD w celu zwiększenia swoich wpływów geopolitycznych i uzależnienia państw tego regionu od finansowania z Chin poprzez udostępnianie kapitału inwestycyjnego w zamian za dostawy ropy naftowej lub finansowanie projektów energetycznych i infrastrukturalnych; ubolewa, że owe projekty energetyczne i infrastrukturalne często prowadzą do stosowania niższych norm środowiskowych i norm pracy; przypomina, że w przeciwieństwie do innych światowych mocarstw UE nie dąży do zawierania umów o wydobycie surowców ani do nawiązywania niezrównoważonych relacji, lecz do partnerstwa opartego na wzajemności, zrównoważonym rozwoju i tworzeniu wartości dodanej; podkreśla, że właśnie ten model współpracy, w którym priorytetowo traktuje się poszanowanie suwerenności, przejrzystość i praworządność, sprawia, że UE jest preferowanym partnerem w regionie;</w:t>
      </w:r>
    </w:p>
    <w:p w14:paraId="6AF23FF0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17.</w:t>
      </w:r>
      <w:r w:rsidRPr="007A66E1">
        <w:tab/>
      </w:r>
      <w:bookmarkStart w:id="7" w:name="_Hlk208224438"/>
      <w:r w:rsidRPr="007A66E1">
        <w:t xml:space="preserve">popiera niepodległość, integralność terytorialną i suwerenność wszystkich krajów Ameryki Łacińskiej i Karaibów oraz odrzuca ambicje światowych mocarstw, aby wymusić stosunki opierające się na zależności politycznej i gospodarczej; podkreśla, że poszanowanie integralności terytorialnej państw jest podstawową zasadą prawa międzynarodowego, Karty Narodów Zjednoczonych i międzynarodowego porządku </w:t>
      </w:r>
      <w:r w:rsidRPr="007A66E1">
        <w:lastRenderedPageBreak/>
        <w:t>opartego na zasadach;</w:t>
      </w:r>
      <w:bookmarkEnd w:id="7"/>
    </w:p>
    <w:p w14:paraId="6A8BD66B" w14:textId="77777777" w:rsidR="00FD6134" w:rsidRPr="007A66E1" w:rsidRDefault="00FD6134" w:rsidP="00FD6134">
      <w:pPr>
        <w:pStyle w:val="Normal12a24b"/>
        <w:rPr>
          <w:bCs/>
          <w:i/>
        </w:rPr>
      </w:pPr>
      <w:r w:rsidRPr="007A66E1">
        <w:rPr>
          <w:rStyle w:val="BoldItalic"/>
        </w:rPr>
        <w:t>Współpraca gospodarcza z myślą o zrównoważonym wzroście</w:t>
      </w:r>
    </w:p>
    <w:p w14:paraId="11ADA702" w14:textId="77777777" w:rsidR="00FD6134" w:rsidRPr="007A66E1" w:rsidRDefault="00FD6134" w:rsidP="00FD6134">
      <w:pPr>
        <w:pStyle w:val="NormalHanging12a"/>
      </w:pPr>
      <w:r w:rsidRPr="007A66E1">
        <w:t>18.</w:t>
      </w:r>
      <w:r w:rsidRPr="007A66E1">
        <w:tab/>
        <w:t>z zadowoleniem przyjmuje silne partnerstwo gospodarcze i handlowe między UE a Ameryką Łacińską i Karaibami, które opiera się na wspólnych interesach, takich jak promowanie zrównoważonego wzrostu i rozwoju społecznego, poprawa odporności gospodarczej i ograniczanie nadmiernej zależności dzięki zróżnicowanym stosunkom handlowym;</w:t>
      </w:r>
    </w:p>
    <w:p w14:paraId="4DECACED" w14:textId="77777777" w:rsidR="00FD6134" w:rsidRPr="007A66E1" w:rsidRDefault="00FD6134" w:rsidP="00FD6134">
      <w:pPr>
        <w:pStyle w:val="NormalHanging12a"/>
      </w:pPr>
      <w:r w:rsidRPr="007A66E1">
        <w:t>19.</w:t>
      </w:r>
      <w:r w:rsidRPr="007A66E1">
        <w:tab/>
        <w:t xml:space="preserve">podkreśla ambicję UE, by przewodzić globalnej transformacji </w:t>
      </w:r>
      <w:proofErr w:type="gramStart"/>
      <w:r w:rsidRPr="007A66E1">
        <w:t>ekologicznej,</w:t>
      </w:r>
      <w:proofErr w:type="gramEnd"/>
      <w:r w:rsidRPr="007A66E1">
        <w:t xml:space="preserve"> oraz uznanie przez nią Ameryki Łacińskiej za kluczowego partnera w tych wysiłkach; wspiera Amerykę Łacińską i Karaiby w zwalczaniu nielegalnego wylesiania i w opracowywaniu projektów ponownego zalesiania;</w:t>
      </w:r>
    </w:p>
    <w:p w14:paraId="0BB2D897" w14:textId="77777777" w:rsidR="00FD6134" w:rsidRPr="007A66E1" w:rsidRDefault="00FD6134" w:rsidP="00FD6134">
      <w:pPr>
        <w:pStyle w:val="NormalHanging12a"/>
      </w:pPr>
      <w:r w:rsidRPr="007A66E1">
        <w:t>20.</w:t>
      </w:r>
      <w:r w:rsidRPr="007A66E1">
        <w:tab/>
        <w:t>podkreśla potrzebę zajęcia się nasilającym się zjawiskiem nierówności, promowania pokoju oraz wzmocnienia procesów i instytucji demokratycznych w obu regionach, a także podkreśla znaczenie współpracy gospodarczej promującej równość płci i wzmocnienie pozycji ekonomicznej kobiet; wyraża zaniepokojenie regresem w zakresie praw kobiet, zwłaszcza w odniesieniu do ich zdrowia seksualnego i reprodukcyjnego; wzywa do zlikwidowania różnic w wynagrodzeniu ze względu na płeć i popiera działania mające na celu poprawę reprezentacji kobiet na politycznych stanowiskach kierowniczych i w zgromadzeniach ustawodawczych oraz podkreśla potrzebę dostosowania stosunków gospodarczych między UE a Ameryką Łacińską i Karaibami do programu działań ONZ na rzecz zrównoważonego rozwoju do roku 2030 oraz zadbania o większą spójność między celami gospodarczymi a społecznymi i środowiskowymi;</w:t>
      </w:r>
    </w:p>
    <w:p w14:paraId="672BE02F" w14:textId="77777777" w:rsidR="00FD6134" w:rsidRPr="007A66E1" w:rsidRDefault="00FD6134" w:rsidP="00FD6134">
      <w:pPr>
        <w:pStyle w:val="NormalHanging12a"/>
      </w:pPr>
      <w:r w:rsidRPr="007A66E1">
        <w:t>21.</w:t>
      </w:r>
      <w:r w:rsidRPr="007A66E1">
        <w:tab/>
        <w:t>podkreśla, że UE jest największym inwestorem w regionie Ameryki Łacińskiej i Karaibów oraz trzecim co do wielkości partnerem handlowym; zauważa, że Ameryka Łacińska i Karaiby to piąty co do wielkości partner handlowy UE; podkreśla, że ta ścisła współpraca gospodarcza nie powinna służyć wyłącznie interesom dużych podmiotów finansowych, ale powinna być korzystna dla wszystkich, zwłaszcza dla MŚP, pracowników, osób znajdujących się w trudnej sytuacji oraz ludności z obszarów wiejskich i oddalonych;</w:t>
      </w:r>
    </w:p>
    <w:p w14:paraId="19446848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22.</w:t>
      </w:r>
      <w:r w:rsidRPr="007A66E1">
        <w:tab/>
        <w:t xml:space="preserve">podkreśla, że zarówno w sprawozdaniu </w:t>
      </w:r>
      <w:proofErr w:type="spellStart"/>
      <w:r w:rsidRPr="007A66E1">
        <w:t>Letty</w:t>
      </w:r>
      <w:proofErr w:type="spellEnd"/>
      <w:r w:rsidRPr="007A66E1">
        <w:t xml:space="preserve"> w sprawie przyszłości jednolitego rynku, jak i w sprawozdaniu </w:t>
      </w:r>
      <w:proofErr w:type="spellStart"/>
      <w:r w:rsidRPr="007A66E1">
        <w:t>Draghiego</w:t>
      </w:r>
      <w:proofErr w:type="spellEnd"/>
      <w:r w:rsidRPr="007A66E1">
        <w:t xml:space="preserve"> w sprawie przyszłości europejskiej konkurencyjności podkreślono, że należy zintensyfikować wysiłki na rzecz zabezpieczenia dostaw surowców krytycznych do UE, a także zaznacza, że Ameryka Łacińska i Karaiby mają potencjał, aby zostać kluczowym partnerem w kwestii dywersyfikacji łańcuchów dostaw; z zadowoleniem przyjmuje podpisanie protokołów ustaleń z partnerami w sprawie surowców krytycznych i podkreśla, że mają one kluczowe znaczenie dla osiągnięcia większej dywersyfikacji w łańcuchach dostaw UE; uważa, że porozumienia te wraz z pogłębianiem współpracy gospodarczej i politycznej dzięki umowom dwustronnym powinny doprowadzić do zwiększenia inwestycji w tym sektorze, na czym skorzystają obydwa regiony;</w:t>
      </w:r>
    </w:p>
    <w:p w14:paraId="706159A3" w14:textId="7777777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23.</w:t>
      </w:r>
      <w:r w:rsidRPr="007A66E1">
        <w:tab/>
        <w:t xml:space="preserve">apeluje o większą kontrolę i przejrzystość w kluczowych obszarach gospodarki, takich jak górnictwo, gdzie słabe regulacje mogą prowadzić do konfliktów i wyzysku; wzywa wszystkich partnerów, aby wzmocnili prawa pracownicze oraz promowali spółdzielnie i </w:t>
      </w:r>
      <w:r w:rsidRPr="007A66E1">
        <w:lastRenderedPageBreak/>
        <w:t>inne inicjatywy sprzyjające uczestnictwu i wzmocnieniu pozycji pracowników w gospodarce; podkreśla, jak ważne jest, aby wydobycie i przetwarzanie surowców krytycznych oraz handel nimi był zgodny z wysokimi standardami ochrony środowiska, odpowiedzialności społecznej i praw człowieka, a także popiera rozwój alternatywnych, odpornych, zrównoważonych i przejrzystych łańcuchów wartości, które przynoszą dobrobyt wszystkim zaangażowanym społeczeństwom;</w:t>
      </w:r>
    </w:p>
    <w:p w14:paraId="61B8A6FE" w14:textId="77777777" w:rsidR="00FD6134" w:rsidRPr="007A66E1" w:rsidRDefault="00FD6134" w:rsidP="00FD6134">
      <w:pPr>
        <w:pStyle w:val="NormalHanging12a"/>
      </w:pPr>
      <w:r w:rsidRPr="007A66E1">
        <w:t>24.</w:t>
      </w:r>
      <w:r w:rsidRPr="007A66E1">
        <w:tab/>
        <w:t>wzywa Komisję, aby zintensyfikowała dialog z krajami Ameryki Łacińskiej i Karaibów na temat wpływu prawodawstwa UE na ich lokalne gospodarki;</w:t>
      </w:r>
    </w:p>
    <w:p w14:paraId="03EB43F5" w14:textId="77777777" w:rsidR="00FD6134" w:rsidRPr="007A66E1" w:rsidRDefault="00FD6134" w:rsidP="00FD6134">
      <w:pPr>
        <w:pStyle w:val="NormalHanging12a"/>
        <w:rPr>
          <w:b/>
          <w:bCs/>
        </w:rPr>
      </w:pPr>
      <w:r w:rsidRPr="007A66E1">
        <w:rPr>
          <w:b/>
          <w:i/>
        </w:rPr>
        <w:t xml:space="preserve">Partnerstwa strategiczne a umowy międzynarodowe </w:t>
      </w:r>
    </w:p>
    <w:p w14:paraId="739AADC5" w14:textId="77777777" w:rsidR="00FD6134" w:rsidRPr="007A66E1" w:rsidRDefault="00FD6134" w:rsidP="00FD6134">
      <w:pPr>
        <w:pStyle w:val="NormalHanging12a"/>
      </w:pPr>
      <w:r w:rsidRPr="007A66E1">
        <w:t>25.</w:t>
      </w:r>
      <w:r w:rsidRPr="007A66E1">
        <w:tab/>
        <w:t>zwraca uwagę na gęstą sieć umów między obydwoma regionami i podkreśla, że fundamentalne znaczenie geopolityczne ma zawieranie nowych i ambitniejszych umów i relacji partnerskich, które sprzyjają włączeniu społecznemu, są zrównoważone, przynoszą obopólne korzyści, opierają się na wspólnych wartościach i są mocno zakorzenione w poszanowaniu praw człowieka; podkreśla rolę tych umów w dalszej integracji gospodarczej w celu zbudowania obszaru wspólnego dobrobytu i większego bezpieczeństwa gospodarczego; podkreśla znaczenie handlu międzyregionalnego między UE a Ameryką Łacińską i Karaibami dla dywersyfikacji systemów żywnościowych i poprawy bezpieczeństwa żywnościowego;</w:t>
      </w:r>
    </w:p>
    <w:p w14:paraId="10095F5F" w14:textId="77777777" w:rsidR="00FD6134" w:rsidRPr="007A66E1" w:rsidRDefault="00FD6134" w:rsidP="00FD6134">
      <w:pPr>
        <w:pStyle w:val="NormalHanging12a"/>
      </w:pPr>
      <w:r w:rsidRPr="007A66E1">
        <w:t>26.</w:t>
      </w:r>
      <w:r w:rsidRPr="007A66E1">
        <w:tab/>
        <w:t xml:space="preserve">przypomina o szczególnej roli, jaką Meksyk i Brazylia odgrywają w stosunkach międzyregionalnych, gdyż mają status partnerów strategicznych UE; zdecydowanie zachęca obie strony do lepszego wykorzystania potencjału tego partnerstwa strategicznego; podkreśla potrzebę wypełnienia zobowiązania polegającego na organizowaniu co dwa lata dwustronnych szczytów z udziałem obydwu krajów; </w:t>
      </w:r>
    </w:p>
    <w:p w14:paraId="529C7C47" w14:textId="77777777" w:rsidR="00FD6134" w:rsidRPr="007A66E1" w:rsidRDefault="00FD6134" w:rsidP="00FD6134">
      <w:pPr>
        <w:pStyle w:val="NormalHanging12a"/>
      </w:pPr>
      <w:r w:rsidRPr="007A66E1">
        <w:t>27.</w:t>
      </w:r>
      <w:r w:rsidRPr="007A66E1">
        <w:tab/>
        <w:t xml:space="preserve">z zadowoleniem przyjmuje pełną ratyfikację układu o stowarzyszeniu UE–Ameryka Środkowa oraz wejście w życie w maju 2024 r. jego trzech filarów: dialogu politycznego, współpracy i handlu; apeluje o przyjęcie solidnych i </w:t>
      </w:r>
      <w:proofErr w:type="spellStart"/>
      <w:r w:rsidRPr="007A66E1">
        <w:t>inkluzywnych</w:t>
      </w:r>
      <w:proofErr w:type="spellEnd"/>
      <w:r w:rsidRPr="007A66E1">
        <w:t xml:space="preserve"> mechanizmów udziału społeczeństwa obywatelskiego we wdrażaniu i monitorowaniu układu o stowarzyszeniu UE–Ameryka Środkowa z poszanowaniem zasad demokratycznych, przejrzystości i spójności społecznej; wzywa UE i kraje Ameryki Środkowej do prowadzenia aktywnej polityki i zapewnienia odpowiedniego finansowania w celu optymalizacji pozytywnego wpływu układu na cele zrównoważonego rozwoju w obu regionach;</w:t>
      </w:r>
    </w:p>
    <w:p w14:paraId="5858958B" w14:textId="77777777" w:rsidR="00FD6134" w:rsidRPr="007A66E1" w:rsidRDefault="00FD6134" w:rsidP="00FD6134">
      <w:pPr>
        <w:pStyle w:val="NormalHanging12a"/>
        <w:rPr>
          <w:b/>
          <w:i/>
        </w:rPr>
      </w:pPr>
      <w:r w:rsidRPr="007A66E1">
        <w:t>28.</w:t>
      </w:r>
      <w:r w:rsidRPr="007A66E1">
        <w:tab/>
        <w:t>z zadowoleniem przyjmuje podpisanie zaawansowanej umowy ramowej między UE a Chile oraz wzywa do szybkiej i pełnej ratyfikacji tej umowy; z zadowoleniem przyjmuje również zakończenie negocjacji w sprawie globalnej umowy między UE a Meksykiem, która wzmocni współpracę polityczną, otworzy nowe możliwości handlowe i wzmocni więzi w strategicznych sektorach, takich jak cyfryzacja, innowacje i bezpieczeństwo, a także wzywa do szybkiego podpisania i ratyfikacji tej umowy; dostrzega kluczową rolę Meksyku w Ameryce Łacińskiej i na Karaibach oraz jego ambicje w zakresie dywersyfikacji partnerstwa handlowego i politycznego; podkreśla, że umowa między UE a Meksykiem wzmocni rolę UE jako strategicznego partnera w regionie oraz jej zdolność do reagowania na globalne wyzwania;</w:t>
      </w:r>
    </w:p>
    <w:p w14:paraId="688EFBAF" w14:textId="2C6C8F00" w:rsidR="00FD6134" w:rsidRPr="007A66E1" w:rsidRDefault="00860E5A" w:rsidP="00FD6134">
      <w:pPr>
        <w:pStyle w:val="NormalHanging12a"/>
        <w:rPr>
          <w:bCs/>
          <w:iCs/>
        </w:rPr>
      </w:pPr>
      <w:r>
        <w:t>29</w:t>
      </w:r>
      <w:r w:rsidR="00FD6134" w:rsidRPr="007A66E1">
        <w:t>.</w:t>
      </w:r>
      <w:r w:rsidR="00FD6134" w:rsidRPr="007A66E1">
        <w:tab/>
        <w:t xml:space="preserve">podkreśla, jak ważne jest osiągnięcie celów określonych w porozumieniu klimatycznym z Paryża, i z zadowoleniem przyjmuje włączenie do umowy UE z </w:t>
      </w:r>
      <w:proofErr w:type="spellStart"/>
      <w:r w:rsidR="00FD6134" w:rsidRPr="007A66E1">
        <w:t>Mercosurem</w:t>
      </w:r>
      <w:proofErr w:type="spellEnd"/>
      <w:r w:rsidR="00FD6134" w:rsidRPr="007A66E1">
        <w:t xml:space="preserve"> wiążącej </w:t>
      </w:r>
      <w:r w:rsidR="00FD6134" w:rsidRPr="007A66E1">
        <w:lastRenderedPageBreak/>
        <w:t xml:space="preserve">klauzuli dotyczącej przestrzegania podjętych zobowiązań; podkreśla, że umowa o partnerstwie między UE a </w:t>
      </w:r>
      <w:proofErr w:type="spellStart"/>
      <w:r w:rsidR="00FD6134" w:rsidRPr="007A66E1">
        <w:t>Mercosurem</w:t>
      </w:r>
      <w:proofErr w:type="spellEnd"/>
      <w:r w:rsidR="00FD6134" w:rsidRPr="007A66E1">
        <w:t xml:space="preserve"> będzie okazją do znacznego wzmocnienia współpracy międzyregionalnej między UE a </w:t>
      </w:r>
      <w:proofErr w:type="spellStart"/>
      <w:r w:rsidR="00FD6134" w:rsidRPr="007A66E1">
        <w:t>Mercosurem</w:t>
      </w:r>
      <w:proofErr w:type="spellEnd"/>
      <w:r w:rsidR="00FD6134" w:rsidRPr="007A66E1">
        <w:t xml:space="preserve"> w celu sprostania wspólnym wyzwaniom, a jednocześnie umożliwi przeciwdziałanie rosnącemu wpływowi podmiotów autorytarnych w regionie i pomoże UE zdywersyfikować dostawy surowców krytycznych;</w:t>
      </w:r>
    </w:p>
    <w:p w14:paraId="505A4C01" w14:textId="77777777" w:rsidR="00FD6134" w:rsidRPr="007A66E1" w:rsidRDefault="00FD6134" w:rsidP="00FD6134">
      <w:pPr>
        <w:pStyle w:val="NormalHanging12a"/>
        <w:rPr>
          <w:b/>
          <w:bCs/>
          <w:i/>
          <w:iCs/>
        </w:rPr>
      </w:pPr>
      <w:r w:rsidRPr="007A66E1">
        <w:rPr>
          <w:b/>
          <w:i/>
        </w:rPr>
        <w:t xml:space="preserve">Współpraca wielostronna </w:t>
      </w:r>
    </w:p>
    <w:p w14:paraId="33229DA1" w14:textId="5BB6AAAC" w:rsidR="00FD6134" w:rsidRPr="007A66E1" w:rsidRDefault="00FD6134" w:rsidP="00FD6134">
      <w:pPr>
        <w:pStyle w:val="NormalHanging12a"/>
        <w:rPr>
          <w:i/>
          <w:iCs/>
        </w:rPr>
      </w:pPr>
      <w:r w:rsidRPr="007A66E1">
        <w:t>3</w:t>
      </w:r>
      <w:r w:rsidR="00860E5A">
        <w:t>0</w:t>
      </w:r>
      <w:r w:rsidRPr="007A66E1">
        <w:t>.</w:t>
      </w:r>
      <w:r w:rsidRPr="007A66E1">
        <w:tab/>
        <w:t>przypomina, że sojusz europejsko-latynoamerykański stanowi pomost pomyślany nie tylko po to, by zapobiec niebezpiecznemu dryfowi w kierunku zamkniętych i ideologicznie spolaryzowanych bloków, ale także po to, by otworzyć przestrzeń dla dialogu międzynarodowego, który zmniejsza napięcia i sprzyja wspólnym rozwiązaniom;</w:t>
      </w:r>
    </w:p>
    <w:p w14:paraId="5205E61B" w14:textId="09BE60C1" w:rsidR="00FD6134" w:rsidRPr="007A66E1" w:rsidRDefault="00FD6134" w:rsidP="00FD6134">
      <w:pPr>
        <w:pStyle w:val="NormalHanging12a"/>
        <w:rPr>
          <w:bCs/>
          <w:iCs/>
        </w:rPr>
      </w:pPr>
      <w:r w:rsidRPr="007A66E1">
        <w:t>3</w:t>
      </w:r>
      <w:r w:rsidR="00860E5A">
        <w:t>1</w:t>
      </w:r>
      <w:r w:rsidRPr="007A66E1">
        <w:t>.</w:t>
      </w:r>
      <w:r w:rsidRPr="007A66E1">
        <w:tab/>
        <w:t xml:space="preserve">podkreśla znaczący wkład krajów Ameryki Łacińskiej i Karaibów w działalność organizacji wielostronnych oraz ich aktywną rolę w stawianiu czoła globalnym wyzwaniom, takim jak zmiana klimatu, pokój i bezpieczeństwo, w tym promowanie agendy na rzecz kobiet, pokoju i bezpieczeństwa, oraz zrównoważony rozwój; podkreśla zobowiązanie obydwu regionów do obrony Karty Narodów Zjednoczonych, praw człowieka, demokracji przedstawicielskiej i silnego wielostronnego zarządzania; wzywa oba regiony do dalszej obrony multilateralizmu, w szczególności systemu ONZ, oraz do wspólnego przewodzenia reformie instytucji globalnego zarządzania, w tym międzynarodowych instytucji finansowych, w celu wypracowania bardziej </w:t>
      </w:r>
      <w:proofErr w:type="spellStart"/>
      <w:r w:rsidRPr="007A66E1">
        <w:t>inkluzywnego</w:t>
      </w:r>
      <w:proofErr w:type="spellEnd"/>
      <w:r w:rsidRPr="007A66E1">
        <w:t xml:space="preserve"> i reprezentatywnego multilateralizmu;</w:t>
      </w:r>
    </w:p>
    <w:p w14:paraId="475971A0" w14:textId="67927E8A" w:rsidR="00FD6134" w:rsidRPr="007A66E1" w:rsidRDefault="00FD6134" w:rsidP="00FD6134">
      <w:pPr>
        <w:pStyle w:val="NormalHanging12a"/>
      </w:pPr>
      <w:r w:rsidRPr="007A66E1">
        <w:t>3</w:t>
      </w:r>
      <w:r w:rsidR="00860E5A">
        <w:t>2</w:t>
      </w:r>
      <w:r w:rsidRPr="007A66E1">
        <w:t>.</w:t>
      </w:r>
      <w:r w:rsidRPr="007A66E1">
        <w:tab/>
        <w:t>wzywa do poczynienia postępów w zakresie zawierania umów o liberalizacji reżimu wizowego z krajami, z którymi dyskusje są najbardziej zaawansowane;</w:t>
      </w:r>
    </w:p>
    <w:p w14:paraId="4D68DC78" w14:textId="77777777" w:rsidR="00FD6134" w:rsidRPr="007A66E1" w:rsidRDefault="00FD6134" w:rsidP="00FD6134">
      <w:pPr>
        <w:pStyle w:val="NormalHanging12a"/>
        <w:ind w:left="0" w:firstLine="0"/>
        <w:rPr>
          <w:b/>
          <w:bCs/>
          <w:i/>
          <w:iCs/>
        </w:rPr>
      </w:pPr>
      <w:r w:rsidRPr="007A66E1">
        <w:rPr>
          <w:b/>
          <w:i/>
        </w:rPr>
        <w:t xml:space="preserve">Współpraca na rzecz rozwoju między UE a Ameryką Łacińską i Karaibami, pomoc humanitarna i zrównoważone inwestycje w ramach inicjatywy Global Gateway </w:t>
      </w:r>
    </w:p>
    <w:p w14:paraId="4ADEBD29" w14:textId="7A0D5756" w:rsidR="00FD6134" w:rsidRPr="007A66E1" w:rsidRDefault="00FD6134" w:rsidP="00FD6134">
      <w:pPr>
        <w:pStyle w:val="NormalHanging12a"/>
      </w:pPr>
      <w:r w:rsidRPr="007A66E1">
        <w:t>3</w:t>
      </w:r>
      <w:r w:rsidR="00860E5A">
        <w:t>3</w:t>
      </w:r>
      <w:r w:rsidRPr="007A66E1">
        <w:t>.</w:t>
      </w:r>
      <w:r w:rsidRPr="007A66E1">
        <w:tab/>
        <w:t>przypomina, że podstawowym celem polityki UE w dziedzinie współpracy na rzecz rozwoju jest ograniczenie, a w perspektywie długoterminowej – eliminacja ubóstwa; podkreśla, że eliminacja ubóstwa, zwłaszcza wśród najsłabszych grup społecznych, takich jak m.in. kobiety, dziewczęta i osoby z niepełnosprawnościami, ma zasadnicze znaczenie dla rozwiązania problemu rosnących nierówności, które osłabiają spójność społeczną i ograniczają potencjał gospodarczy; przypomina, że zadłużenie w krajach Ameryki Łacińskiej i Karaibów generuje poważne koszty gospodarcze i społeczne, co ma długotrwały wpływ na ubóstwo i nierówność; popiera restrukturyzację zadłużenia; podkreśla, że cele zrównoważonego rozwoju i porozumienie paryskie muszą pozostać centralnym elementem współpracy między Ameryką Łacińską i Karaibami a UE; przypomina, że dostęp do pomocy rozwojowej i finansowania ma szczególne znaczenie dla krajów niestabilnych, w tym krajów bardziej narażonych na skutki zmiany klimatu, w szczególności dla małych rozwijających się państw wyspiarskich na Karaibach, a także dla krajów przechodzących na wyższy poziom dochodów;</w:t>
      </w:r>
    </w:p>
    <w:p w14:paraId="5E0BB85E" w14:textId="6CDC6AF6" w:rsidR="00FD6134" w:rsidRPr="007A66E1" w:rsidRDefault="00FD6134" w:rsidP="00FD6134">
      <w:pPr>
        <w:pStyle w:val="NormalHanging12a"/>
      </w:pPr>
      <w:r w:rsidRPr="007A66E1">
        <w:t>3</w:t>
      </w:r>
      <w:r w:rsidR="00860E5A">
        <w:t>4</w:t>
      </w:r>
      <w:r w:rsidRPr="007A66E1">
        <w:t>.</w:t>
      </w:r>
      <w:r w:rsidRPr="007A66E1">
        <w:tab/>
        <w:t xml:space="preserve">podkreśla, że UE wnosi największy wkład we współpracę na rzecz rozwoju w Ameryce Łacińskiej i na Karaibach; ponownie podkreśla znaczenie wzmocnienia polityki rozwojowej UE i jej pomocy humanitarnej w Ameryce Łacińskiej i na Karaibach oraz wzywa UE i jej państwa członkowskie do wzmocnienia innych priorytetów </w:t>
      </w:r>
      <w:r w:rsidRPr="007A66E1">
        <w:lastRenderedPageBreak/>
        <w:t>zewnętrznych Unii, w tym priorytetów dotyczących bezpieczeństwa, zrównoważonego rozwoju i handlu, migracji, rybołówstwa, rolnictwa, zmiany klimatu i energii; wzywa do wypracowania rzeczywistych efektów synergii z pomocą humanitarną udzielaną przez UE przy pełnym poszanowaniu zasady współodpowiedzialności i z uwzględnieniem priorytetów rozwojowych regionu Ameryki Łacińskiej i Karaibów; wzywa do prowadzenia regularnych dialogów dwustronnych, a w stosownych przypadkach do prowadzenia konsultacji z samorządami lokalnymi i przedstawicielami społeczeństwa obywatelskiego w obu regionach, w tym do wspierania celów zrównoważonego rozwoju w układach o stowarzyszeniu UE–Ameryka Łacińska i Karaiby, zwłaszcza w odpowiedzi na globalny spadek oficjalnej pomocy rozwojowej i pomocy humanitarnej;</w:t>
      </w:r>
      <w:r w:rsidRPr="007A66E1">
        <w:rPr>
          <w:b/>
          <w:i/>
        </w:rPr>
        <w:t xml:space="preserve"> </w:t>
      </w:r>
    </w:p>
    <w:p w14:paraId="02ACCC43" w14:textId="5F004EC9" w:rsidR="00FD6134" w:rsidRPr="007A66E1" w:rsidRDefault="00FD6134" w:rsidP="00FD6134">
      <w:pPr>
        <w:pStyle w:val="NormalHanging12a"/>
        <w:rPr>
          <w:bCs/>
          <w:iCs/>
        </w:rPr>
      </w:pPr>
      <w:r w:rsidRPr="007A66E1">
        <w:t>3</w:t>
      </w:r>
      <w:r w:rsidR="00860E5A">
        <w:t>5</w:t>
      </w:r>
      <w:r w:rsidRPr="007A66E1">
        <w:t>.</w:t>
      </w:r>
      <w:r w:rsidRPr="007A66E1">
        <w:tab/>
        <w:t>jest zaniepokojony globalnymi cięciami w finansowaniu pomocy rozwojowej i humanitarnej, w szczególności zmniejszeniem oficjalnej pomocy rozwojowej i zawieszeniem większości programów amerykańskiej Agencji Rozwoju Międzynarodowego (USAID) (do 83%), a także globalnymi cięciami pomocy przez kilka państw członkowskich UE, gdyż finansowanie to odgrywa zasadniczą rolę we wspieraniu istotnych przemian społecznych, gospodarczych i politycznych w regionie; przypomina, że cięcia te będą miały długofalowy wpływ na agendę rozwoju i osiągnięcie celów zrównoważonego rozwoju w regionie Ameryki Łacińskiej i Karaibów; wyraża poważne zaniepokojenie wpływem niedawnych cięć na skuteczne zaangażowanie społeczeństwa obywatelskiego i organizacji pozarządowych oraz ich zdolność do prowadzenia działań na rzecz promowania praw człowieka, demokracji i rozwoju społecznego w regionie oraz zwalczania reżimów autorytarnych; wzywa zatem Komisję i państwa członkowskie do udzielenia regionowi Ameryki Łacińskiej i Karaibów odpowiedniej pomocy rozwojowej i humanitarnej;</w:t>
      </w:r>
    </w:p>
    <w:p w14:paraId="3A24DF36" w14:textId="29DB52C2" w:rsidR="00FD6134" w:rsidRPr="007A66E1" w:rsidRDefault="00FD6134" w:rsidP="00FD6134">
      <w:pPr>
        <w:pStyle w:val="NormalHanging12a"/>
      </w:pPr>
      <w:r w:rsidRPr="007A66E1">
        <w:t>3</w:t>
      </w:r>
      <w:r w:rsidR="00860E5A">
        <w:t>6</w:t>
      </w:r>
      <w:r w:rsidRPr="007A66E1">
        <w:t>.</w:t>
      </w:r>
      <w:r w:rsidRPr="007A66E1">
        <w:tab/>
      </w:r>
      <w:bookmarkStart w:id="8" w:name="_Hlk204153068"/>
      <w:r w:rsidRPr="007A66E1">
        <w:t>podkreśla, że tradycyjne formy oficjalnej pomocy rozwojowej okazały się niezbędne i skuteczne w ograniczaniu ubóstwa, przeciwdziałaniu pogłębiającemu się zjawisku nierówności, poprawie wyników zdrowotnych i edukacyjnych oraz wspieraniu spójności społecznej w regionie Ameryki Łacińskiej i Karaibów, zwłaszcza jeśli chodzi o włączenie grup niedostatecznie reprezentowanych i zmarginalizowanych, takich jak dziewczęta, kobiety, ludzie młodzi, osoby niepełnosprawne, ludy tubylcze oraz osoby pochodzenia afrykańskiego;</w:t>
      </w:r>
      <w:bookmarkEnd w:id="8"/>
    </w:p>
    <w:p w14:paraId="3393EF4A" w14:textId="5E0298DE" w:rsidR="00FD6134" w:rsidRPr="007A66E1" w:rsidRDefault="00FD6134" w:rsidP="00FD6134">
      <w:pPr>
        <w:pStyle w:val="NormalHanging12a"/>
        <w:rPr>
          <w:b/>
          <w:i/>
        </w:rPr>
      </w:pPr>
      <w:r w:rsidRPr="007A66E1">
        <w:t>3</w:t>
      </w:r>
      <w:r w:rsidR="00860E5A">
        <w:t>7</w:t>
      </w:r>
      <w:r w:rsidRPr="007A66E1">
        <w:t>.</w:t>
      </w:r>
      <w:r w:rsidRPr="007A66E1">
        <w:tab/>
        <w:t>wzywa do pełnego udziału społeczeństwa obywatelskiego w opracowywaniu, wdrażaniu i monitorowaniu programów UE w celu zapewnienia spójności polityki na rzecz zrównoważonego rozwoju</w:t>
      </w:r>
      <w:bookmarkStart w:id="9" w:name="_Hlk204153374"/>
      <w:r w:rsidRPr="007A66E1">
        <w:t>;</w:t>
      </w:r>
      <w:bookmarkEnd w:id="9"/>
    </w:p>
    <w:p w14:paraId="4D4FBE1A" w14:textId="24AF65ED" w:rsidR="00FD6134" w:rsidRPr="007A66E1" w:rsidRDefault="00FD6134" w:rsidP="00FD6134">
      <w:pPr>
        <w:pStyle w:val="NormalHanging12a"/>
        <w:rPr>
          <w:bCs/>
          <w:iCs/>
        </w:rPr>
      </w:pPr>
      <w:r w:rsidRPr="007A66E1">
        <w:t>3</w:t>
      </w:r>
      <w:r w:rsidR="00860E5A">
        <w:t>8</w:t>
      </w:r>
      <w:r w:rsidRPr="007A66E1">
        <w:rPr>
          <w:b/>
          <w:i/>
        </w:rPr>
        <w:t>.</w:t>
      </w:r>
      <w:r w:rsidRPr="007A66E1">
        <w:rPr>
          <w:b/>
          <w:i/>
        </w:rPr>
        <w:tab/>
      </w:r>
      <w:r w:rsidRPr="007A66E1">
        <w:t>podkreśla strategiczny potencjał współpracy trójstronnej między UE, państwami Organizacji Współpracy Gospodarczej i Rozwoju oraz partnerami z Ameryki Łacińskiej i Karaibów w celu zwiększenia wpływu na rozwój, zintensyfikowania wzajemnego uczenia się i szerzenia innowacji politycznych; podkreśla, że takie partnerstwa, dostosowane do lokalnych priorytetów i koncentrujące się na budowaniu zdolności, mogą sprzyjać integracyjnym rozwiązaniom globalnych wyzwań; wzywa UE do zwiększenia wsparcia dla inicjatyw współpracy trójstronnej w ramach ISWMR – „Globalny wymiar Europy” oraz do systematycznego włączania ich do programu strategicznego między UE a Ameryką Łacińską i Karaibami;</w:t>
      </w:r>
    </w:p>
    <w:p w14:paraId="073CCB95" w14:textId="77E5F070" w:rsidR="00FD6134" w:rsidRPr="007A66E1" w:rsidRDefault="00860E5A" w:rsidP="00FD6134">
      <w:pPr>
        <w:pStyle w:val="NormalHanging12a"/>
        <w:rPr>
          <w:bCs/>
          <w:iCs/>
        </w:rPr>
      </w:pPr>
      <w:r>
        <w:t>39</w:t>
      </w:r>
      <w:r w:rsidR="00FD6134" w:rsidRPr="007A66E1">
        <w:t>.</w:t>
      </w:r>
      <w:r w:rsidR="00FD6134" w:rsidRPr="007A66E1">
        <w:tab/>
        <w:t xml:space="preserve">wzywa UE i jej państwa członkowskie do wykorzystania najważniejszych inicjatyw, takich jak Global Gateway, w celu zwiększenia inwestycji w Ameryce Łacińskiej i na </w:t>
      </w:r>
      <w:r w:rsidR="00FD6134" w:rsidRPr="007A66E1">
        <w:lastRenderedPageBreak/>
        <w:t xml:space="preserve">Karaibach, tak aby UE pozostała silnym i konkurencyjnym partnerem dla krajów Ameryki Łacińskiej i Karaibów, a to ze względu na ciągłą obecność Chin i Rosji w regionie, o czym jednoznacznie świadczą zobowiązania Chin podjęte podczas forum Chiny–CELAC, które odbyło się 13 maja 2025 r.; podkreśla, że zwiększenie inwestycji UE w Ameryce Łacińskiej jest tym ważniejsze, że coraz intensywniej w Ameryce Łacińskiej wdrażana jest inicjatywa „Jeden pas i jeden szlak”, do której na forum Chiny–CELAC 13 maja 2025 r. przystąpiła również Kolumbia; wzywa Komisję do realizacji projektów i strategii zaplanowanych w ramach strategii Global Gateway, aby m.in. budować zrównoważoną i wysokiej jakości infrastrukturę, która skutecznie tworzy wartość lokalną, wzmacnia międzyregionalne łańcuchy wartości i zwiększa bezpieczeństwo gospodarcze obu regionów; nalega, aby strategia Global Gateway zawsze była zgodna z podstawowymi wartościami UE, w tym z poszanowaniem praw człowieka, dobrych rządów, demokracji i przejrzystości oraz zrównoważenia środowiskowego stosownie do unijnych zasad skuteczności rozwoju; wzywa UE i jej państwa członkowskie do dopilnowania, aby inwestycje dokonywane w ramach strategii Global Gateway obejmowały rygorystyczne procesy należytej staranności; </w:t>
      </w:r>
    </w:p>
    <w:p w14:paraId="425AC854" w14:textId="4B45F37F" w:rsidR="00FD6134" w:rsidRPr="007A66E1" w:rsidRDefault="00FD6134" w:rsidP="00FD6134">
      <w:pPr>
        <w:pStyle w:val="NormalHanging12a"/>
      </w:pPr>
      <w:r w:rsidRPr="007A66E1">
        <w:t>4</w:t>
      </w:r>
      <w:r w:rsidR="00860E5A">
        <w:t>0</w:t>
      </w:r>
      <w:r w:rsidRPr="007A66E1">
        <w:t>.</w:t>
      </w:r>
      <w:r w:rsidRPr="007A66E1">
        <w:tab/>
        <w:t>apeluje o skuteczne wdrożenie programu inwestycyjnego EU–Ameryka Łacińska i Karaiby w ramach strategii Global Gateway poprzez rozwijanie partnerstwa między sektorem prywatnym i publicznym w celu wspierania zrównoważonego rozwoju, wzrostu sprzyjającego włączeniu społecznemu i zatrudnienia, a także sprawiedliwej, ekologicznej i cyfrowej transformacji; wzywa Komisję do dopilnowania, aby inwestycje te, od ich opracowania po ich realizację, były zgodne z celami zrównoważonego rozwoju i priorytetami w zakresie zrównoważonego rozwoju określonymi przez partnerów Ameryki Łacińskiej i Karaibów, w tym poprzez regularne konsultacje z władzami lokalnymi i przedstawicielami społeczeństwa obywatelskiego oraz poprzez oceny skutków i ewaluacje, a także aby stanowiły odpowiedź na potrzeby lokalne i regionalne, uwzględniały aspekt płci i prowadziły do osiągnięcia konkretnych wyników rozwojowych;</w:t>
      </w:r>
    </w:p>
    <w:p w14:paraId="2FC41702" w14:textId="559B1DE3" w:rsidR="00FD6134" w:rsidRPr="007A66E1" w:rsidRDefault="00FD6134" w:rsidP="00FD6134">
      <w:pPr>
        <w:pStyle w:val="NormalHanging12a"/>
        <w:rPr>
          <w:bCs/>
          <w:iCs/>
        </w:rPr>
      </w:pPr>
      <w:r w:rsidRPr="007A66E1">
        <w:t>4</w:t>
      </w:r>
      <w:r w:rsidR="00860E5A">
        <w:t>1</w:t>
      </w:r>
      <w:r w:rsidRPr="007A66E1">
        <w:t>.</w:t>
      </w:r>
      <w:r w:rsidRPr="007A66E1">
        <w:tab/>
        <w:t xml:space="preserve">podkreśla, że należy stworzyć odpowiednie warunki do uruchomienia zarówno publicznych, jak i prywatnych inwestycji wspierających zrównoważony rozwój; podkreśla w związku z tym potrzebę wyeliminowania luki w finansowaniu dla regionu, która wynosi 99 mld USD rocznie i dotyczy projektów infrastrukturalnych i klimatycznych zgodnych z celami zrównoważonego rozwoju, aby sprawiedliwie przeprowadzić zieloną i cyfrową transformację; podkreśla kluczową rolę Europejskiego Funduszu na rzecz Zrównoważonego Rozwoju Plus (EFZR+) w uruchamianiu inwestycji, aby osiągnąć te cele, a także rolę, jaką odgrywa Europejski Bank Inwestycyjny (EBI), w szczególności EBI Global, w ramach EFZR+ w rozwiązywaniu problemu utrzymującego się braku długoterminowego finansowania i wiedzy technicznej na rzecz zielonych inwestycji w regionie, na co wskazano w badaniu przeprowadzonym w 2024 r. przez EBI i Latynoamerykańskie Stowarzyszenie Instytucji Finansujących Rozwój; popiera ściślejszą współpracę z lokalnymi instytucjami finansowymi i regionalnymi bankami rozwoju oraz wzywa do większego wykorzystania gwarancji EFZR+ do wspierania małych projektów o dużym wpływie z udziałem społeczeństwa obywatelskiego i społeczności lokalnych, zgodnie z zasadami strategii Global Gateway i unijnymi zasadami skuteczności rozwoju; </w:t>
      </w:r>
    </w:p>
    <w:p w14:paraId="10B36F10" w14:textId="3AD663A2" w:rsidR="00FD6134" w:rsidRPr="007A66E1" w:rsidRDefault="00FD6134" w:rsidP="00FD6134">
      <w:pPr>
        <w:pStyle w:val="NormalHanging12a"/>
      </w:pPr>
      <w:r w:rsidRPr="007A66E1">
        <w:t>4</w:t>
      </w:r>
      <w:r w:rsidR="00860E5A">
        <w:t>2</w:t>
      </w:r>
      <w:r w:rsidRPr="007A66E1">
        <w:t>.</w:t>
      </w:r>
      <w:r w:rsidRPr="007A66E1">
        <w:tab/>
        <w:t xml:space="preserve">podkreśla, że współpraca między UE a Ameryką Łacińską i Karaibami w zakresie surowców i technologii krytycznych ma zasadnicze znaczenie dla osiągnięcia sprawiedliwej, ekologicznej i cyfrowej transformacji oraz dla wzmocnienia </w:t>
      </w:r>
      <w:r w:rsidRPr="007A66E1">
        <w:lastRenderedPageBreak/>
        <w:t>strategicznej autonomii w obu regionach w oparciu o wzajemnie korzystne partnerstwa; podkreśla, że taka współpraca pomaga przezwyciężyć zależność gospodarek Ameryki Łacińskiej i Karaibów od podstawowych towarów (produktów rolnych i zasobów naturalnych) i odgrywa ważną rolę we wzmacnianiu łańcuchów wartości dzięki zrównoważonej polityce reindustrializacji, która tworzy godne miejsca pracy, promuje zrównoważenie środowiskowe i sprzyja innowacjom technologicznym; zaleca zacieśnienie współpracy w dziedzinie edukacji cyfrowej i badań naukowych między uniwersytetami i ośrodkami innowacji w UE oraz w Ameryce Łacińskiej i na Karaibach;</w:t>
      </w:r>
    </w:p>
    <w:p w14:paraId="4EB8694A" w14:textId="4DB91358" w:rsidR="00FD6134" w:rsidRPr="007A66E1" w:rsidRDefault="00FD6134" w:rsidP="00FD6134">
      <w:pPr>
        <w:pStyle w:val="NormalHanging12a"/>
        <w:rPr>
          <w:bCs/>
          <w:iCs/>
        </w:rPr>
      </w:pPr>
      <w:r w:rsidRPr="007A66E1">
        <w:t>4</w:t>
      </w:r>
      <w:r w:rsidR="00860E5A">
        <w:t>3</w:t>
      </w:r>
      <w:r w:rsidRPr="007A66E1">
        <w:t>.</w:t>
      </w:r>
      <w:r w:rsidRPr="007A66E1">
        <w:tab/>
        <w:t xml:space="preserve">podkreśla, że inwestycje w ramach strategii Global Gateway w regionie Ameryki Łacińskiej i Karaibów powinny priorytetowo traktować likwidowanie różnic w infrastrukturze oraz nierówności, w tym ubóstwa cyfrowego i energetycznego, zwłaszcza na obszarach wiejskich i peryferyjnych, aby zaniedbani pod tym względem mieszkańcy odczuli korzyści wynikające z lepszej łączności; podkreśla, że obejmuje to młodych ludzi i sektor nieformalny oraz że należy zadbać o tani dostęp do </w:t>
      </w:r>
      <w:proofErr w:type="spellStart"/>
      <w:r w:rsidRPr="007A66E1">
        <w:t>internetu</w:t>
      </w:r>
      <w:proofErr w:type="spellEnd"/>
      <w:r w:rsidRPr="007A66E1">
        <w:t xml:space="preserve"> i o poprawę umiejętności cyfrowych</w:t>
      </w:r>
      <w:bookmarkStart w:id="10" w:name="_Hlk204153963"/>
      <w:r w:rsidRPr="007A66E1">
        <w:t xml:space="preserve"> we wszystkich grupach ludności, zwłaszcza w społecznościach zmarginalizowanych, aby wyeliminować przepaść </w:t>
      </w:r>
      <w:bookmarkStart w:id="11" w:name="_Hlk204173687"/>
      <w:bookmarkEnd w:id="11"/>
      <w:r w:rsidRPr="007A66E1">
        <w:t>cyfrową</w:t>
      </w:r>
      <w:bookmarkEnd w:id="10"/>
      <w:r w:rsidRPr="007A66E1">
        <w:t xml:space="preserve">; </w:t>
      </w:r>
    </w:p>
    <w:p w14:paraId="13AC29BB" w14:textId="5027FA79" w:rsidR="00FD6134" w:rsidRPr="007A66E1" w:rsidRDefault="00FD6134" w:rsidP="00FD6134">
      <w:pPr>
        <w:pStyle w:val="NormalHanging12a"/>
      </w:pPr>
      <w:r w:rsidRPr="007A66E1">
        <w:t>4</w:t>
      </w:r>
      <w:r w:rsidR="00860E5A">
        <w:t>4</w:t>
      </w:r>
      <w:r w:rsidRPr="007A66E1">
        <w:t>.</w:t>
      </w:r>
      <w:r w:rsidRPr="007A66E1">
        <w:tab/>
        <w:t xml:space="preserve">podkreśla, że młodzi ludzie, którzy są kluczowym czynnikiem zmian strukturalnych, nadal napotykają poważne przeszkody w dostępie do godnego zatrudnienia, a także podkreśla, że priorytety strategii Global Gateway muszą wspierać inwestycje w edukację, szkolenie zawodowe i politykę zatrudnienia dostosowane do potrzeb przyszłego rynku pracy; </w:t>
      </w:r>
    </w:p>
    <w:p w14:paraId="4EC9A959" w14:textId="28C0D631" w:rsidR="00FD6134" w:rsidRPr="007A66E1" w:rsidRDefault="00FD6134" w:rsidP="00FD6134">
      <w:pPr>
        <w:pStyle w:val="NormalHanging12a"/>
        <w:rPr>
          <w:bCs/>
          <w:iCs/>
        </w:rPr>
      </w:pPr>
      <w:r w:rsidRPr="007A66E1">
        <w:t>4</w:t>
      </w:r>
      <w:r w:rsidR="00860E5A">
        <w:t>5</w:t>
      </w:r>
      <w:r w:rsidRPr="007A66E1">
        <w:t>.</w:t>
      </w:r>
      <w:r w:rsidRPr="007A66E1">
        <w:tab/>
        <w:t xml:space="preserve">ponadto przypomina, że należy priorytetowo traktować programy uznane już przez organizacje międzynarodowe i organizacje społeczeństwa obywatelskiego za skuteczne, takie jak inwestycje w systemy zdrowia i opieki; wzywa, zwłaszcza w związku z niestabilną sytuacją w regionie, do skutecznego włączenia osób z niepełnosprawnością, aby zagwarantować </w:t>
      </w:r>
      <w:proofErr w:type="spellStart"/>
      <w:r w:rsidRPr="007A66E1">
        <w:t>inkluzywne</w:t>
      </w:r>
      <w:proofErr w:type="spellEnd"/>
      <w:r w:rsidRPr="007A66E1">
        <w:t>, dostępne i skuteczne podejście do opieki zdrowotnej;</w:t>
      </w:r>
    </w:p>
    <w:p w14:paraId="2972A0F0" w14:textId="08E5CE4D" w:rsidR="00FD6134" w:rsidRPr="007A66E1" w:rsidRDefault="00FD6134" w:rsidP="00FD6134">
      <w:pPr>
        <w:pStyle w:val="NormalHanging12a"/>
      </w:pPr>
      <w:r w:rsidRPr="007A66E1">
        <w:t>4</w:t>
      </w:r>
      <w:r w:rsidR="00860E5A">
        <w:t>6</w:t>
      </w:r>
      <w:r w:rsidRPr="007A66E1">
        <w:t>.</w:t>
      </w:r>
      <w:r w:rsidRPr="007A66E1">
        <w:tab/>
        <w:t>przypomina, że układy handlowe i o stowarzyszeniu umożliwiają obu regionom wymianę i inwestowanie w różnych sektorach, a także podkreśla, że zmniejszanie nierówności, promowanie dostępu do opieki zdrowotnej, edukacji i wody oraz poszanowanie godności ludzkiej i praw podstawowych musi pozostać centralnym elementem partnerstwa między UE a Ameryką Łacińską i Karaibami zgodnie z art. 208 TFUE i ISWMR – „Globalny wymiar Europy”;</w:t>
      </w:r>
    </w:p>
    <w:p w14:paraId="2D94D65A" w14:textId="732811CC" w:rsidR="00FD6134" w:rsidRPr="007A66E1" w:rsidRDefault="00FD6134" w:rsidP="00FD6134">
      <w:pPr>
        <w:pStyle w:val="NormalHanging12a"/>
      </w:pPr>
      <w:r w:rsidRPr="007A66E1">
        <w:t>4</w:t>
      </w:r>
      <w:r w:rsidR="00860E5A">
        <w:t>7</w:t>
      </w:r>
      <w:r w:rsidRPr="007A66E1">
        <w:t>.</w:t>
      </w:r>
      <w:r w:rsidRPr="007A66E1">
        <w:tab/>
        <w:t>podkreśla znaczenie większej przejrzystości, rozliczalności i powiązań lokalnych oraz z zadowoleniem przyjmuje utworzenie przez Komisję strony internetowej zawierającej informacje na temat istniejących inicjatyw Global Gateway; wzywa Komisję do opublikowania dalszych szczegółów, w tym wyników konsultacji z władzami lokalnymi i społeczeństwem obywatelskim obu regionów, a także informacji o zgodności z celami zrównoważonego rozwoju i priorytetami zarówno UE, jak i krajów partnerskich, wraz z poziomami odniesienia i wskaźnikami; wzywa do jak najszerszego stosowania opracowanego przez Komisję wskaźnika nierówności, zwłaszcza w odniesieniu do strategii Global Gateway, która powinna zawsze być zgodna z podejściem opartym na prawach i powiązana ze wskaźnikami rozwoju społecznego; podkreśla ponadto znaczenie ochrony socjalnej i ochrony środowiska w ramach dialogu prowadzonego przez UE i Wspólnotę Państw Ameryki Łacińskiej i Karaibów;</w:t>
      </w:r>
    </w:p>
    <w:p w14:paraId="41F01941" w14:textId="633FB74B" w:rsidR="00FD6134" w:rsidRPr="007A66E1" w:rsidRDefault="00FD6134" w:rsidP="00FD6134">
      <w:pPr>
        <w:pStyle w:val="NormalHanging12a"/>
        <w:rPr>
          <w:bCs/>
          <w:iCs/>
        </w:rPr>
      </w:pPr>
      <w:r w:rsidRPr="007A66E1">
        <w:lastRenderedPageBreak/>
        <w:t>4</w:t>
      </w:r>
      <w:r w:rsidR="00860E5A">
        <w:t>8</w:t>
      </w:r>
      <w:r w:rsidRPr="007A66E1">
        <w:t>.</w:t>
      </w:r>
      <w:r w:rsidRPr="007A66E1">
        <w:tab/>
        <w:t>zaznacza, że konieczna jest ciągła ewaluacja strategii Global Gateway w celu oceny jej skuteczności i kierunku strategicznego; wzywa w związku z tym do wzmocnienia roli Parlamentu w nadzorowaniu inicjatywy Global Gateway i w strategicznym sterowaniu nią, zwłaszcza w odniesieniu do jej wdrażania w Ameryce Łacińskiej i na Karaibach, aby zagwarantować przejrzystość, demokratyczną rozliczalność, dostosowanie do wartości UE i skuteczne wykorzystanie zasobów;</w:t>
      </w:r>
    </w:p>
    <w:p w14:paraId="3305B54C" w14:textId="1E679F93" w:rsidR="00FD6134" w:rsidRPr="007A66E1" w:rsidRDefault="00860E5A" w:rsidP="00FD6134">
      <w:pPr>
        <w:pStyle w:val="NormalHanging12a"/>
        <w:rPr>
          <w:bCs/>
          <w:iCs/>
        </w:rPr>
      </w:pPr>
      <w:r>
        <w:t>49</w:t>
      </w:r>
      <w:r w:rsidR="00FD6134" w:rsidRPr="007A66E1">
        <w:t>.</w:t>
      </w:r>
      <w:r w:rsidR="00FD6134" w:rsidRPr="007A66E1">
        <w:tab/>
        <w:t>wzywa Komisję do zadbania o nieograniczony udział społeczeństwa obywatelskiego w opracowywaniu, wdrażaniu i monitorowaniu programów UE w celu zagwarantowania spójności polityki na rzecz zrównoważonego rozwoju poprzez wypracowanie rzeczywistych efektów synergii ze wszystkimi projektami związanymi z inicjatywą Global Gateway i z pomocą humanitarną udzielaną przez UE;</w:t>
      </w:r>
    </w:p>
    <w:p w14:paraId="7D08E08C" w14:textId="08619064" w:rsidR="00FD6134" w:rsidRPr="007A66E1" w:rsidRDefault="00FD6134" w:rsidP="00FD6134">
      <w:pPr>
        <w:pStyle w:val="NormalHanging12a"/>
        <w:rPr>
          <w:bCs/>
          <w:iCs/>
        </w:rPr>
      </w:pPr>
      <w:r w:rsidRPr="007A66E1">
        <w:t>5</w:t>
      </w:r>
      <w:r w:rsidR="00860E5A">
        <w:t>0</w:t>
      </w:r>
      <w:r w:rsidRPr="007A66E1">
        <w:t>.</w:t>
      </w:r>
      <w:r w:rsidRPr="007A66E1">
        <w:tab/>
      </w:r>
      <w:bookmarkStart w:id="12" w:name="_Hlk209435917"/>
      <w:r w:rsidRPr="007A66E1">
        <w:t>podkreśla, że oprócz inicjatywy Global Gateway należy utrzymać współpracę z Ameryką Łacińską i Karaibami w tradycyjnych dziedzinach; wzywa UE do zwiększenia finansowania programów na rzecz praw człowieka, demokracji i społeczeństwa obywatelskiego w regionie oraz do zadbania o to, aby środki przeznaczone na program geograficzny dla obu Ameryk i Karaibów w ramach ISWMR – „Globalny wymiar Europy”, obecnie najniższe spośród wszystkich regionów, zostały co najmniej utrzymane;</w:t>
      </w:r>
    </w:p>
    <w:bookmarkEnd w:id="12"/>
    <w:p w14:paraId="589B670D" w14:textId="21ECF278" w:rsidR="00FD6134" w:rsidRPr="007A66E1" w:rsidRDefault="00FD6134" w:rsidP="00FD6134">
      <w:pPr>
        <w:pStyle w:val="NormalHanging12a"/>
        <w:rPr>
          <w:bCs/>
          <w:iCs/>
        </w:rPr>
      </w:pPr>
      <w:r w:rsidRPr="007A66E1">
        <w:t>5</w:t>
      </w:r>
      <w:r w:rsidR="00860E5A">
        <w:t>1</w:t>
      </w:r>
      <w:r w:rsidRPr="007A66E1">
        <w:t>.</w:t>
      </w:r>
      <w:r w:rsidRPr="007A66E1">
        <w:tab/>
        <w:t>wzywa Komisję i państwa Ameryki Łacińskiej i Karaibów do wzmożenia wysiłków na rzecz wyeliminowania przyczyn katastrof powodowanych przez człowieka i klęsk żywiołowych poprzez wzmocnienie polityki zapobiegania, gotowości, odporności i reagowania oraz zacieśnienie współpracy; z zadowoleniem przyjmuje międzyregionalny protokół ustaleń w sprawie współpracy w dziedzinie zintegrowanego zarządzania ryzykiem związanym z klęskami żywiołowymi, podpisany na Barbadosie 15 maja 2024 r., i zachęca partnerów, którzy jeszcze go nie podpisali, aby uczynili to jak najszybciej;</w:t>
      </w:r>
    </w:p>
    <w:p w14:paraId="5CCD31DE" w14:textId="1A1EAA88" w:rsidR="00FD6134" w:rsidRPr="007A66E1" w:rsidRDefault="00FD6134" w:rsidP="00FD6134">
      <w:pPr>
        <w:pStyle w:val="NormalHanging12a"/>
        <w:rPr>
          <w:bCs/>
          <w:iCs/>
        </w:rPr>
      </w:pPr>
      <w:r w:rsidRPr="007A66E1">
        <w:t>5</w:t>
      </w:r>
      <w:r w:rsidR="00860E5A">
        <w:t>2</w:t>
      </w:r>
      <w:r w:rsidRPr="007A66E1">
        <w:t>.</w:t>
      </w:r>
      <w:r w:rsidRPr="007A66E1">
        <w:tab/>
        <w:t>przypomina, że europejska współpraca i inwestycje nie tylko wspierają rozwój gospodarczy w regionie, ale także przyczyniają się do pokoju przez tworzenie alternatyw gospodarczych dla młodych ludzi w regionie Ameryki Łacińskiej; podkreśla, że region ten ma zasadnicze znaczenie w walce z przestępczością zorganizowaną; podkreśla, jak ważne jest zacieśnienie współpracy między obydwoma regionami w zakresie szeroko rozumianego bezpieczeństwa, w tym w zakresie klimatu, żywności, zdrowia i zabezpieczenia społecznego, wdrożenie wspólnych mechanizmów gotowości, zapobiegania i reagowania oraz pełne uwzględnienie praw człowieka i zasad humanitarnych we współpracy między UE a Ameryką Łacińską i Karaibami w zakresie bezpieczeństwa, aby przerwać zaklęty krąg przemocy i wykluczenia w regionie Ameryki Łacińskiej i Karaibów;</w:t>
      </w:r>
    </w:p>
    <w:p w14:paraId="46FEEAD0" w14:textId="2580DB14" w:rsidR="00FD6134" w:rsidRPr="007A66E1" w:rsidRDefault="00FD6134" w:rsidP="00FD6134">
      <w:pPr>
        <w:pStyle w:val="NormalHanging12a"/>
        <w:rPr>
          <w:bCs/>
          <w:iCs/>
        </w:rPr>
      </w:pPr>
      <w:r w:rsidRPr="007A66E1">
        <w:t>5</w:t>
      </w:r>
      <w:r w:rsidR="00860E5A">
        <w:t>3</w:t>
      </w:r>
      <w:r w:rsidRPr="007A66E1">
        <w:t>.</w:t>
      </w:r>
      <w:r w:rsidRPr="007A66E1">
        <w:tab/>
        <w:t xml:space="preserve">wyraża zadowolenie z ambicji UE, by przewodzić globalnej transformacji ekologicznej, oraz zwraca uwagę na uznanie przez nią Ameryki Łacińskiej za kluczowego partnera w tych wysiłkach; podkreśla potrzebę wspólnego realizowania globalnych inicjatyw ekologicznych, które odpowiadają globalnym celom w zakresie łagodzenia zmiany klimatu i przystosowywania się do niej; podkreśla potrzebę promowania sprawiedliwej i </w:t>
      </w:r>
      <w:proofErr w:type="spellStart"/>
      <w:r w:rsidRPr="007A66E1">
        <w:t>inkluzywnej</w:t>
      </w:r>
      <w:proofErr w:type="spellEnd"/>
      <w:r w:rsidRPr="007A66E1">
        <w:t xml:space="preserve"> transformacji ekologicznej w obu regionach, w tym poprzez ściślejszą współpracę między UE a Ameryką Łacińską i Karaibami w zakresie przystosowywania się do zmiany klimatu i łagodzenia jej skutków, oraz reagowania na ekstremalne zdarzenia klimatyczne, ze szczególnym uwzględnieniem obszarów krytycznych, takich </w:t>
      </w:r>
      <w:r w:rsidRPr="007A66E1">
        <w:lastRenderedPageBreak/>
        <w:t>jak ochrona różnorodności biologicznej, odbudowa ekosystemów, dekarbonizacja i zrównoważone rolnictwo, a także osób i społeczności znajdujących się w najtrudniejszej sytuacji;</w:t>
      </w:r>
    </w:p>
    <w:p w14:paraId="3C830D3F" w14:textId="5B616688" w:rsidR="00FD6134" w:rsidRPr="007A66E1" w:rsidRDefault="00FD6134" w:rsidP="00FD6134">
      <w:pPr>
        <w:pStyle w:val="NormalHanging12a"/>
        <w:rPr>
          <w:bCs/>
          <w:iCs/>
        </w:rPr>
      </w:pPr>
      <w:r w:rsidRPr="007A66E1">
        <w:t>5</w:t>
      </w:r>
      <w:r w:rsidR="00860E5A">
        <w:t>4</w:t>
      </w:r>
      <w:r w:rsidRPr="007A66E1">
        <w:t>.</w:t>
      </w:r>
      <w:r w:rsidRPr="007A66E1">
        <w:tab/>
        <w:t>podkreśla, że zmiana klimatu zakłóca systemy żywnościowe w Ameryce Łacińskiej, i podkreśla wartość agroekologii, którą uznano za kluczowy system rolnictwa odporny na zmianę klimatu;</w:t>
      </w:r>
    </w:p>
    <w:p w14:paraId="0AA00202" w14:textId="42A74832" w:rsidR="00FD6134" w:rsidRPr="007A66E1" w:rsidRDefault="00FD6134" w:rsidP="00FD6134">
      <w:pPr>
        <w:pStyle w:val="NormalHanging12a"/>
        <w:rPr>
          <w:bCs/>
          <w:iCs/>
        </w:rPr>
      </w:pPr>
      <w:r w:rsidRPr="007A66E1">
        <w:t>5</w:t>
      </w:r>
      <w:r w:rsidR="00860E5A">
        <w:t>5</w:t>
      </w:r>
      <w:r w:rsidRPr="007A66E1">
        <w:t>.</w:t>
      </w:r>
      <w:r w:rsidRPr="007A66E1">
        <w:tab/>
        <w:t>przypomina o znaczeniu programu współpracy między UE a dorzeczem Amazonki dla poprawy zdolności państw dorzecza Amazonki do walki z wylesianiem i degradacją lasów;</w:t>
      </w:r>
    </w:p>
    <w:p w14:paraId="3779AB38" w14:textId="2689895F" w:rsidR="00FD6134" w:rsidRPr="007A66E1" w:rsidRDefault="00FD6134" w:rsidP="00FD6134">
      <w:pPr>
        <w:pStyle w:val="NormalHanging12a"/>
        <w:rPr>
          <w:bCs/>
          <w:iCs/>
        </w:rPr>
      </w:pPr>
      <w:r w:rsidRPr="007A66E1">
        <w:t>5</w:t>
      </w:r>
      <w:r w:rsidR="00860E5A">
        <w:t>6</w:t>
      </w:r>
      <w:r w:rsidRPr="007A66E1">
        <w:t>.</w:t>
      </w:r>
      <w:r w:rsidRPr="007A66E1">
        <w:tab/>
        <w:t>wzywa do bardziej zdecydowanych zobowiązań na rzecz przestrzegania praw ludów tubylczych, do włączenia tych praw do dialogu i do uwzględniania ich we wszystkich aspektach współpracy z krajami Ameryki Łacińskiej i Karaibów zgodnie z Deklaracją Organizacji Narodów Zjednoczonych o prawach ludności rdzennej;</w:t>
      </w:r>
    </w:p>
    <w:p w14:paraId="51AA486D" w14:textId="0567C7E0" w:rsidR="00FD6134" w:rsidRPr="007A66E1" w:rsidRDefault="00FD6134" w:rsidP="00FD6134">
      <w:pPr>
        <w:pStyle w:val="NormalHanging12a"/>
        <w:rPr>
          <w:bCs/>
          <w:iCs/>
        </w:rPr>
      </w:pPr>
      <w:r w:rsidRPr="007A66E1">
        <w:t>5</w:t>
      </w:r>
      <w:r w:rsidR="00860E5A">
        <w:t>7</w:t>
      </w:r>
      <w:r w:rsidRPr="007A66E1">
        <w:t>.</w:t>
      </w:r>
      <w:r w:rsidRPr="007A66E1">
        <w:tab/>
        <w:t>przypomina, jak ważne jest promowanie zrównoważonego i odpowiedzialnego górnictwa, w ramach którego chroni się prawa i źródła utrzymania społeczności lokalnych i ludów tubylczych, zapobiega poważnym negatywnym skutkom społecznym i środowiskowym oraz pomaga przezwyciężyć zależność od eksportu podstawowych towarów, a jednocześnie wspiera się zrównoważoną politykę reindustrializacji, dzięki której powstają godne miejsca pracy i promuje się zrównoważenie środowiskowe poprzez efektywne zarządzanie surowcami mineralnymi;</w:t>
      </w:r>
    </w:p>
    <w:p w14:paraId="0CA96993" w14:textId="796B7EFD" w:rsidR="00FD6134" w:rsidRPr="007A66E1" w:rsidRDefault="00FD6134" w:rsidP="00FD6134">
      <w:pPr>
        <w:pStyle w:val="NormalHanging12a"/>
        <w:rPr>
          <w:bCs/>
          <w:iCs/>
        </w:rPr>
      </w:pPr>
      <w:r w:rsidRPr="007A66E1">
        <w:t>5</w:t>
      </w:r>
      <w:r w:rsidR="00860E5A">
        <w:t>8</w:t>
      </w:r>
      <w:r w:rsidRPr="007A66E1">
        <w:t>.</w:t>
      </w:r>
      <w:r w:rsidRPr="007A66E1">
        <w:tab/>
        <w:t>podkreśla potrzebę wspierania współpracy na rzecz rozwoju uwzględniającej aspekt płci i proponuje wdrożenie ukierunkowanych środków mających na celu ograniczenie zjawiska nierówności między mężczyznami i kobietami, w tym m.in. pomaganie kobietom w dostępie do godnej pracy, włączenie społeczne pod względem finansowym oraz na stanowiskach kierowniczych i przedsiębiorczych, zwłaszcza w sektorach wiejskich i nieformalnych; podkreśla, że w wielu regionach świata mikroprzedsiębiorstwa oraz małe i średnie przedsiębiorstwa (MMŚP) są często siłą napędową lokalnych gospodarek i że coraz częściej są one prowadzone przez kobiety; podkreśla, że MMŚP stanowią 90% przedsiębiorstw oraz że przypada na nie 60–70% zatrudnienia i 50% PKB na świecie</w:t>
      </w:r>
      <w:bookmarkStart w:id="13" w:name="_Hlk204174834"/>
      <w:r w:rsidRPr="007A66E1">
        <w:t>;</w:t>
      </w:r>
      <w:bookmarkEnd w:id="13"/>
      <w:r w:rsidRPr="007A66E1">
        <w:t xml:space="preserve"> podkreśla kluczową rolę MMŚP w realizacji Agendy 2030 i celów zrównoważonego rozwoju, zwłaszcza celów związanych z eliminacją ubóstwa i godną pracą dla wszystkich;</w:t>
      </w:r>
    </w:p>
    <w:p w14:paraId="5A43D610" w14:textId="2BF3ACF8" w:rsidR="00FD6134" w:rsidRPr="007A66E1" w:rsidRDefault="00860E5A" w:rsidP="00FD6134">
      <w:pPr>
        <w:pStyle w:val="NormalHanging12a"/>
        <w:rPr>
          <w:bCs/>
          <w:iCs/>
        </w:rPr>
      </w:pPr>
      <w:r>
        <w:t>59</w:t>
      </w:r>
      <w:r w:rsidR="00FD6134" w:rsidRPr="007A66E1">
        <w:t>.</w:t>
      </w:r>
      <w:r w:rsidR="00FD6134" w:rsidRPr="007A66E1">
        <w:tab/>
        <w:t xml:space="preserve">z zadowoleniem przyjmuje </w:t>
      </w:r>
      <w:bookmarkStart w:id="14" w:name="_Hlk207225749"/>
      <w:bookmarkEnd w:id="14"/>
      <w:r w:rsidR="00FD6134" w:rsidRPr="007A66E1">
        <w:t>inicjatywę międzyregionalnego paktu na rzecz opieki, której celem jest promowanie współpracy w zakresie kompleksowych systemów opieki i polityk publicznych między państwami obu regionów, w tym poprzez opracowanie mechanizmów współpracy i finansowania, aby dążyć do sprawiedliwszej gospodarki jeszcze bardziej sprzyjającej włączeniu społecznemu;</w:t>
      </w:r>
    </w:p>
    <w:p w14:paraId="7777FD59" w14:textId="3E3F5FB7" w:rsidR="00FD6134" w:rsidRPr="007A66E1" w:rsidRDefault="00FD6134" w:rsidP="00FD6134">
      <w:pPr>
        <w:pStyle w:val="NormalHanging12a"/>
        <w:rPr>
          <w:bCs/>
          <w:iCs/>
        </w:rPr>
      </w:pPr>
      <w:r w:rsidRPr="007A66E1">
        <w:t>6</w:t>
      </w:r>
      <w:r w:rsidR="00860E5A">
        <w:t>0</w:t>
      </w:r>
      <w:r w:rsidRPr="007A66E1">
        <w:t>.</w:t>
      </w:r>
      <w:r w:rsidRPr="007A66E1">
        <w:tab/>
        <w:t>wzywa do zacieśnienia współpracy między UE a państwami Ameryki Łacińskiej i Karaibów w celu zwalczania przemocy ze względu na płeć poprzez kompleksową edukację, kampanie uświadamiające i wzmocnienie ochrony prawnej; popiera inicjatywy w ramach ISWMR – „Globalny wymiar Europy” i trzeciego planu działania w sprawie równości płci, które promują zatrudnienie młodzieży, edukację i udział kobiet w życiu politycznym;</w:t>
      </w:r>
    </w:p>
    <w:p w14:paraId="513F41DB" w14:textId="2047BD1C" w:rsidR="00FD6134" w:rsidRPr="007A66E1" w:rsidRDefault="00FD6134" w:rsidP="00FD6134">
      <w:pPr>
        <w:pStyle w:val="NormalHanging12a"/>
        <w:rPr>
          <w:bCs/>
          <w:iCs/>
        </w:rPr>
      </w:pPr>
      <w:r w:rsidRPr="007A66E1">
        <w:lastRenderedPageBreak/>
        <w:t>6</w:t>
      </w:r>
      <w:r w:rsidR="00860E5A">
        <w:t>1</w:t>
      </w:r>
      <w:r w:rsidRPr="007A66E1">
        <w:t>.</w:t>
      </w:r>
      <w:r w:rsidRPr="007A66E1">
        <w:tab/>
        <w:t>podkreśla kluczową rolę społeczeństwa obywatelskiego w kształtowaniu i monitorowaniu polityki społecznej sprzyjającej włączeniu społecznemu, promowaniu równego dostępu do wysokiej jakości edukacji oraz wspieraniu trwałego wzrostu gospodarczego sprzyjającego włączeniu społecznemu w Ameryce Łacińskiej i na Karaibach; wyraża poważne zaniepokojenie kurczeniem się przestrzeni dla społeczeństwa obywatelskiego w wielu krajach Ameryki Łacińskiej; apeluje w związku z tym o zwiększenie unijnego wsparcia dla organizacji społeczeństwa obywatelskiego, obrońców praw człowieka, działaczy środowiskowych i dziennikarzy, którzy coraz częściej mają do czynienia z groźbami i przemocą, aby mogli wykonywać swoją pracę w sposób bezpieczny i niezależny; wzywa do priorytetowego traktowania ich bezpieczeństwa, dostępu do wymiaru sprawiedliwości i wolności wypowiedzi oraz do wzmocnienia partnerstwa UE z podmiotami społeczeństwa obywatelskiego, które odgrywają zasadniczą rolę w rozwiązywaniu kluczowych problemów i ułatwianiu konstruktywnego dialogu na temat praw człowieka i przemian demokratycznych i których działalność jest w dużym stopniu uzależniona od programów pomocowych</w:t>
      </w:r>
      <w:bookmarkStart w:id="15" w:name="_Hlk204028056"/>
      <w:bookmarkEnd w:id="15"/>
      <w:r w:rsidRPr="007A66E1">
        <w:t>;</w:t>
      </w:r>
    </w:p>
    <w:p w14:paraId="02CE5896" w14:textId="7B2E958A" w:rsidR="00FD6134" w:rsidRPr="007A66E1" w:rsidRDefault="00FD6134" w:rsidP="00FD6134">
      <w:pPr>
        <w:pStyle w:val="NormalHanging12a"/>
        <w:rPr>
          <w:bCs/>
          <w:iCs/>
        </w:rPr>
      </w:pPr>
      <w:r w:rsidRPr="007A66E1">
        <w:t>6</w:t>
      </w:r>
      <w:r w:rsidR="00860E5A">
        <w:t>2</w:t>
      </w:r>
      <w:r w:rsidRPr="007A66E1">
        <w:t>.</w:t>
      </w:r>
      <w:r w:rsidRPr="007A66E1">
        <w:tab/>
        <w:t>podkreśla, że UE powinna wspierać wzmocnienie systemów ochrony socjalnej w Ameryce Łacińskiej i na Karaibach, w tym zintegrowane rejestry społeczne, lepszą koordynację systemów i wspólne projekty pilotażowe, zwłaszcza z udziałem społeczeństwa obywatelskiego i władz lokalnych, jako kluczowych czynników sprzyjających włączeniu społecznemu i ograniczaniu ubóstwa w partnerstwie między UE a Ameryką Łacińską i Karaibami;</w:t>
      </w:r>
    </w:p>
    <w:p w14:paraId="412926CB" w14:textId="77777777" w:rsidR="00FD6134" w:rsidRPr="007A66E1" w:rsidRDefault="00FD6134" w:rsidP="00FD6134">
      <w:pPr>
        <w:pStyle w:val="Normal12a24b"/>
      </w:pPr>
      <w:r w:rsidRPr="007A66E1">
        <w:rPr>
          <w:rStyle w:val="BoldItalic"/>
        </w:rPr>
        <w:t>Współpraca w zakresie bezpieczeństwa i zwalczania handlu narkotykami</w:t>
      </w:r>
    </w:p>
    <w:p w14:paraId="62C20B58" w14:textId="452BBC14" w:rsidR="00FD6134" w:rsidRPr="007A66E1" w:rsidRDefault="00FD6134" w:rsidP="00FD6134">
      <w:pPr>
        <w:pStyle w:val="NormalHanging12a"/>
      </w:pPr>
      <w:r w:rsidRPr="007A66E1">
        <w:t>6</w:t>
      </w:r>
      <w:r w:rsidR="00860E5A">
        <w:t>3</w:t>
      </w:r>
      <w:r w:rsidRPr="007A66E1">
        <w:t>.</w:t>
      </w:r>
      <w:r w:rsidRPr="007A66E1">
        <w:tab/>
        <w:t xml:space="preserve">zdaje sobie sprawę z nasilenia się przestępczości zorganizowanej i handlu narkotykami w UE oraz w krajach Ameryki Łacińskiej i Karaibów, a także z bezprecedensowej ilości nielegalnych narkotyków przemycanych do UE z portów tego regionu; jest szczególnie zaniepokojony rosnącym zagrożeniem dla bezpieczeństwa w obu regionach, jakie wynika z transnarodowej koordynacji organizacji przestępczych operujących z Ameryki Łacińskiej i Karaibów oraz z UE; podkreśla potrzebę zacieśnienia współpracy nie tylko z krajami produkującymi narkotyki, ale również z krajami tranzytowymi w Ameryce Łacińskiej i na Karaibach, a także potrzebę wzmocnienia wielostronnej współpracy w celu zwalczania tych zagrożeń; wzywa do wzmocnienia partnerstwa między UE a Ameryką Łacińska i Karaibami na rzecz sprawiedliwości i bezpieczeństwa, europejsko-latynoskiego programu wsparcia walki z transnarodową przestępczością zorganizowaną (EL </w:t>
      </w:r>
      <w:proofErr w:type="spellStart"/>
      <w:r w:rsidRPr="007A66E1">
        <w:t>PAcCTO</w:t>
      </w:r>
      <w:proofErr w:type="spellEnd"/>
      <w:r w:rsidRPr="007A66E1">
        <w:t xml:space="preserve"> 2.0), programu współpracy między Ameryką Łacińską, Karaibami i Unią Europejską w zakresie polityki antynarkotykowej (COPOLAD), inicjatywy EUROFRONT, globalnego programu zwalczania nielegalnych przepływów na świecie oraz sojuszu portów europejskich;</w:t>
      </w:r>
    </w:p>
    <w:p w14:paraId="493A1865" w14:textId="39DB294D" w:rsidR="00FD6134" w:rsidRPr="007A66E1" w:rsidRDefault="00FD6134" w:rsidP="00FD6134">
      <w:pPr>
        <w:pStyle w:val="NormalHanging12a"/>
      </w:pPr>
      <w:r w:rsidRPr="007A66E1">
        <w:t>6</w:t>
      </w:r>
      <w:r w:rsidR="00860E5A">
        <w:t>4</w:t>
      </w:r>
      <w:r w:rsidRPr="007A66E1">
        <w:t>.</w:t>
      </w:r>
      <w:r w:rsidRPr="007A66E1">
        <w:tab/>
        <w:t xml:space="preserve">uznaje znaczenie Komitetu Ameryki Łacińskiej ds. Bezpieczeństwa Wewnętrznego w tworzeniu wspólnej i współdzielonej struktury bezpieczeństwa w Ameryce Łacińskiej i na Karaibach; podkreśla, że Komitet Ameryki Łacińskiej ds. Bezpieczeństwa Wewnętrznego ma kluczowe znaczenie, jeśli chodzi o poprawę integracji i skuteczności w walce z przestępczością w regionie; wyraża zadowolenie z ciągłej strategicznej współpracy ministrów spraw wewnętrznych lub ministrów bezpieczeństwa państw członkowskich UE oraz ministrów odpowiedzialnych za kwestie bezpieczeństwa w państwach członkowskich Komitetu Ameryki Łacińskiej ds. Bezpieczeństwa Wewnętrznego, również na szczeblu technicznym, aby wzmacniać współpracę </w:t>
      </w:r>
      <w:r w:rsidRPr="007A66E1">
        <w:lastRenderedPageBreak/>
        <w:t>operacyjną w zakresie egzekwowania prawa między UE a Ameryką Łacińską i Karaibami; wyraża zadowolenie z przyjęcia wspólnego oświadczenia i planu działania dotyczącego priorytetów współpracy operacyjnej na lata 2025–2026; wzywa do nawiązania podobnej współpracy w dziedzinie wymiaru sprawiedliwości i zarządzania granicami;</w:t>
      </w:r>
    </w:p>
    <w:p w14:paraId="54C6A3F8" w14:textId="27CC473D" w:rsidR="00FD6134" w:rsidRPr="007A66E1" w:rsidRDefault="00FD6134" w:rsidP="00FD6134">
      <w:pPr>
        <w:pStyle w:val="NormalHanging12a"/>
        <w:rPr>
          <w:bCs/>
          <w:iCs/>
        </w:rPr>
      </w:pPr>
      <w:r w:rsidRPr="007A66E1">
        <w:t>6</w:t>
      </w:r>
      <w:r w:rsidR="00860E5A">
        <w:t>5</w:t>
      </w:r>
      <w:r w:rsidRPr="007A66E1">
        <w:t>.</w:t>
      </w:r>
      <w:r w:rsidRPr="007A66E1">
        <w:tab/>
        <w:t xml:space="preserve">zachęca Komisję do zwiększenia i rozszerzenia wsparcia na rzecz współpracy między krajami partnerskimi Ameryki Łacińskiej i Karaibów a odpowiednimi agencjami UE, w tym Europolem, </w:t>
      </w:r>
      <w:proofErr w:type="spellStart"/>
      <w:r w:rsidRPr="007A66E1">
        <w:t>Eurojustem</w:t>
      </w:r>
      <w:proofErr w:type="spellEnd"/>
      <w:r w:rsidRPr="007A66E1">
        <w:t xml:space="preserve"> i Agencją UE ds. Narkotyków, oraz do zacieśnienia ich kontaktów roboczych; pochwala pomysł ustanowienia partnerstwa między portami Ameryki Łacińskiej i Karaibów a sojuszem portów europejskich; podkreśla, jak ważny jest postęp w dziedzinie technologii sztucznej inteligencji oraz ściślejsza współpraca między portami a organami administracji w zwalczaniu przemytu narkotyków; apeluje o wspólne inicjatywy w zakresie egzekwowania prawa, partnerstwo na poziomie operacyjnym i wymianę danych wywiadowczych; z zadowoleniem przyjmuje konkretny wkład państw członkowskich w tym zakresie; </w:t>
      </w:r>
    </w:p>
    <w:p w14:paraId="638D53A8" w14:textId="62D5C7F3" w:rsidR="00FD6134" w:rsidRPr="007A66E1" w:rsidRDefault="00FD6134" w:rsidP="00FD6134">
      <w:pPr>
        <w:pStyle w:val="NormalHanging12a"/>
      </w:pPr>
      <w:r w:rsidRPr="007A66E1">
        <w:t>6</w:t>
      </w:r>
      <w:r w:rsidR="00860E5A">
        <w:t>6</w:t>
      </w:r>
      <w:r w:rsidRPr="007A66E1">
        <w:t>.</w:t>
      </w:r>
      <w:r w:rsidRPr="007A66E1">
        <w:tab/>
        <w:t xml:space="preserve">z zadowoleniem przyjmuje wysiłki na rzecz wzmocnienia regionalnej współpracy w zakresie bezpieczeństwa poprzez rozszerzenie Komitetu Ameryki Łacińskiej ds. Bezpieczeństwa Wewnętrznego oraz ustanowienie </w:t>
      </w:r>
      <w:proofErr w:type="spellStart"/>
      <w:r w:rsidRPr="007A66E1">
        <w:t>Ameripolu</w:t>
      </w:r>
      <w:proofErr w:type="spellEnd"/>
      <w:r w:rsidRPr="007A66E1">
        <w:t xml:space="preserve"> jako sformalizowanego organu ścigania ułatwiającego koordynację transgraniczną; podkreśla potrzebę ratyfikacji traktatu ustanawiającego </w:t>
      </w:r>
      <w:proofErr w:type="spellStart"/>
      <w:r w:rsidRPr="007A66E1">
        <w:t>Ameripol</w:t>
      </w:r>
      <w:proofErr w:type="spellEnd"/>
      <w:r w:rsidRPr="007A66E1">
        <w:t>, aby Wspólnota Sił Policyjnych Kontynentów Amerykańskich mogła w pełni rozwinąć swoją działalność, i wzywa państwa sygnatariuszy do wszczęcia konstytucyjnych procedur ratyfikacji;</w:t>
      </w:r>
    </w:p>
    <w:p w14:paraId="3FCF49D2" w14:textId="3E64987C" w:rsidR="00FD6134" w:rsidRPr="007A66E1" w:rsidRDefault="00FD6134" w:rsidP="00FD6134">
      <w:pPr>
        <w:pStyle w:val="NormalHanging12a"/>
      </w:pPr>
      <w:r w:rsidRPr="007A66E1">
        <w:t>6</w:t>
      </w:r>
      <w:r w:rsidR="00860E5A">
        <w:t>7</w:t>
      </w:r>
      <w:r w:rsidRPr="007A66E1">
        <w:t>.</w:t>
      </w:r>
      <w:r w:rsidRPr="007A66E1">
        <w:tab/>
        <w:t>podkreśla konieczność wyeliminowania podstawowych przyczyn przestępczości zorganizowanej, w tym korupcji, słabych rządów i zjawiska nierówności społecznej, oraz opowiada się za podejściem łączącym egzekwowanie prawa z długoterminową polityką społeczną i innymi strategiami międzysektorowymi, aby podejście do bezpieczeństwa obywateli obejmowało całą administrację rządową i całe społeczeństwo; wskazuje na korzyści płynące z układów o stowarzyszeniu i innych umów dwustronnych między UE a krajami Ameryki Łacińskiej i Karaibów jako podstawowych narzędzi współpracy z krajami partnerskimi w zakresie eliminowania podstawowych przyczyn przestępczości zorganizowanej i zwalczania przemytu narkotyków;</w:t>
      </w:r>
    </w:p>
    <w:p w14:paraId="0E4FC573" w14:textId="77777777" w:rsidR="00FD6134" w:rsidRPr="007A66E1" w:rsidRDefault="00FD6134" w:rsidP="00FD6134">
      <w:pPr>
        <w:pStyle w:val="Normal12a24b"/>
        <w:rPr>
          <w:rStyle w:val="BoldItalic"/>
        </w:rPr>
      </w:pPr>
      <w:r w:rsidRPr="007A66E1">
        <w:rPr>
          <w:rStyle w:val="BoldItalic"/>
        </w:rPr>
        <w:t>Sprawiedliwość, prawa człowieka i praworządność</w:t>
      </w:r>
    </w:p>
    <w:p w14:paraId="25567D2F" w14:textId="343A9368" w:rsidR="00FD6134" w:rsidRPr="007A66E1" w:rsidRDefault="00FD6134" w:rsidP="00FD6134">
      <w:pPr>
        <w:pStyle w:val="Normal12a24b"/>
        <w:ind w:left="567" w:hanging="567"/>
        <w:rPr>
          <w:bCs/>
          <w:iCs/>
        </w:rPr>
      </w:pPr>
      <w:r w:rsidRPr="007A66E1">
        <w:t>6</w:t>
      </w:r>
      <w:r w:rsidR="00860E5A">
        <w:t>8</w:t>
      </w:r>
      <w:r w:rsidRPr="007A66E1">
        <w:t>.</w:t>
      </w:r>
      <w:r w:rsidRPr="007A66E1">
        <w:tab/>
        <w:t>podkreśla, jak ważne jest, aby reformy sądownictwa w krajach Ameryki Łacińskiej i Karaibów były prowadzone z poszanowaniem niezależności sądów i międzynarodowych standardów praworządności; apeluje, aby takie reformy przyczyniały się do wzmocnienia demokratycznych rządów i utrzymania uczciwości w sądownictwie; podkreśla potrzebę zwalczania korupcji w polityce i powiązań polityki z przestępczością zorganizowaną; wzywa władze do stania na straży praworządności i prawa do pokojowego zgromadzania się, do poszanowania sprawiedliwości proceduralnej oraz do zagwarantowania bezpieczeństwa i uczciwości sędziów i osób zatrzymanych; zobowiązuje się do wspierania państw Ameryki Łacińskiej i Karaibów w tych wysiłkach;</w:t>
      </w:r>
    </w:p>
    <w:p w14:paraId="020D3497" w14:textId="4635C5C3" w:rsidR="00FD6134" w:rsidRPr="007A66E1" w:rsidRDefault="00860E5A" w:rsidP="00FD6134">
      <w:pPr>
        <w:pStyle w:val="NormalHanging12a"/>
        <w:rPr>
          <w:b/>
          <w:i/>
        </w:rPr>
      </w:pPr>
      <w:r>
        <w:t>69</w:t>
      </w:r>
      <w:r w:rsidR="00FD6134" w:rsidRPr="007A66E1">
        <w:t>.</w:t>
      </w:r>
      <w:r w:rsidR="00FD6134" w:rsidRPr="007A66E1">
        <w:tab/>
        <w:t xml:space="preserve">z zadowoleniem przyjmuje stałą współpracę między UE a Ameryką Łacińską i </w:t>
      </w:r>
      <w:r w:rsidR="00FD6134" w:rsidRPr="007A66E1">
        <w:lastRenderedPageBreak/>
        <w:t>Karaibami w celu ochrony i promowania demokracji, praw człowieka i dobrych rządów oraz wzmocnienia stabilności politycznej; podkreśla, że uczciwość i przejrzystość procesów wyborczych to podstawowe filary partnerstwa między UE a Ameryką Łacińską i Karaibami;</w:t>
      </w:r>
    </w:p>
    <w:p w14:paraId="4FA74764" w14:textId="17F0A089" w:rsidR="00FD6134" w:rsidRPr="007A66E1" w:rsidRDefault="00FD6134" w:rsidP="00FD6134">
      <w:pPr>
        <w:pStyle w:val="NormalHanging12a"/>
        <w:rPr>
          <w:bCs/>
          <w:iCs/>
        </w:rPr>
      </w:pPr>
      <w:r w:rsidRPr="007A66E1">
        <w:t>7</w:t>
      </w:r>
      <w:r w:rsidR="00860E5A">
        <w:t>0</w:t>
      </w:r>
      <w:r w:rsidRPr="007A66E1">
        <w:t>.</w:t>
      </w:r>
      <w:r w:rsidRPr="007A66E1">
        <w:tab/>
        <w:t>podkreśla, że unijne misje obserwacji wyborów odgrywają kluczową rolę we wspieraniu uczciwych wyborów i zapewnianiu przejrzystości, o czym świadczą niedawne misje w Gwatemali, Paragwaju i Ekwadorze oraz zaplanowane misje w Boliwii, Gujanie i Hondurasie w 2025 r. oraz w Peru i Kolumbii w 2026 r.;</w:t>
      </w:r>
    </w:p>
    <w:p w14:paraId="5F6AAC8F" w14:textId="054B6152" w:rsidR="00FD6134" w:rsidRPr="007A66E1" w:rsidRDefault="00FD6134" w:rsidP="00FD6134">
      <w:pPr>
        <w:pStyle w:val="NormalHanging12a"/>
        <w:rPr>
          <w:bCs/>
          <w:iCs/>
        </w:rPr>
      </w:pPr>
      <w:r w:rsidRPr="007A66E1">
        <w:t>7</w:t>
      </w:r>
      <w:r w:rsidR="00860E5A">
        <w:t>1</w:t>
      </w:r>
      <w:r w:rsidRPr="007A66E1">
        <w:t>.</w:t>
      </w:r>
      <w:r w:rsidRPr="007A66E1">
        <w:tab/>
        <w:t xml:space="preserve">apeluje o zacieśnienie współpracy między UE a Ameryką Łacińską i Karaibami w celu przeciwdziałania kampaniom dezinformacyjnym i zagrożeniom hybrydowym, zwłaszcza tym pochodzącym z państw autorytarnych, takich jak Rosja, Chiny i Iran, które mają na celu kompromitowanie instytucji demokratycznych oraz podważanie uczciwości wyborów i zaufania publicznego w obydwu regionach; podkreśla, jak ważne jest wzmocnienie programów na rzecz umiejętności cyfrowych w odpowiedzi na rosnące zagrożenia hybrydowe i informacje wprowadzające w błąd, aby zapewnić obywatelom umiejętności potrzebne do krytycznej oceny informacji online; </w:t>
      </w:r>
    </w:p>
    <w:p w14:paraId="1A6AC3A4" w14:textId="77777777" w:rsidR="00FD6134" w:rsidRPr="007A66E1" w:rsidRDefault="00FD6134" w:rsidP="00FD6134">
      <w:pPr>
        <w:pStyle w:val="NormalHanging12a"/>
        <w:rPr>
          <w:b/>
          <w:i/>
        </w:rPr>
      </w:pPr>
      <w:r w:rsidRPr="007A66E1">
        <w:rPr>
          <w:b/>
          <w:i/>
        </w:rPr>
        <w:t>Współpraca w zakresie praw człowieka</w:t>
      </w:r>
    </w:p>
    <w:p w14:paraId="0CE02E51" w14:textId="37E12715" w:rsidR="00FD6134" w:rsidRPr="007A66E1" w:rsidRDefault="00FD6134" w:rsidP="00FD6134">
      <w:pPr>
        <w:pStyle w:val="NormalHanging12a"/>
      </w:pPr>
      <w:r w:rsidRPr="007A66E1">
        <w:t>7</w:t>
      </w:r>
      <w:r w:rsidR="00860E5A">
        <w:t>2</w:t>
      </w:r>
      <w:r w:rsidRPr="007A66E1">
        <w:t>.</w:t>
      </w:r>
      <w:r w:rsidRPr="007A66E1">
        <w:tab/>
        <w:t xml:space="preserve">podkreśla, że nasilające się represje, pogarszające się warunki w reżimach autokratycznych, a także pogłębiająca się niestabilność gospodarcza w niektórych częściach Ameryki Łacińskiej i Karaibów zmuszają wiele osób do ucieczki w poszukiwaniu ochrony, możliwości gospodarczych i podstawowych praw; z zaniepokojeniem odnotowuje wynikające z tego masowe przesiedlenia z Haiti, Nikaragui i Wenezueli oraz migrację transgraniczną w regionie; podkreśla rosnącą presję humanitarną, społeczną i instytucjonalną, jaką wywiera to na demokratyczne kraje przyjmujące znaczną liczbę migrantów i osób ubiegających się o azyl; podkreśla zatem potrzebę kompleksowej współpracy i solidarności między krajami pochodzenia i tranzytu oraz krajami docelowymi, a także zwraca uwagę, jak ważne są skoordynowane działania w celu ochrony praw, godności i bezpieczeństwa wszystkich migrantów i uchodźców; podkreśla znaczenie </w:t>
      </w:r>
      <w:proofErr w:type="spellStart"/>
      <w:r w:rsidRPr="007A66E1">
        <w:t>inkluzywnych</w:t>
      </w:r>
      <w:proofErr w:type="spellEnd"/>
      <w:r w:rsidRPr="007A66E1">
        <w:t xml:space="preserve"> strategii politycznych na rzecz integracji migrantów w społecznościach przyjmujących, a także pozytywny wkład, jaki migranci z regionu wnoszą na rzecz społeczeństwa i gospodarki;</w:t>
      </w:r>
    </w:p>
    <w:p w14:paraId="0F5D94B3" w14:textId="53A5357B" w:rsidR="00FD6134" w:rsidRPr="007A66E1" w:rsidRDefault="00FD6134" w:rsidP="00FD6134">
      <w:pPr>
        <w:pStyle w:val="NormalHanging12a"/>
        <w:rPr>
          <w:bCs/>
          <w:iCs/>
        </w:rPr>
      </w:pPr>
      <w:r w:rsidRPr="007A66E1">
        <w:t>7</w:t>
      </w:r>
      <w:r w:rsidR="00860E5A">
        <w:t>3</w:t>
      </w:r>
      <w:r w:rsidRPr="007A66E1">
        <w:t>.</w:t>
      </w:r>
      <w:r w:rsidRPr="007A66E1">
        <w:tab/>
        <w:t xml:space="preserve">podkreśla, że współpraca w zakresie ochrony praw człowieka ma podstawowe znaczenie dla stosunków między UE a Ameryką Łacińską i Karaibami; podkreśla konieczność opracowania strategii na rzecz wzmocnienia praw potomków Afrykańczyków i ludów tubylczych w Ameryce Łacińskiej i na Karaibach; zwraca uwagę na niepokojąco częste przypadki </w:t>
      </w:r>
      <w:proofErr w:type="spellStart"/>
      <w:r w:rsidRPr="007A66E1">
        <w:t>kobietobójstwa</w:t>
      </w:r>
      <w:proofErr w:type="spellEnd"/>
      <w:r w:rsidRPr="007A66E1">
        <w:t xml:space="preserve"> w całym regionie Ameryki Łacińskiej i Karaibów; podkreśla pilną potrzebę przeciwdziałania </w:t>
      </w:r>
      <w:proofErr w:type="spellStart"/>
      <w:r w:rsidRPr="007A66E1">
        <w:t>kobietobójstwu</w:t>
      </w:r>
      <w:proofErr w:type="spellEnd"/>
      <w:r w:rsidRPr="007A66E1">
        <w:t xml:space="preserve"> poprzez energiczniejsze zwalczanie przemocy ze względu na płeć, ułatwienia w kwestii własności gruntów, tworzenie możliwości zatrudnienia oraz zagwarantowanie dostępu do edukacji; podkreśla potrzebę dalszej współpracy w tych kwestiach;</w:t>
      </w:r>
    </w:p>
    <w:p w14:paraId="141E3E25" w14:textId="04019C42" w:rsidR="00FD6134" w:rsidRPr="007A66E1" w:rsidRDefault="00FD6134" w:rsidP="00FD6134">
      <w:pPr>
        <w:pStyle w:val="NormalHanging12a"/>
        <w:rPr>
          <w:bCs/>
          <w:iCs/>
          <w:u w:val="single"/>
        </w:rPr>
      </w:pPr>
      <w:r w:rsidRPr="007A66E1">
        <w:t>7</w:t>
      </w:r>
      <w:r w:rsidR="00860E5A">
        <w:t>4</w:t>
      </w:r>
      <w:r w:rsidRPr="007A66E1">
        <w:t>.</w:t>
      </w:r>
      <w:r w:rsidRPr="007A66E1">
        <w:tab/>
        <w:t xml:space="preserve">jest głęboko zaniepokojony, że znaczna część Haiti pozostaje pod kontrolą zbrojnych i zorganizowanych grup przestępczych odpowiedzialnych za powszechną przemoc i poważne naruszenia praw człowieka; apeluje o skoordynowaną strategię partnerów z Ameryki Łacińskiej i Karaibów, państw członkowskich UE i Stanów Zjednoczonych w celu zaradzenia temu kryzysowi i wsparcia ludności Haiti w dziele przywracania </w:t>
      </w:r>
      <w:r w:rsidRPr="007A66E1">
        <w:lastRenderedPageBreak/>
        <w:t xml:space="preserve">stabilności, demokratycznych rządów i praworządności; podkreśla, że udział w tym procesie wszystkich zainteresowanych stron, w tym organizacji pozarządowych, ma zasadnicze znaczenie; wzywa UE do pilnego wzmocnienia wsparcia politycznego, humanitarnego i gospodarczego dla Haiti w ramach partnerstwa między UE a Ameryką Łacińską i Karaibami, uznając, że obecne wysiłki pozostają niewystarczające, aby zaradzić skali kryzysu i wesprzeć ludność Haiti w przywracaniu stabilności, demokratycznych rządów i praworządności; </w:t>
      </w:r>
    </w:p>
    <w:p w14:paraId="6742BDDF" w14:textId="4CD44B05" w:rsidR="00FD6134" w:rsidRPr="007A66E1" w:rsidRDefault="00FD6134" w:rsidP="00FD6134">
      <w:pPr>
        <w:pStyle w:val="NormalHanging12a"/>
        <w:rPr>
          <w:bCs/>
          <w:iCs/>
        </w:rPr>
      </w:pPr>
      <w:r w:rsidRPr="007A66E1">
        <w:t>7</w:t>
      </w:r>
      <w:r w:rsidR="00860E5A">
        <w:t>5</w:t>
      </w:r>
      <w:r w:rsidRPr="007A66E1">
        <w:t>.</w:t>
      </w:r>
      <w:r w:rsidRPr="007A66E1">
        <w:tab/>
        <w:t>podkreśla kluczową rolę społeczeństwa obywatelskiego w stosunkach między UE a Ameryką Łacińską i Karaibami; zdecydowanie potępia zabójstwa obrońców praw człowieka i systematyczne naruszanie wolności prasy; wyraża głębokie zaniepokojenie celowymi prześladowaniami, kryminalizacją, arbitralnymi zatrzymaniami i systematycznymi represjami, które dotyczą członków opozycji, ludów tubylczych, studentów, organizacji pozarządowych i przywódców religijnych w kilku krajach; potępia nadużywanie prawa karnego do uciszania sprzeciwu i tłumienia uzasadnionej krytyki;</w:t>
      </w:r>
    </w:p>
    <w:p w14:paraId="067B0934" w14:textId="074EDDC1" w:rsidR="00FD6134" w:rsidRPr="007A66E1" w:rsidRDefault="00FD6134" w:rsidP="00FD6134">
      <w:pPr>
        <w:pStyle w:val="NormalHanging12a"/>
      </w:pPr>
      <w:r w:rsidRPr="007A66E1">
        <w:t>7</w:t>
      </w:r>
      <w:r w:rsidR="00860E5A">
        <w:t>6</w:t>
      </w:r>
      <w:r w:rsidRPr="007A66E1">
        <w:t>.</w:t>
      </w:r>
      <w:r w:rsidRPr="007A66E1">
        <w:tab/>
        <w:t>podkreśla, że współpraca w zakresie praw człowieka musi obejmować również wzmocnienie instytucji i niezależności sądów oraz powszechny dostęp do wymiaru sprawiedliwości, w tym ochronę obrońców praw człowieka, działaczy na rzecz środowiska i dziennikarzy, a także ochronę ich pracy w obu regionach; potępia niedawne ustawy wymierzone w organizacje pozarządowe w niektórych krajach Ameryki Łacińskiej i Karaibów, ograniczające działalność, finansowanie i niezależność organizacji pozarządowych;</w:t>
      </w:r>
    </w:p>
    <w:p w14:paraId="391CC6AA" w14:textId="779DEDE8" w:rsidR="00FD6134" w:rsidRPr="007A66E1" w:rsidRDefault="00FD6134" w:rsidP="00FD6134">
      <w:pPr>
        <w:pStyle w:val="NormalHanging12a"/>
        <w:rPr>
          <w:bCs/>
          <w:iCs/>
        </w:rPr>
      </w:pPr>
      <w:r w:rsidRPr="007A66E1">
        <w:t>7</w:t>
      </w:r>
      <w:r w:rsidR="00860E5A">
        <w:t>7</w:t>
      </w:r>
      <w:r w:rsidRPr="007A66E1">
        <w:t>.</w:t>
      </w:r>
      <w:r w:rsidRPr="007A66E1">
        <w:tab/>
        <w:t>wzywa Unię do wykorzystania globalnego systemu sankcji UE za naruszenia praw człowieka wobec osób odpowiedzialnych za łamanie praw człowieka oraz do dalszego stosowania unijnych środków ograniczających wobec osób, które stopniowo i niejawnie podważają demokrację i praworządność; ponadto wzywa UE do tego, aby przyznając swoje fundusze, w tym za pośrednictwem instytucji wielostronnych i finansowych, żądała konkretnych gwarancji, że przestrzegane są prawa człowieka, oraz do dopilnowania, aby fundusze te nie przyczyniały się do umacniania autorytarnej władzy takich reżimów; wzywa Komisję do stosowania klauzul dotyczących praw człowieka w układach o stowarzyszeniu, jeśli stwierdzi rażące naruszenia praw człowieka;</w:t>
      </w:r>
    </w:p>
    <w:p w14:paraId="1FFE3922" w14:textId="77777777" w:rsidR="00FD6134" w:rsidRPr="007A66E1" w:rsidRDefault="00FD6134" w:rsidP="00FD6134">
      <w:pPr>
        <w:pStyle w:val="Normal12a24b"/>
      </w:pPr>
      <w:r w:rsidRPr="007A66E1">
        <w:rPr>
          <w:rStyle w:val="BoldItalic"/>
        </w:rPr>
        <w:t>Współpraca parlamentarna i stosunki międzyludzkie</w:t>
      </w:r>
    </w:p>
    <w:p w14:paraId="76E28ADD" w14:textId="00BCD159" w:rsidR="00FD6134" w:rsidRPr="007A66E1" w:rsidRDefault="00FD6134" w:rsidP="00FD6134">
      <w:pPr>
        <w:pStyle w:val="NormalHanging12a"/>
      </w:pPr>
      <w:r w:rsidRPr="007A66E1">
        <w:t>7</w:t>
      </w:r>
      <w:r w:rsidR="00860E5A">
        <w:t>8</w:t>
      </w:r>
      <w:r w:rsidRPr="007A66E1">
        <w:t>.</w:t>
      </w:r>
      <w:r w:rsidRPr="007A66E1">
        <w:tab/>
        <w:t>z zadowoleniem przyjmuje pogłębienie współpracy parlamentarnej między UE a Ameryką Łacińską i Karaibami, w szczególności za pośrednictwem Europejsko-Latynoamerykańskiego Zgromadzenia Parlamentarnego (</w:t>
      </w:r>
      <w:proofErr w:type="spellStart"/>
      <w:r w:rsidRPr="007A66E1">
        <w:t>Eurolat</w:t>
      </w:r>
      <w:proofErr w:type="spellEnd"/>
      <w:r w:rsidRPr="007A66E1">
        <w:t xml:space="preserve">), zgromadzeń dwustronnych, tak jak w przypadku Chile i Meksyku, oraz wspólnych zgromadzeń parlamentarnych poniżej szczebla regionalnego, które promują dialog na temat kluczowych kwestii, takich jak handel, bezpieczeństwo i zrównoważony rozwój; uznaje </w:t>
      </w:r>
      <w:proofErr w:type="spellStart"/>
      <w:r w:rsidRPr="007A66E1">
        <w:t>Eurolat</w:t>
      </w:r>
      <w:proofErr w:type="spellEnd"/>
      <w:r w:rsidRPr="007A66E1">
        <w:t xml:space="preserve"> za strategiczny element stosunków między UE a Ameryką Łacińską i Karaibami oraz jego kluczową rolę we wzmacnianiu tego partnerstwa; z zadowoleniem przyjmuje wynik 16. sesji plenarnej zgromadzenia </w:t>
      </w:r>
      <w:proofErr w:type="spellStart"/>
      <w:r w:rsidRPr="007A66E1">
        <w:t>Eurolat</w:t>
      </w:r>
      <w:proofErr w:type="spellEnd"/>
      <w:r w:rsidRPr="007A66E1">
        <w:t xml:space="preserve"> w Limie w dniach 1–3 czerwca 2025 r.;</w:t>
      </w:r>
    </w:p>
    <w:p w14:paraId="6BF6455B" w14:textId="66B804BE" w:rsidR="00FD6134" w:rsidRPr="007A66E1" w:rsidRDefault="00860E5A" w:rsidP="00FD6134">
      <w:pPr>
        <w:pStyle w:val="NormalHanging12a"/>
      </w:pPr>
      <w:r>
        <w:t>79</w:t>
      </w:r>
      <w:r w:rsidR="00FD6134" w:rsidRPr="007A66E1">
        <w:t>.</w:t>
      </w:r>
      <w:r w:rsidR="00FD6134" w:rsidRPr="007A66E1">
        <w:tab/>
        <w:t xml:space="preserve">wzywa do ściślejszej koordynacji między Parlamentem Europejskim a parlamentami narodowymi i regionalnymi w Ameryce Łacińskiej w celu wspólnego zajęcia się kwestiami ponadnarodowymi, które są zgodne z priorytetami współpracy międzyregionalnej i mają kluczowe znaczenie dla zrównoważonego rozwoju; </w:t>
      </w:r>
    </w:p>
    <w:p w14:paraId="61CFA4AD" w14:textId="3C9ADCD1" w:rsidR="00FD6134" w:rsidRPr="007A66E1" w:rsidRDefault="00FD6134" w:rsidP="00FD6134">
      <w:pPr>
        <w:pStyle w:val="NormalHanging12a"/>
      </w:pPr>
      <w:r w:rsidRPr="007A66E1">
        <w:lastRenderedPageBreak/>
        <w:t>8</w:t>
      </w:r>
      <w:r w:rsidR="00860E5A">
        <w:t>0</w:t>
      </w:r>
      <w:r w:rsidRPr="007A66E1">
        <w:t>.</w:t>
      </w:r>
      <w:r w:rsidRPr="007A66E1">
        <w:tab/>
        <w:t>zwraca uwagę na kluczową rolę dyplomacji parlamentarnej we wzmacnianiu stosunków między obydwoma regionami poprzez ułatwianie bezpośredniego dialogu z parlamentami narodowymi i regionalnymi; wzywa do wzmocnienia dyplomacji parlamentarnej, aby wspierać procesy przemian demokratycznych i poprawić zdolności ustawodawcze parlamentów Ameryki Łacińskiej i Karaibów; w tym kontekście z zadowoleniem przyjmuje otwarcie lokalnego biura Parlamentu w Panamie;</w:t>
      </w:r>
    </w:p>
    <w:p w14:paraId="75ED5AFC" w14:textId="1C162388" w:rsidR="00FD6134" w:rsidRPr="007A66E1" w:rsidRDefault="00FD6134" w:rsidP="00FD6134">
      <w:pPr>
        <w:pStyle w:val="NormalHanging12a"/>
      </w:pPr>
      <w:r w:rsidRPr="007A66E1">
        <w:t>8</w:t>
      </w:r>
      <w:r w:rsidR="00860E5A">
        <w:t>1</w:t>
      </w:r>
      <w:r w:rsidRPr="007A66E1">
        <w:t>.</w:t>
      </w:r>
      <w:r w:rsidRPr="007A66E1">
        <w:tab/>
        <w:t>apeluje o zwiększenie wsparcia i inwestycji na rzecz ważnej działalności sieci społeczeństwa obywatelskiego, wspólnot diaspory w obydwu regionach, inicjatyw międzyludzkich, mobilności młodzieży oraz Fundacji UE–Ameryka Łacińska i Karaiby w zakresie zacieśniania stosunków międzyregionalnych;</w:t>
      </w:r>
    </w:p>
    <w:p w14:paraId="2DC86318" w14:textId="185DD793" w:rsidR="00FD6134" w:rsidRPr="007A66E1" w:rsidRDefault="00FD6134" w:rsidP="00FD6134">
      <w:pPr>
        <w:pStyle w:val="NormalHanging12a"/>
      </w:pPr>
      <w:r w:rsidRPr="007A66E1">
        <w:t>8</w:t>
      </w:r>
      <w:r w:rsidR="00860E5A">
        <w:t>2</w:t>
      </w:r>
      <w:r w:rsidRPr="007A66E1">
        <w:t>.</w:t>
      </w:r>
      <w:r w:rsidRPr="007A66E1">
        <w:tab/>
        <w:t>zachęca do włączenia głosu młodzieży do partnerstwa między UE a Ameryką Łacińską i Karaibami przez promowanie wymian edukacyjnych, inicjatyw kierowanych przez młodzież i platform umożliwiających młodym ludziom wniesienie znaczącego wkładu w procesy kształtowania polityki międzyregionalnej;</w:t>
      </w:r>
    </w:p>
    <w:p w14:paraId="7B8E58C5" w14:textId="77777777" w:rsidR="00FD6134" w:rsidRPr="007A66E1" w:rsidRDefault="00FD6134" w:rsidP="00FD6134">
      <w:pPr>
        <w:pStyle w:val="Normal12a24b"/>
      </w:pPr>
      <w:r w:rsidRPr="007A66E1">
        <w:rPr>
          <w:rStyle w:val="BoldItalic"/>
        </w:rPr>
        <w:t>Zalecenia na szczyt UE–CELAC w listopadzie 2025 r.</w:t>
      </w:r>
    </w:p>
    <w:p w14:paraId="1EF08198" w14:textId="6323DA99" w:rsidR="00FD6134" w:rsidRPr="007A66E1" w:rsidRDefault="00FD6134" w:rsidP="00FD6134">
      <w:pPr>
        <w:pStyle w:val="NormalHanging12a"/>
      </w:pPr>
      <w:r w:rsidRPr="007A66E1">
        <w:t>8</w:t>
      </w:r>
      <w:r w:rsidR="00860E5A">
        <w:t>3</w:t>
      </w:r>
      <w:r w:rsidRPr="007A66E1">
        <w:t>.</w:t>
      </w:r>
      <w:r w:rsidRPr="007A66E1">
        <w:tab/>
        <w:t>wyraża zadowolenie w związku z posiedzeniem UE oraz Wspólnoty Państw Ameryki Łacińskiej i Karaibów w 2023 r. oraz realizacją inicjatyw w ramach planu działania UE i Wspólnoty na lata 2023–2025; pochwala cel, jakim jest organizowanie szczytów co dwa lata; podkreśla w związku z tym potrzebę przyjęcia nowego i ambitnego planu działania na szczycie w Santa Marta w Kolumbii w dniach 9–10 listopada 2025 r., który to plan jeszcze bardziej wzmocni partnerstwo oraz jednoznacznie uwzględni cele zrównoważonego rozwoju i coraz wyższy poziom relacji dwustronnych;</w:t>
      </w:r>
    </w:p>
    <w:p w14:paraId="0BA859CC" w14:textId="71860243" w:rsidR="00FD6134" w:rsidRPr="007A66E1" w:rsidRDefault="00FD6134" w:rsidP="00FD6134">
      <w:pPr>
        <w:pStyle w:val="NormalHanging12a"/>
        <w:rPr>
          <w:i/>
          <w:iCs/>
        </w:rPr>
      </w:pPr>
      <w:r w:rsidRPr="007A66E1">
        <w:t>8</w:t>
      </w:r>
      <w:r w:rsidR="00860E5A">
        <w:t>4</w:t>
      </w:r>
      <w:r w:rsidRPr="007A66E1">
        <w:t>.</w:t>
      </w:r>
      <w:r w:rsidRPr="007A66E1">
        <w:tab/>
        <w:t>podkreśla, że zbliżający się szczyt UE–CELAC będzie doskonałą okazją do tego, aby świat usłyszał głos UE oraz Ameryki Łacińskiej i Karaibów w kwestii wspólnych wartości, a także okazją do odnowienia zaangażowania politycznego na najwyższym szczeblu oraz ustanowienia ambitnego i realistycznego programu dla obu regionów;</w:t>
      </w:r>
    </w:p>
    <w:p w14:paraId="548995B7" w14:textId="3D11A6A5" w:rsidR="00FD6134" w:rsidRPr="007A66E1" w:rsidRDefault="00FD6134" w:rsidP="00FD6134">
      <w:pPr>
        <w:pStyle w:val="NormalHanging12a"/>
      </w:pPr>
      <w:r w:rsidRPr="007A66E1">
        <w:t>8</w:t>
      </w:r>
      <w:r w:rsidR="00860E5A">
        <w:t>5</w:t>
      </w:r>
      <w:r w:rsidRPr="007A66E1">
        <w:t>.</w:t>
      </w:r>
      <w:r w:rsidRPr="007A66E1">
        <w:tab/>
        <w:t xml:space="preserve">oczekuje, że szczyt UE i Wspólnoty Państw Ameryki Łacińskiej i Karaibów wzmocni sojusz obydwu regionów z myślą o ustanowieniu najwyższych standardów zrównoważonego rozwoju na szczeblu wielostronnym, a także będzie potwierdzeniem wspólnego zobowiązania do wspierania reformy instytucji wielostronnych, aby stały się one bardziej </w:t>
      </w:r>
      <w:proofErr w:type="spellStart"/>
      <w:r w:rsidRPr="007A66E1">
        <w:t>inkluzywne</w:t>
      </w:r>
      <w:proofErr w:type="spellEnd"/>
      <w:r w:rsidRPr="007A66E1">
        <w:t xml:space="preserve"> i skuteczniejsze, zwłaszcza instytucji finansowych, które odgrywają zasadniczą rolę w kwestii zadłużenia i opracowania bardziej zrównoważonego międzynarodowego modelu finansowania, w tym finansowania współpracy na rzecz rozwoju, o którym dyskutowano podczas IV Międzynarodowej Konferencji w sprawie Finansowania Rozwoju w Sewilli (Hiszpania); podkreśla, że UE powinna stale wspierać integrację regionalną Ameryki Łacińskiej i Karaibów oraz wysiłki na rzecz stawienia czoła długotrwałym wyzwaniom strukturalnym dla zrównoważonego rozwoju w regionie;</w:t>
      </w:r>
    </w:p>
    <w:p w14:paraId="3D416692" w14:textId="6932EDC4" w:rsidR="00FD6134" w:rsidRPr="007A66E1" w:rsidRDefault="00FD6134" w:rsidP="00FD6134">
      <w:pPr>
        <w:pStyle w:val="NormalHanging12a"/>
      </w:pPr>
      <w:r w:rsidRPr="007A66E1">
        <w:t>8</w:t>
      </w:r>
      <w:r w:rsidR="00860E5A">
        <w:t>6</w:t>
      </w:r>
      <w:r w:rsidRPr="007A66E1">
        <w:t>.</w:t>
      </w:r>
      <w:r w:rsidRPr="007A66E1">
        <w:tab/>
      </w:r>
      <w:bookmarkStart w:id="16" w:name="_Hlk204156663"/>
      <w:r w:rsidRPr="007A66E1">
        <w:t>oczekuje, że szczyt UE oraz Ameryki Łacińskiej i Karaibów przyczyni się do ustanowienia stałego mechanizmu z udziałem wielu zainteresowanych stron wraz z odpowiednim finansowaniem, a także ustanowi regularne konsultacje ze społeczeństwem obywatelskim, związkami zawodowymi, samorządami lokalnymi i innymi odpowiednimi zainteresowanymi stronami z obu regionów</w:t>
      </w:r>
      <w:bookmarkEnd w:id="16"/>
      <w:r w:rsidRPr="007A66E1">
        <w:t xml:space="preserve">; uznaje pracę Fundacji UE–Ameryka Łacińska i Karaiby jako organizacji międzyrządowej oraz jej </w:t>
      </w:r>
      <w:r w:rsidRPr="007A66E1">
        <w:lastRenderedPageBreak/>
        <w:t>potencjalny wkład w stały mechanizm angażujący wiele zainteresowanych stron;</w:t>
      </w:r>
    </w:p>
    <w:p w14:paraId="1108C7C2" w14:textId="61D872A2" w:rsidR="00FD6134" w:rsidRPr="007A66E1" w:rsidRDefault="00FD6134" w:rsidP="00FD6134">
      <w:pPr>
        <w:pStyle w:val="NormalHanging12a"/>
      </w:pPr>
      <w:r w:rsidRPr="007A66E1">
        <w:t>8</w:t>
      </w:r>
      <w:r w:rsidR="00860E5A">
        <w:t>7</w:t>
      </w:r>
      <w:r w:rsidRPr="007A66E1">
        <w:t>.</w:t>
      </w:r>
      <w:r w:rsidRPr="007A66E1">
        <w:tab/>
        <w:t xml:space="preserve">w związku z tym podkreśla, jak ważne jest utrzymanie w mocy zasad państwa prawa, demokracji i praw człowieka, oraz wzywa wszystkich uczestników szczytu do przestrzegania tych zasad; wskazuje, że nie będzie to możliwe bez prawdziwie przejrzystego, wszechstronnego i znaczącego udziału społeczeństwa obywatelskiego; wzywa do uwzględnienia w programie szczytu dyskusji na temat demokracji i praw człowieka takich jak prawo do udziału w uczciwych i wolnych wyborach oraz do uwzględnienia w konkluzjach ze szczytu zdecydowanego apelu o obronę praw człowieka i praworządności; wzywa UE do zdecydowanej obrony demokracji i praw człowieka; </w:t>
      </w:r>
    </w:p>
    <w:p w14:paraId="18E4135A" w14:textId="47B2A969" w:rsidR="00FD6134" w:rsidRPr="007A66E1" w:rsidRDefault="00FD6134" w:rsidP="00FD6134">
      <w:pPr>
        <w:pStyle w:val="NormalHanging12a"/>
      </w:pPr>
      <w:r w:rsidRPr="007A66E1">
        <w:t>8</w:t>
      </w:r>
      <w:r w:rsidR="00860E5A">
        <w:t>8</w:t>
      </w:r>
      <w:r w:rsidRPr="007A66E1">
        <w:t>.</w:t>
      </w:r>
      <w:r w:rsidRPr="007A66E1">
        <w:tab/>
        <w:t>wzywa strony do potwierdzenia na szczycie w listopadzie 2025 r. wspólnego zaangażowania na rzecz pokoju, demokracji, multilateralizmu, światowego porządku opartego na zasadach, integralności terytorialnej państw, praworządności, międzynarodowego wymiaru sprawiedliwości, demokracji, praw człowieka, sprawiedliwości społecznej, zrównoważonego rozwoju i wolnego handlu z myślą o stopniowym ustanawianiu europejskiej, latynoamerykańskiej i transatlantyckiej przestrzeni pokoju, demokracji i dobrobytu;</w:t>
      </w:r>
    </w:p>
    <w:p w14:paraId="00C72E2E" w14:textId="2C1A04F3" w:rsidR="00FD6134" w:rsidRPr="007A66E1" w:rsidRDefault="00860E5A" w:rsidP="00FD6134">
      <w:pPr>
        <w:pStyle w:val="NormalHanging12a"/>
      </w:pPr>
      <w:r>
        <w:t>89</w:t>
      </w:r>
      <w:r w:rsidR="00FD6134" w:rsidRPr="007A66E1">
        <w:t>.</w:t>
      </w:r>
      <w:r w:rsidR="00FD6134" w:rsidRPr="007A66E1">
        <w:tab/>
        <w:t xml:space="preserve">wzywa strony do stanowczego potępienia trwającej rosyjskiej wojny napastniczej, w szczególności wszystkich poważnych naruszeń prawa międzynarodowego i międzynarodowego prawa humanitarnego, a także do udzielenia Ukrainie wsparcia dyplomatycznego, finansowego i wojskowego; wzywa strony do połączenia wysiłków na rzecz szybkiego osiągnięcia trwałego zawieszenia broni i interwencji humanitarnej w Strefie Gazy oraz uwolnienia wszystkich zakładników; </w:t>
      </w:r>
    </w:p>
    <w:p w14:paraId="74433CF3" w14:textId="7D3CB604" w:rsidR="00FD6134" w:rsidRPr="007A66E1" w:rsidRDefault="00FD6134" w:rsidP="00FD6134">
      <w:pPr>
        <w:pStyle w:val="NormalHanging12a"/>
        <w:rPr>
          <w:bCs/>
          <w:iCs/>
        </w:rPr>
      </w:pPr>
      <w:r w:rsidRPr="007A66E1">
        <w:t>9</w:t>
      </w:r>
      <w:r w:rsidR="00860E5A">
        <w:t>0</w:t>
      </w:r>
      <w:r w:rsidRPr="007A66E1">
        <w:t>.</w:t>
      </w:r>
      <w:r w:rsidRPr="007A66E1">
        <w:tab/>
        <w:t>wzywa UE i Wspólnotę Ameryki Łacińskiej i Karaibów do poczynienia postępów w realizacji konkretnych zobowiązań na rzecz ograniczenia ubóstwa i nierówności, promowania spójności, zdolności instytucjonalnych i sprawowania rządów oraz ochrony praw pracowniczych, a także do dalszego wspierania powszechnego dostępu do edukacji i opieki zdrowotnej; podkreśla, że oba regiony powinny zobowiązać się do realizacji międzyregionalnego paktu na rzecz opieki, aby skonsolidować i sfinansować kompleksowe systemy opieki będące filarem dobrobytu społecznego, a także uznaje opiekę za prawo, zbiorową odpowiedzialność i podstawowy warunek wstępny równouprawnienia płci, sprawiedliwości społecznej i zrównoważonego rozwoju w UE i w państwach Ameryki Łacińskiej i Karaibów;</w:t>
      </w:r>
    </w:p>
    <w:p w14:paraId="528636DB" w14:textId="1D1FAC32" w:rsidR="00FD6134" w:rsidRPr="007A66E1" w:rsidRDefault="00FD6134" w:rsidP="00FD6134">
      <w:pPr>
        <w:pStyle w:val="NormalHanging12a"/>
        <w:rPr>
          <w:bCs/>
          <w:iCs/>
        </w:rPr>
      </w:pPr>
      <w:r w:rsidRPr="007A66E1">
        <w:t>9</w:t>
      </w:r>
      <w:r w:rsidR="00860E5A">
        <w:t>1</w:t>
      </w:r>
      <w:r w:rsidRPr="007A66E1">
        <w:t>.</w:t>
      </w:r>
      <w:r w:rsidRPr="007A66E1">
        <w:tab/>
        <w:t>apeluje o to, aby na szczycie UE i Wspólnoty Ameryki Łacińskiej i Karaibów zacieśniono współpracę w zakresie odporności na zmianę klimatu, ochrony różnorodności biologicznej i walki z wylesianiem, a także by zadbano o sprawiedliwe wdrażanie polityki ochrony środowiska i polityki dekarbonizacji, o udział lokalnej ludności w transformacji ekologicznej i czerpanie przez nią korzyści z tej transformacji oraz o wspieranie najsłabszych społeczności w dostosowywaniu się do zmiany klimatu;</w:t>
      </w:r>
    </w:p>
    <w:p w14:paraId="01F34940" w14:textId="631DADA3" w:rsidR="00FD6134" w:rsidRPr="007A66E1" w:rsidRDefault="00FD6134" w:rsidP="00FD6134">
      <w:pPr>
        <w:pStyle w:val="NormalHanging12a"/>
        <w:rPr>
          <w:bCs/>
          <w:iCs/>
        </w:rPr>
      </w:pPr>
      <w:r w:rsidRPr="007A66E1">
        <w:t>9</w:t>
      </w:r>
      <w:r w:rsidR="00860E5A">
        <w:t>2</w:t>
      </w:r>
      <w:r w:rsidRPr="007A66E1">
        <w:t>.</w:t>
      </w:r>
      <w:r w:rsidRPr="007A66E1">
        <w:tab/>
        <w:t>apeluje o bardziej zdecydowane zobowiązania na rzecz przestrzegania praw ludów tubylczych we wszystkich wymiarach współpracy UE i CELAC;</w:t>
      </w:r>
    </w:p>
    <w:p w14:paraId="6D4DDFFC" w14:textId="049B3E41" w:rsidR="00FD6134" w:rsidRPr="007A66E1" w:rsidRDefault="00FD6134" w:rsidP="00FD6134">
      <w:pPr>
        <w:pStyle w:val="NormalHanging12a"/>
      </w:pPr>
      <w:r w:rsidRPr="007A66E1">
        <w:t>9</w:t>
      </w:r>
      <w:r w:rsidR="00860E5A">
        <w:t>3</w:t>
      </w:r>
      <w:r w:rsidRPr="007A66E1">
        <w:t>.</w:t>
      </w:r>
      <w:r w:rsidRPr="007A66E1">
        <w:tab/>
        <w:t xml:space="preserve">uważa, że UE oraz Ameryka Łacińska i Karaiby powinny zobowiązać się do wspólnej realizacji globalnych i sprawiedliwych społecznie inicjatyw ekologicznych, takich jak negocjowanie międzynarodowego traktatu w celu wyeliminowania zanieczyszczenia </w:t>
      </w:r>
      <w:r w:rsidRPr="007A66E1">
        <w:lastRenderedPageBreak/>
        <w:t>tworzywami sztucznymi lub działania w oparciu o protokół ustaleń w sprawie zintegrowanego zarządzania ryzykiem związanym z klęskami żywiołowymi, oraz że UE oraz Ameryka Łacińska i Karaiby powinny zachęcać do zrównoważonego wykorzystywania zasobów naturalnych; wzywa strony do potwierdzenia wspólnego zaangażowania na rzecz skutecznego wdrożenia porozumienia paryskiego;</w:t>
      </w:r>
    </w:p>
    <w:p w14:paraId="5F96A82E" w14:textId="52AFF6A3" w:rsidR="00FD6134" w:rsidRPr="007A66E1" w:rsidRDefault="00FD6134" w:rsidP="00FD6134">
      <w:pPr>
        <w:pStyle w:val="NormalHanging12a"/>
      </w:pPr>
      <w:r w:rsidRPr="007A66E1">
        <w:t>9</w:t>
      </w:r>
      <w:r w:rsidR="00860E5A">
        <w:t>4</w:t>
      </w:r>
      <w:r w:rsidRPr="007A66E1">
        <w:t>.</w:t>
      </w:r>
      <w:r w:rsidRPr="007A66E1">
        <w:tab/>
        <w:t xml:space="preserve">zachęca do dalszej ścisłej współpracy w kwestiach cyfrowych za pośrednictwem sojuszu cyfrowego między UE a Ameryką Łacińską i Karaibami z myślą o wspieraniu transformacji cyfrowej w obu regionach, która będzie uwzględniała potrzeby człowieka; apeluje o dostosowanie ram regulacyjnych w dziedzinie cyfrowej, w szczególności poprzez dialog na temat ochrony danych, regulacji platform, etyki w obszarze sztucznej inteligencji i </w:t>
      </w:r>
      <w:proofErr w:type="spellStart"/>
      <w:r w:rsidRPr="007A66E1">
        <w:t>cyberbezpieczeństwa</w:t>
      </w:r>
      <w:proofErr w:type="spellEnd"/>
      <w:r w:rsidRPr="007A66E1">
        <w:t>;</w:t>
      </w:r>
    </w:p>
    <w:p w14:paraId="31BED131" w14:textId="4395BFCE" w:rsidR="00FD6134" w:rsidRPr="007A66E1" w:rsidRDefault="00FD6134" w:rsidP="00FD6134">
      <w:pPr>
        <w:pStyle w:val="NormalHanging12a"/>
      </w:pPr>
      <w:r w:rsidRPr="007A66E1">
        <w:t>9</w:t>
      </w:r>
      <w:r w:rsidR="00860E5A">
        <w:t>5</w:t>
      </w:r>
      <w:r w:rsidRPr="007A66E1">
        <w:t>.</w:t>
      </w:r>
      <w:r w:rsidRPr="007A66E1">
        <w:tab/>
        <w:t>ponownie wzywa do znacznego zacieśnienia współpracy międzyregionalnej w zakresie zwalczania przestępczości zorganizowanej i przemytu narkotyków w ramach kompleksowego podejścia do bezpieczeństwa obywateli;</w:t>
      </w:r>
    </w:p>
    <w:p w14:paraId="006C0E89" w14:textId="62EC0D96" w:rsidR="00FD6134" w:rsidRPr="007A66E1" w:rsidRDefault="00FD6134" w:rsidP="00FD6134">
      <w:pPr>
        <w:pStyle w:val="NormalHanging12a"/>
        <w:rPr>
          <w:bCs/>
          <w:iCs/>
        </w:rPr>
      </w:pPr>
      <w:r w:rsidRPr="007A66E1">
        <w:t>9</w:t>
      </w:r>
      <w:r w:rsidR="00860E5A">
        <w:t>6</w:t>
      </w:r>
      <w:r w:rsidRPr="007A66E1">
        <w:t>.</w:t>
      </w:r>
      <w:r w:rsidRPr="007A66E1">
        <w:tab/>
        <w:t>apeluje o większe zaangażowanie na rzecz współpracy w dziedzinie edukacji, zwłaszcza poprzez zwiększenie liczby programów wymiany w ramach programu Erasmus+;</w:t>
      </w:r>
    </w:p>
    <w:p w14:paraId="4C76470E" w14:textId="14D225D6" w:rsidR="00FD6134" w:rsidRPr="007A66E1" w:rsidRDefault="00FD6134" w:rsidP="00FD6134">
      <w:pPr>
        <w:pStyle w:val="NormalHanging12a"/>
        <w:rPr>
          <w:bCs/>
          <w:iCs/>
        </w:rPr>
      </w:pPr>
      <w:r w:rsidRPr="007A66E1">
        <w:t>9</w:t>
      </w:r>
      <w:r w:rsidR="00860E5A">
        <w:t>7</w:t>
      </w:r>
      <w:r w:rsidRPr="007A66E1">
        <w:t>.</w:t>
      </w:r>
      <w:r w:rsidRPr="007A66E1">
        <w:tab/>
        <w:t xml:space="preserve">podkreśla potrzebę zapewnienia większego wsparcia instytucjonalnego, zasobów i wiedzy technicznej na potrzeby organizacji regularnych szczytów UE–CELAC; apeluje o stworzenie stałych więzi instytucjonalnych w okresach między szczytami, aby umożliwić sprawniejszą koordynację, lepsze przygotowanie, szybszą komunikację i monitorowanie wyników; </w:t>
      </w:r>
    </w:p>
    <w:p w14:paraId="7090C125" w14:textId="5D023D42" w:rsidR="00FD6134" w:rsidRPr="007A66E1" w:rsidRDefault="00FD6134" w:rsidP="00FD6134">
      <w:pPr>
        <w:pStyle w:val="NormalHanging12a"/>
        <w:rPr>
          <w:bCs/>
          <w:iCs/>
        </w:rPr>
      </w:pPr>
      <w:r w:rsidRPr="007A66E1">
        <w:t>9</w:t>
      </w:r>
      <w:r w:rsidR="00860E5A">
        <w:t>8</w:t>
      </w:r>
      <w:r w:rsidRPr="007A66E1">
        <w:t>.</w:t>
      </w:r>
      <w:r w:rsidRPr="007A66E1">
        <w:tab/>
        <w:t>apeluje o regularne konsultacje z udziałem wielu zainteresowanych stron, zwłaszcza przed każdym szczytem UE–CELAC i po nim, między samorządami terytorialnymi i społeczeństwem obywatelskim w regionie Ameryki Łacińskiej i Karaibów a Komisją, aby projekty Global Gateway przyczyniały się do osiągania celów zrównoważonego rozwoju, a także do realizacji priorytetów w zakresie rozwoju lokalnego i regionalnego; wzywa ponadto do ustanowienia – z udziałem wielu zainteresowanych stron – stałego mechanizmu monitorowania stosunków między UE a Wspólnotą Państw Ameryki Łacińskiej i Karaibów oraz postępów w realizacji zobowiązań; podkreśla znaczenie konstruktywnego zaangażowania i konsultacji ze społeczeństwem obywatelskim UE oraz Ameryki Łacińskiej i Karaibów podczas szczytu;</w:t>
      </w:r>
    </w:p>
    <w:p w14:paraId="7C4EA4AB" w14:textId="77777777" w:rsidR="00FD6134" w:rsidRPr="007A66E1" w:rsidRDefault="00FD6134" w:rsidP="00FD6134">
      <w:pPr>
        <w:pStyle w:val="NormalCenter12a"/>
      </w:pPr>
      <w:r w:rsidRPr="007A66E1">
        <w:t>°</w:t>
      </w:r>
    </w:p>
    <w:p w14:paraId="70103A9D" w14:textId="77777777" w:rsidR="00FD6134" w:rsidRPr="007A66E1" w:rsidRDefault="00FD6134" w:rsidP="00FD6134">
      <w:pPr>
        <w:pStyle w:val="NormalCenter12a"/>
      </w:pPr>
      <w:r w:rsidRPr="007A66E1">
        <w:t>°</w:t>
      </w:r>
      <w:r w:rsidRPr="007A66E1">
        <w:tab/>
        <w:t>°</w:t>
      </w:r>
    </w:p>
    <w:p w14:paraId="39A59B09" w14:textId="39F507DC" w:rsidR="007A66E1" w:rsidRPr="007A66E1" w:rsidRDefault="00860E5A" w:rsidP="007A66E1">
      <w:pPr>
        <w:pStyle w:val="NormalHanging12a"/>
      </w:pPr>
      <w:r>
        <w:t>99</w:t>
      </w:r>
      <w:r w:rsidR="00FD6134" w:rsidRPr="007A66E1">
        <w:t>.</w:t>
      </w:r>
      <w:r w:rsidR="00FD6134" w:rsidRPr="007A66E1">
        <w:tab/>
        <w:t>zobowiązuje swoją przewodniczącą do przekazania niniejszej rezolucji Radzie, Komisji oraz wiceprzewodniczącej Komisji / wysokiej przedstawiciel Unii do spraw zagranicznych i polityki bezpieczeństwa.</w:t>
      </w:r>
    </w:p>
    <w:p w14:paraId="0FEFD4D1" w14:textId="191A5D87" w:rsidR="00E365E1" w:rsidRPr="007A66E1" w:rsidRDefault="00E365E1" w:rsidP="00E233E2"/>
    <w:sectPr w:rsidR="00E365E1" w:rsidRPr="007A66E1" w:rsidSect="007A66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EC56E" w14:textId="77777777" w:rsidR="00E233E2" w:rsidRPr="007A66E1" w:rsidRDefault="00E233E2">
      <w:r w:rsidRPr="007A66E1">
        <w:separator/>
      </w:r>
    </w:p>
  </w:endnote>
  <w:endnote w:type="continuationSeparator" w:id="0">
    <w:p w14:paraId="5CBA8536" w14:textId="77777777" w:rsidR="00E233E2" w:rsidRPr="007A66E1" w:rsidRDefault="00E233E2">
      <w:r w:rsidRPr="007A66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005C" w14:textId="77777777" w:rsidR="00064002" w:rsidRPr="007A66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44D10" w14:textId="77777777" w:rsidR="00064002" w:rsidRPr="007A66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E53CE" w14:textId="77777777" w:rsidR="00064002" w:rsidRPr="007A66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3168D" w14:textId="77777777" w:rsidR="00E233E2" w:rsidRPr="007A66E1" w:rsidRDefault="00E233E2">
      <w:r w:rsidRPr="007A66E1">
        <w:separator/>
      </w:r>
    </w:p>
  </w:footnote>
  <w:footnote w:type="continuationSeparator" w:id="0">
    <w:p w14:paraId="769B9E34" w14:textId="77777777" w:rsidR="00E233E2" w:rsidRPr="007A66E1" w:rsidRDefault="00E233E2">
      <w:r w:rsidRPr="007A66E1">
        <w:continuationSeparator/>
      </w:r>
    </w:p>
  </w:footnote>
  <w:footnote w:id="1">
    <w:p w14:paraId="71AE758E" w14:textId="40C188B1" w:rsidR="00FD6134" w:rsidRPr="007A66E1" w:rsidRDefault="00FD6134" w:rsidP="007A66E1">
      <w:pPr>
        <w:pStyle w:val="FootnoteText"/>
        <w:ind w:left="567" w:hanging="567"/>
        <w:rPr>
          <w:sz w:val="24"/>
          <w:lang w:val="pl-PL"/>
        </w:rPr>
      </w:pPr>
      <w:r w:rsidRPr="007A66E1">
        <w:rPr>
          <w:rStyle w:val="FootnoteReference"/>
          <w:sz w:val="24"/>
          <w:lang w:val="pl-PL"/>
        </w:rPr>
        <w:footnoteRef/>
      </w:r>
      <w:r w:rsidR="007A66E1" w:rsidRPr="007A66E1">
        <w:rPr>
          <w:sz w:val="24"/>
          <w:lang w:val="pl-PL"/>
        </w:rPr>
        <w:t xml:space="preserve"> </w:t>
      </w:r>
      <w:r w:rsidR="007A66E1" w:rsidRPr="007A66E1">
        <w:rPr>
          <w:sz w:val="24"/>
          <w:lang w:val="pl-PL"/>
        </w:rPr>
        <w:tab/>
      </w:r>
      <w:r w:rsidRPr="007A66E1">
        <w:rPr>
          <w:sz w:val="24"/>
          <w:lang w:val="pl-PL"/>
        </w:rPr>
        <w:t>Teksty przyjęte, P10_</w:t>
      </w:r>
      <w:proofErr w:type="gramStart"/>
      <w:r w:rsidRPr="007A66E1">
        <w:rPr>
          <w:sz w:val="24"/>
          <w:lang w:val="pl-PL"/>
        </w:rPr>
        <w:t>TA(</w:t>
      </w:r>
      <w:proofErr w:type="gramEnd"/>
      <w:r w:rsidRPr="007A66E1">
        <w:rPr>
          <w:sz w:val="24"/>
          <w:lang w:val="pl-PL"/>
        </w:rPr>
        <w:t>2025)0057.</w:t>
      </w:r>
    </w:p>
  </w:footnote>
  <w:footnote w:id="2">
    <w:p w14:paraId="4CE0BB9A" w14:textId="2349508F" w:rsidR="00FD6134" w:rsidRPr="007A66E1" w:rsidRDefault="00FD6134" w:rsidP="007A66E1">
      <w:pPr>
        <w:pStyle w:val="FootnoteText"/>
        <w:ind w:left="567" w:hanging="567"/>
        <w:rPr>
          <w:sz w:val="24"/>
          <w:lang w:val="pl-PL"/>
        </w:rPr>
      </w:pPr>
      <w:r w:rsidRPr="007A66E1">
        <w:rPr>
          <w:rStyle w:val="FootnoteReference"/>
          <w:sz w:val="24"/>
          <w:lang w:val="pl-PL"/>
        </w:rPr>
        <w:footnoteRef/>
      </w:r>
      <w:r w:rsidR="007A66E1" w:rsidRPr="007A66E1">
        <w:rPr>
          <w:sz w:val="24"/>
          <w:lang w:val="pl-PL"/>
        </w:rPr>
        <w:t xml:space="preserve"> </w:t>
      </w:r>
      <w:r w:rsidR="007A66E1" w:rsidRPr="007A66E1">
        <w:rPr>
          <w:sz w:val="24"/>
          <w:lang w:val="pl-PL"/>
        </w:rPr>
        <w:tab/>
      </w:r>
      <w:r w:rsidRPr="007A66E1">
        <w:rPr>
          <w:sz w:val="24"/>
          <w:lang w:val="pl-PL"/>
        </w:rPr>
        <w:t xml:space="preserve">Dz.U. L 209 z </w:t>
      </w:r>
      <w:proofErr w:type="gramStart"/>
      <w:r w:rsidRPr="007A66E1">
        <w:rPr>
          <w:sz w:val="24"/>
          <w:lang w:val="pl-PL"/>
        </w:rPr>
        <w:t>14.6.2021</w:t>
      </w:r>
      <w:proofErr w:type="gramEnd"/>
      <w:r w:rsidRPr="007A66E1">
        <w:rPr>
          <w:sz w:val="24"/>
          <w:lang w:val="pl-PL"/>
        </w:rPr>
        <w:t>, s. 1</w:t>
      </w:r>
      <w:r w:rsidR="00E505C4">
        <w:rPr>
          <w:sz w:val="24"/>
          <w:lang w:val="pl-PL"/>
        </w:rPr>
        <w:t xml:space="preserve">, </w:t>
      </w:r>
      <w:r w:rsidRPr="007A66E1">
        <w:rPr>
          <w:sz w:val="24"/>
          <w:lang w:val="pl-PL"/>
        </w:rPr>
        <w:t xml:space="preserve">ELI: </w:t>
      </w:r>
      <w:hyperlink r:id="rId1" w:history="1">
        <w:r w:rsidRPr="007A66E1">
          <w:rPr>
            <w:rStyle w:val="Hyperlink"/>
            <w:sz w:val="24"/>
            <w:lang w:val="pl-PL"/>
          </w:rPr>
          <w:t>http://data.europa.eu/eli/reg/2021/947/oj</w:t>
        </w:r>
      </w:hyperlink>
      <w:r w:rsidRPr="007A66E1">
        <w:rPr>
          <w:sz w:val="24"/>
          <w:lang w:val="pl-PL"/>
        </w:rPr>
        <w:t>.</w:t>
      </w:r>
    </w:p>
  </w:footnote>
  <w:footnote w:id="3">
    <w:p w14:paraId="6489D5E4" w14:textId="1BEC6CFD" w:rsidR="00FD6134" w:rsidRPr="00A21DE6" w:rsidRDefault="00FD6134" w:rsidP="007A66E1">
      <w:pPr>
        <w:pStyle w:val="FootnoteText"/>
        <w:ind w:left="567" w:hanging="567"/>
        <w:rPr>
          <w:sz w:val="24"/>
          <w:lang w:val="fi-FI"/>
        </w:rPr>
      </w:pPr>
      <w:r w:rsidRPr="007A66E1">
        <w:rPr>
          <w:rStyle w:val="FootnoteReference"/>
          <w:sz w:val="24"/>
          <w:lang w:val="pl-PL"/>
        </w:rPr>
        <w:footnoteRef/>
      </w:r>
      <w:r w:rsidR="007A66E1" w:rsidRPr="00A21DE6">
        <w:rPr>
          <w:sz w:val="24"/>
          <w:lang w:val="fi-FI"/>
        </w:rPr>
        <w:t xml:space="preserve"> </w:t>
      </w:r>
      <w:r w:rsidR="007A66E1" w:rsidRPr="00A21DE6">
        <w:rPr>
          <w:sz w:val="24"/>
          <w:lang w:val="fi-FI"/>
        </w:rPr>
        <w:tab/>
      </w:r>
      <w:r w:rsidRPr="00A21DE6">
        <w:rPr>
          <w:sz w:val="24"/>
          <w:lang w:val="fi-FI"/>
        </w:rPr>
        <w:t>Dz.U. C, C/2023/398, 23.11.2023</w:t>
      </w:r>
      <w:r w:rsidR="00E505C4" w:rsidRPr="00A21DE6">
        <w:rPr>
          <w:sz w:val="24"/>
          <w:lang w:val="fi-FI"/>
        </w:rPr>
        <w:t xml:space="preserve">, </w:t>
      </w:r>
      <w:r w:rsidRPr="00A21DE6">
        <w:rPr>
          <w:sz w:val="24"/>
          <w:lang w:val="fi-FI"/>
        </w:rPr>
        <w:t xml:space="preserve">ELI: </w:t>
      </w:r>
      <w:r w:rsidR="00D34B05">
        <w:fldChar w:fldCharType="begin"/>
      </w:r>
      <w:r w:rsidR="00D34B05" w:rsidRPr="00D34B05">
        <w:rPr>
          <w:lang w:val="fi-FI"/>
        </w:rPr>
        <w:instrText>HYPERLINK "http://data.europa.eu/eli/C/2023/398/oj"</w:instrText>
      </w:r>
      <w:r w:rsidR="00D34B05">
        <w:fldChar w:fldCharType="separate"/>
      </w:r>
      <w:r w:rsidRPr="00A21DE6">
        <w:rPr>
          <w:rStyle w:val="Hyperlink"/>
          <w:sz w:val="24"/>
          <w:lang w:val="fi-FI"/>
        </w:rPr>
        <w:t>http://data.europa.eu/eli/C/2023/398/oj</w:t>
      </w:r>
      <w:r w:rsidR="00D34B05">
        <w:rPr>
          <w:rStyle w:val="Hyperlink"/>
          <w:sz w:val="24"/>
          <w:lang w:val="fi-FI"/>
        </w:rPr>
        <w:fldChar w:fldCharType="end"/>
      </w:r>
      <w:r w:rsidRPr="00A21DE6">
        <w:rPr>
          <w:sz w:val="24"/>
          <w:lang w:val="fi-FI"/>
        </w:rPr>
        <w:t>.</w:t>
      </w:r>
    </w:p>
  </w:footnote>
  <w:footnote w:id="4">
    <w:p w14:paraId="16DF6898" w14:textId="22E801AC" w:rsidR="00FD6134" w:rsidRPr="00A21DE6" w:rsidRDefault="00FD6134" w:rsidP="007A66E1">
      <w:pPr>
        <w:pStyle w:val="FootnoteText"/>
        <w:ind w:left="567" w:hanging="567"/>
        <w:rPr>
          <w:sz w:val="24"/>
          <w:lang w:val="fi-FI"/>
        </w:rPr>
      </w:pPr>
      <w:r w:rsidRPr="007A66E1">
        <w:rPr>
          <w:rStyle w:val="FootnoteReference"/>
          <w:sz w:val="24"/>
          <w:lang w:val="pl-PL"/>
        </w:rPr>
        <w:footnoteRef/>
      </w:r>
      <w:r w:rsidR="007A66E1" w:rsidRPr="00A21DE6">
        <w:rPr>
          <w:sz w:val="24"/>
          <w:lang w:val="fi-FI"/>
        </w:rPr>
        <w:t xml:space="preserve"> </w:t>
      </w:r>
      <w:r w:rsidR="007A66E1" w:rsidRPr="00A21DE6">
        <w:rPr>
          <w:sz w:val="24"/>
          <w:lang w:val="fi-FI"/>
        </w:rPr>
        <w:tab/>
      </w:r>
      <w:proofErr w:type="spellStart"/>
      <w:r w:rsidRPr="00A21DE6">
        <w:rPr>
          <w:sz w:val="24"/>
          <w:lang w:val="fi-FI"/>
        </w:rPr>
        <w:t>Dz.U</w:t>
      </w:r>
      <w:proofErr w:type="spellEnd"/>
      <w:r w:rsidRPr="00A21DE6">
        <w:rPr>
          <w:sz w:val="24"/>
          <w:lang w:val="fi-FI"/>
        </w:rPr>
        <w:t xml:space="preserve">. C, C/2025/2148, 23.4.2025 (ELI: </w:t>
      </w:r>
      <w:hyperlink r:id="rId2" w:history="1">
        <w:r w:rsidRPr="00A21DE6">
          <w:rPr>
            <w:rStyle w:val="Hyperlink"/>
            <w:sz w:val="24"/>
            <w:lang w:val="fi-FI"/>
          </w:rPr>
          <w:t>http://data.europa.eu/eli/C/2025/2148/oj</w:t>
        </w:r>
      </w:hyperlink>
      <w:r w:rsidRPr="00A21DE6">
        <w:rPr>
          <w:sz w:val="24"/>
          <w:lang w:val="fi-FI"/>
        </w:rPr>
        <w:t>).</w:t>
      </w:r>
    </w:p>
  </w:footnote>
  <w:footnote w:id="5">
    <w:p w14:paraId="13BC3DC1" w14:textId="2345D0A5" w:rsidR="00FD6134" w:rsidRPr="00A21DE6" w:rsidRDefault="00FD6134" w:rsidP="007A66E1">
      <w:pPr>
        <w:pStyle w:val="FootnoteText"/>
        <w:ind w:left="567" w:hanging="567"/>
        <w:rPr>
          <w:sz w:val="24"/>
          <w:lang w:val="fi-FI"/>
        </w:rPr>
      </w:pPr>
      <w:r w:rsidRPr="007A66E1">
        <w:rPr>
          <w:rStyle w:val="FootnoteReference"/>
          <w:sz w:val="24"/>
          <w:lang w:val="pl-PL"/>
        </w:rPr>
        <w:footnoteRef/>
      </w:r>
      <w:r w:rsidR="007A66E1" w:rsidRPr="00A21DE6">
        <w:rPr>
          <w:sz w:val="24"/>
          <w:lang w:val="fi-FI"/>
        </w:rPr>
        <w:t xml:space="preserve"> </w:t>
      </w:r>
      <w:r w:rsidR="007A66E1" w:rsidRPr="00A21DE6">
        <w:rPr>
          <w:sz w:val="24"/>
          <w:lang w:val="fi-FI"/>
        </w:rPr>
        <w:tab/>
      </w:r>
      <w:r w:rsidRPr="00A21DE6">
        <w:rPr>
          <w:sz w:val="24"/>
          <w:lang w:val="fi-FI"/>
        </w:rPr>
        <w:t xml:space="preserve">Dz.U. C, C/2024/7215, 10.12.2024 (ELI: </w:t>
      </w:r>
      <w:r w:rsidR="00D34B05">
        <w:fldChar w:fldCharType="begin"/>
      </w:r>
      <w:r w:rsidR="00D34B05" w:rsidRPr="00D34B05">
        <w:rPr>
          <w:lang w:val="fi-FI"/>
        </w:rPr>
        <w:instrText>HYPERLINK "http://data.europa.eu/eli/C/2024/7215/oj"</w:instrText>
      </w:r>
      <w:r w:rsidR="00D34B05">
        <w:fldChar w:fldCharType="separate"/>
      </w:r>
      <w:r w:rsidRPr="00A21DE6">
        <w:rPr>
          <w:rStyle w:val="Hyperlink"/>
          <w:sz w:val="24"/>
          <w:lang w:val="fi-FI"/>
        </w:rPr>
        <w:t>http://data.europa.eu/eli/C/2024/7215/oj</w:t>
      </w:r>
      <w:r w:rsidR="00D34B05">
        <w:rPr>
          <w:rStyle w:val="Hyperlink"/>
          <w:sz w:val="24"/>
          <w:lang w:val="fi-FI"/>
        </w:rPr>
        <w:fldChar w:fldCharType="end"/>
      </w:r>
      <w:r w:rsidRPr="00A21DE6">
        <w:rPr>
          <w:sz w:val="24"/>
          <w:lang w:val="fi-FI"/>
        </w:rPr>
        <w:t>).</w:t>
      </w:r>
    </w:p>
  </w:footnote>
  <w:footnote w:id="6">
    <w:p w14:paraId="3799C0DF" w14:textId="76FDED18" w:rsidR="00FD6134" w:rsidRPr="00A21DE6" w:rsidRDefault="00FD6134" w:rsidP="007A66E1">
      <w:pPr>
        <w:pStyle w:val="FootnoteText"/>
        <w:ind w:left="567" w:hanging="567"/>
        <w:rPr>
          <w:sz w:val="24"/>
          <w:lang w:val="fi-FI"/>
        </w:rPr>
      </w:pPr>
      <w:r w:rsidRPr="007A66E1">
        <w:rPr>
          <w:rStyle w:val="FootnoteReference"/>
          <w:sz w:val="24"/>
          <w:lang w:val="pl-PL"/>
        </w:rPr>
        <w:footnoteRef/>
      </w:r>
      <w:r w:rsidR="007A66E1" w:rsidRPr="00A21DE6">
        <w:rPr>
          <w:sz w:val="24"/>
          <w:lang w:val="fi-FI"/>
        </w:rPr>
        <w:t xml:space="preserve"> </w:t>
      </w:r>
      <w:r w:rsidR="007A66E1" w:rsidRPr="00A21DE6">
        <w:rPr>
          <w:sz w:val="24"/>
          <w:lang w:val="fi-FI"/>
        </w:rPr>
        <w:tab/>
      </w:r>
      <w:proofErr w:type="spellStart"/>
      <w:r w:rsidRPr="00A21DE6">
        <w:rPr>
          <w:sz w:val="24"/>
          <w:lang w:val="fi-FI"/>
        </w:rPr>
        <w:t>Dz.U</w:t>
      </w:r>
      <w:proofErr w:type="spellEnd"/>
      <w:r w:rsidRPr="00A21DE6">
        <w:rPr>
          <w:sz w:val="24"/>
          <w:lang w:val="fi-FI"/>
        </w:rPr>
        <w:t xml:space="preserve">. C, C/2024/4001, 17.7.2024 (ELI: </w:t>
      </w:r>
      <w:hyperlink r:id="rId3" w:history="1">
        <w:r w:rsidRPr="00A21DE6">
          <w:rPr>
            <w:rStyle w:val="Hyperlink"/>
            <w:sz w:val="24"/>
            <w:lang w:val="fi-FI"/>
          </w:rPr>
          <w:t>http://data.europa.eu/eli/C/2024/4001/oj</w:t>
        </w:r>
      </w:hyperlink>
      <w:r w:rsidRPr="00A21DE6">
        <w:rPr>
          <w:sz w:val="24"/>
          <w:lang w:val="fi-FI"/>
        </w:rPr>
        <w:t>).</w:t>
      </w:r>
    </w:p>
  </w:footnote>
  <w:footnote w:id="7">
    <w:p w14:paraId="208907DA" w14:textId="1DC3AC35" w:rsidR="00FD6134" w:rsidRPr="00A21DE6" w:rsidRDefault="00FD6134" w:rsidP="007A66E1">
      <w:pPr>
        <w:pStyle w:val="FootnoteText"/>
        <w:ind w:left="567" w:hanging="567"/>
        <w:rPr>
          <w:sz w:val="24"/>
          <w:lang w:val="fi-FI"/>
        </w:rPr>
      </w:pPr>
      <w:r w:rsidRPr="007A66E1">
        <w:rPr>
          <w:rStyle w:val="FootnoteReference"/>
          <w:sz w:val="24"/>
          <w:lang w:val="pl-PL"/>
        </w:rPr>
        <w:footnoteRef/>
      </w:r>
      <w:r w:rsidR="007A66E1" w:rsidRPr="00A21DE6">
        <w:rPr>
          <w:sz w:val="24"/>
          <w:lang w:val="fi-FI"/>
        </w:rPr>
        <w:t xml:space="preserve"> </w:t>
      </w:r>
      <w:r w:rsidR="007A66E1" w:rsidRPr="00A21DE6">
        <w:rPr>
          <w:sz w:val="24"/>
          <w:lang w:val="fi-FI"/>
        </w:rPr>
        <w:tab/>
      </w:r>
      <w:r w:rsidRPr="00A21DE6">
        <w:rPr>
          <w:sz w:val="24"/>
          <w:lang w:val="fi-FI"/>
        </w:rPr>
        <w:t xml:space="preserve">Dz.U. C, C/2024/7213, 10.12.2024 (ELI: </w:t>
      </w:r>
      <w:r w:rsidR="00D34B05">
        <w:fldChar w:fldCharType="begin"/>
      </w:r>
      <w:r w:rsidR="00D34B05" w:rsidRPr="00D34B05">
        <w:rPr>
          <w:lang w:val="fi-FI"/>
        </w:rPr>
        <w:instrText>HYPERLINK "http://data.europa.eu/eli/C/2024/7213/oj"</w:instrText>
      </w:r>
      <w:r w:rsidR="00D34B05">
        <w:fldChar w:fldCharType="separate"/>
      </w:r>
      <w:r w:rsidRPr="00A21DE6">
        <w:rPr>
          <w:rStyle w:val="Hyperlink"/>
          <w:sz w:val="24"/>
          <w:lang w:val="fi-FI"/>
        </w:rPr>
        <w:t>http://data.europa.eu/eli/C/2024/7213/oj</w:t>
      </w:r>
      <w:r w:rsidR="00D34B05">
        <w:rPr>
          <w:rStyle w:val="Hyperlink"/>
          <w:sz w:val="24"/>
          <w:lang w:val="fi-FI"/>
        </w:rPr>
        <w:fldChar w:fldCharType="end"/>
      </w:r>
      <w:r w:rsidRPr="00A21DE6">
        <w:rPr>
          <w:sz w:val="24"/>
          <w:lang w:val="fi-FI"/>
        </w:rPr>
        <w:t>).</w:t>
      </w:r>
    </w:p>
  </w:footnote>
  <w:footnote w:id="8">
    <w:p w14:paraId="43FEEBB2" w14:textId="2CA10075" w:rsidR="00FD6134" w:rsidRPr="00A21DE6" w:rsidRDefault="00FD6134" w:rsidP="007A66E1">
      <w:pPr>
        <w:pStyle w:val="FootnoteText"/>
        <w:ind w:left="567" w:hanging="567"/>
        <w:rPr>
          <w:sz w:val="24"/>
          <w:lang w:val="fi-FI"/>
        </w:rPr>
      </w:pPr>
      <w:r w:rsidRPr="007A66E1">
        <w:rPr>
          <w:rStyle w:val="FootnoteReference"/>
          <w:sz w:val="24"/>
          <w:lang w:val="pl-PL"/>
        </w:rPr>
        <w:footnoteRef/>
      </w:r>
      <w:r w:rsidR="007A66E1" w:rsidRPr="00A21DE6">
        <w:rPr>
          <w:sz w:val="24"/>
          <w:lang w:val="fi-FI"/>
        </w:rPr>
        <w:t xml:space="preserve"> </w:t>
      </w:r>
      <w:r w:rsidR="007A66E1" w:rsidRPr="00A21DE6">
        <w:rPr>
          <w:sz w:val="24"/>
          <w:lang w:val="fi-FI"/>
        </w:rPr>
        <w:tab/>
      </w:r>
      <w:proofErr w:type="spellStart"/>
      <w:r w:rsidRPr="00A21DE6">
        <w:rPr>
          <w:sz w:val="24"/>
          <w:lang w:val="fi-FI"/>
        </w:rPr>
        <w:t>Dz.U</w:t>
      </w:r>
      <w:proofErr w:type="spellEnd"/>
      <w:r w:rsidRPr="00A21DE6">
        <w:rPr>
          <w:sz w:val="24"/>
          <w:lang w:val="fi-FI"/>
        </w:rPr>
        <w:t xml:space="preserve">. C, C/2025/2249, 29.4.2025 (ELI: </w:t>
      </w:r>
      <w:hyperlink r:id="rId4" w:history="1">
        <w:r w:rsidRPr="00A21DE6">
          <w:rPr>
            <w:rStyle w:val="Hyperlink"/>
            <w:sz w:val="24"/>
            <w:lang w:val="fi-FI"/>
          </w:rPr>
          <w:t>http://data.europa.eu/eli/C/2025/2249/oj</w:t>
        </w:r>
      </w:hyperlink>
      <w:r w:rsidRPr="00A21DE6">
        <w:rPr>
          <w:sz w:val="24"/>
          <w:lang w:val="fi-FI"/>
        </w:rPr>
        <w:t>).</w:t>
      </w:r>
    </w:p>
  </w:footnote>
  <w:footnote w:id="9">
    <w:p w14:paraId="25A4D9AB" w14:textId="2F9656B3" w:rsidR="00FD6134" w:rsidRPr="007A66E1" w:rsidRDefault="00FD6134" w:rsidP="007A66E1">
      <w:pPr>
        <w:pStyle w:val="FootnoteText"/>
        <w:ind w:left="567" w:hanging="567"/>
        <w:rPr>
          <w:sz w:val="24"/>
          <w:lang w:val="pl-PL"/>
        </w:rPr>
      </w:pPr>
      <w:r w:rsidRPr="007A66E1">
        <w:rPr>
          <w:rStyle w:val="FootnoteReference"/>
          <w:sz w:val="24"/>
          <w:lang w:val="pl-PL"/>
        </w:rPr>
        <w:footnoteRef/>
      </w:r>
      <w:r w:rsidR="007A66E1" w:rsidRPr="007A66E1">
        <w:rPr>
          <w:sz w:val="24"/>
          <w:lang w:val="pl-PL"/>
        </w:rPr>
        <w:t xml:space="preserve"> </w:t>
      </w:r>
      <w:r w:rsidR="007A66E1" w:rsidRPr="007A66E1">
        <w:rPr>
          <w:sz w:val="24"/>
          <w:lang w:val="pl-PL"/>
        </w:rPr>
        <w:tab/>
      </w:r>
      <w:r w:rsidRPr="00E505C4">
        <w:rPr>
          <w:sz w:val="24"/>
          <w:lang w:val="pl-PL"/>
        </w:rPr>
        <w:t xml:space="preserve">Dz.U. C 210 z </w:t>
      </w:r>
      <w:proofErr w:type="gramStart"/>
      <w:r w:rsidRPr="00E505C4">
        <w:rPr>
          <w:sz w:val="24"/>
          <w:lang w:val="pl-PL"/>
        </w:rPr>
        <w:t>30.6.2017</w:t>
      </w:r>
      <w:proofErr w:type="gramEnd"/>
      <w:r w:rsidRPr="00E505C4">
        <w:rPr>
          <w:sz w:val="24"/>
          <w:lang w:val="pl-PL"/>
        </w:rPr>
        <w:t>, s. 1</w:t>
      </w:r>
      <w:r w:rsidRPr="007A66E1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D797A" w14:textId="77777777" w:rsidR="00064002" w:rsidRPr="007A66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BF772" w14:textId="77777777" w:rsidR="00064002" w:rsidRPr="007A66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82D3C" w14:textId="77777777" w:rsidR="00064002" w:rsidRPr="007A66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5639455">
    <w:abstractNumId w:val="9"/>
  </w:num>
  <w:num w:numId="2" w16cid:durableId="1966110759">
    <w:abstractNumId w:val="9"/>
  </w:num>
  <w:num w:numId="3" w16cid:durableId="1493642617">
    <w:abstractNumId w:val="7"/>
  </w:num>
  <w:num w:numId="4" w16cid:durableId="1061976831">
    <w:abstractNumId w:val="7"/>
  </w:num>
  <w:num w:numId="5" w16cid:durableId="1798454953">
    <w:abstractNumId w:val="6"/>
  </w:num>
  <w:num w:numId="6" w16cid:durableId="2064719130">
    <w:abstractNumId w:val="6"/>
  </w:num>
  <w:num w:numId="7" w16cid:durableId="1386248465">
    <w:abstractNumId w:val="5"/>
  </w:num>
  <w:num w:numId="8" w16cid:durableId="2092773773">
    <w:abstractNumId w:val="5"/>
  </w:num>
  <w:num w:numId="9" w16cid:durableId="1000080856">
    <w:abstractNumId w:val="4"/>
  </w:num>
  <w:num w:numId="10" w16cid:durableId="69274049">
    <w:abstractNumId w:val="4"/>
  </w:num>
  <w:num w:numId="11" w16cid:durableId="1895313856">
    <w:abstractNumId w:val="8"/>
  </w:num>
  <w:num w:numId="12" w16cid:durableId="1685938318">
    <w:abstractNumId w:val="8"/>
  </w:num>
  <w:num w:numId="13" w16cid:durableId="1310286854">
    <w:abstractNumId w:val="3"/>
  </w:num>
  <w:num w:numId="14" w16cid:durableId="1897351483">
    <w:abstractNumId w:val="3"/>
  </w:num>
  <w:num w:numId="15" w16cid:durableId="19479845">
    <w:abstractNumId w:val="2"/>
  </w:num>
  <w:num w:numId="16" w16cid:durableId="1216158687">
    <w:abstractNumId w:val="2"/>
  </w:num>
  <w:num w:numId="17" w16cid:durableId="2065595037">
    <w:abstractNumId w:val="1"/>
  </w:num>
  <w:num w:numId="18" w16cid:durableId="1303463542">
    <w:abstractNumId w:val="1"/>
  </w:num>
  <w:num w:numId="19" w16cid:durableId="1523856941">
    <w:abstractNumId w:val="0"/>
  </w:num>
  <w:num w:numId="20" w16cid:durableId="630134375">
    <w:abstractNumId w:val="0"/>
  </w:num>
  <w:num w:numId="21" w16cid:durableId="1840079590">
    <w:abstractNumId w:val="9"/>
  </w:num>
  <w:num w:numId="22" w16cid:durableId="611596375">
    <w:abstractNumId w:val="7"/>
  </w:num>
  <w:num w:numId="23" w16cid:durableId="1325088371">
    <w:abstractNumId w:val="6"/>
  </w:num>
  <w:num w:numId="24" w16cid:durableId="1743141420">
    <w:abstractNumId w:val="5"/>
  </w:num>
  <w:num w:numId="25" w16cid:durableId="173879887">
    <w:abstractNumId w:val="4"/>
  </w:num>
  <w:num w:numId="26" w16cid:durableId="1685204936">
    <w:abstractNumId w:val="8"/>
  </w:num>
  <w:num w:numId="27" w16cid:durableId="1158230559">
    <w:abstractNumId w:val="3"/>
  </w:num>
  <w:num w:numId="28" w16cid:durableId="1637906340">
    <w:abstractNumId w:val="2"/>
  </w:num>
  <w:num w:numId="29" w16cid:durableId="1785149837">
    <w:abstractNumId w:val="1"/>
  </w:num>
  <w:num w:numId="30" w16cid:durableId="868837476">
    <w:abstractNumId w:val="0"/>
  </w:num>
  <w:num w:numId="31" w16cid:durableId="1434084953">
    <w:abstractNumId w:val="9"/>
  </w:num>
  <w:num w:numId="32" w16cid:durableId="248537643">
    <w:abstractNumId w:val="7"/>
  </w:num>
  <w:num w:numId="33" w16cid:durableId="514347195">
    <w:abstractNumId w:val="6"/>
  </w:num>
  <w:num w:numId="34" w16cid:durableId="1875582022">
    <w:abstractNumId w:val="5"/>
  </w:num>
  <w:num w:numId="35" w16cid:durableId="547106274">
    <w:abstractNumId w:val="4"/>
  </w:num>
  <w:num w:numId="36" w16cid:durableId="1652514830">
    <w:abstractNumId w:val="8"/>
  </w:num>
  <w:num w:numId="37" w16cid:durableId="1096176619">
    <w:abstractNumId w:val="3"/>
  </w:num>
  <w:num w:numId="38" w16cid:durableId="2130733416">
    <w:abstractNumId w:val="2"/>
  </w:num>
  <w:num w:numId="39" w16cid:durableId="1253514801">
    <w:abstractNumId w:val="1"/>
  </w:num>
  <w:num w:numId="40" w16cid:durableId="1177112750">
    <w:abstractNumId w:val="0"/>
  </w:num>
  <w:num w:numId="41" w16cid:durableId="6101265">
    <w:abstractNumId w:val="10"/>
  </w:num>
  <w:num w:numId="42" w16cid:durableId="2021080063">
    <w:abstractNumId w:val="10"/>
  </w:num>
  <w:num w:numId="43" w16cid:durableId="911476169">
    <w:abstractNumId w:val="10"/>
  </w:num>
  <w:num w:numId="44" w16cid:durableId="1322540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1/2025"/>
    <w:docVar w:name="dvlangue" w:val="PL"/>
    <w:docVar w:name="dvnumam" w:val="71"/>
    <w:docVar w:name="dvpe" w:val="773.170"/>
    <w:docVar w:name="dvrapporteur" w:val="Sprawozdawca: "/>
    <w:docVar w:name="dvstar" w:val="??"/>
    <w:docVar w:name="dvtitre" w:val="Rezolucja Parlamentu Europejskiego z dnia  2025 r. w sprawie strategii politycznej UE w odniesieniu do Ameryki Łacińskiej(2025/2083(INI))"/>
  </w:docVars>
  <w:rsids>
    <w:rsidRoot w:val="00E233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6E1"/>
    <w:rsid w:val="007D1690"/>
    <w:rsid w:val="007E22AD"/>
    <w:rsid w:val="00817416"/>
    <w:rsid w:val="00842779"/>
    <w:rsid w:val="00860E5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DE6"/>
    <w:rsid w:val="00A43E52"/>
    <w:rsid w:val="00A4678D"/>
    <w:rsid w:val="00A778C7"/>
    <w:rsid w:val="00AB04A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B05"/>
    <w:rsid w:val="00D56C11"/>
    <w:rsid w:val="00D834A0"/>
    <w:rsid w:val="00D872DF"/>
    <w:rsid w:val="00D91E21"/>
    <w:rsid w:val="00DA7FCD"/>
    <w:rsid w:val="00E233E2"/>
    <w:rsid w:val="00E365E1"/>
    <w:rsid w:val="00E505C4"/>
    <w:rsid w:val="00E6085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31B81"/>
  <w15:chartTrackingRefBased/>
  <w15:docId w15:val="{6245214C-9227-4166-8B73-97D897EA0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D6134"/>
    <w:rPr>
      <w:b/>
    </w:rPr>
  </w:style>
  <w:style w:type="paragraph" w:customStyle="1" w:styleId="NormalHanging12a">
    <w:name w:val="NormalHanging12a"/>
    <w:basedOn w:val="Normal"/>
    <w:rsid w:val="00FD6134"/>
    <w:pPr>
      <w:spacing w:after="240"/>
      <w:ind w:left="567" w:hanging="567"/>
    </w:pPr>
  </w:style>
  <w:style w:type="paragraph" w:customStyle="1" w:styleId="EPComma">
    <w:name w:val="EPComma"/>
    <w:basedOn w:val="Normal"/>
    <w:rsid w:val="00FD6134"/>
    <w:pPr>
      <w:spacing w:before="480" w:after="240"/>
    </w:pPr>
  </w:style>
  <w:style w:type="paragraph" w:customStyle="1" w:styleId="NormalCenter12a">
    <w:name w:val="NormalCenter12a"/>
    <w:basedOn w:val="Normal"/>
    <w:rsid w:val="00FD6134"/>
    <w:pPr>
      <w:spacing w:after="240"/>
      <w:jc w:val="center"/>
    </w:pPr>
  </w:style>
  <w:style w:type="character" w:customStyle="1" w:styleId="BoldItalic">
    <w:name w:val="BoldItalic"/>
    <w:uiPriority w:val="1"/>
    <w:rsid w:val="00FD6134"/>
    <w:rPr>
      <w:b/>
      <w:i/>
      <w:u w:val="none"/>
    </w:rPr>
  </w:style>
  <w:style w:type="paragraph" w:customStyle="1" w:styleId="Normal12a24b">
    <w:name w:val="Normal12a24b"/>
    <w:basedOn w:val="Normal"/>
    <w:rsid w:val="00FD6134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FD6134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FD6134"/>
    <w:rPr>
      <w:b/>
      <w:sz w:val="24"/>
      <w:lang w:val="pl-PL"/>
    </w:rPr>
  </w:style>
  <w:style w:type="paragraph" w:styleId="Revision">
    <w:name w:val="Revision"/>
    <w:hidden/>
    <w:uiPriority w:val="99"/>
    <w:semiHidden/>
    <w:rsid w:val="00860E5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001/oj" TargetMode="External"/><Relationship Id="rId2" Type="http://schemas.openxmlformats.org/officeDocument/2006/relationships/hyperlink" Target="http://data.europa.eu/eli/C/2025/2148/oj" TargetMode="External"/><Relationship Id="rId1" Type="http://schemas.openxmlformats.org/officeDocument/2006/relationships/hyperlink" Target="http://data.europa.eu/eli/reg/2021/947/oj" TargetMode="External"/><Relationship Id="rId4" Type="http://schemas.openxmlformats.org/officeDocument/2006/relationships/hyperlink" Target="http://data.europa.eu/eli/C/2025/224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10839</Words>
  <Characters>72954</Characters>
  <Application>Microsoft Office Word</Application>
  <DocSecurity>0</DocSecurity>
  <Lines>607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2025-10-08T14:14:00Z</dcterms:created>
  <dcterms:modified xsi:type="dcterms:W3CDTF">2025-10-08T14:14:00Z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A10-0171/2025</vt:lpwstr>
  </property>
  <property fmtid="{D5CDD505-2E9C-101B-9397-08002B2CF9AE}" pid="4" name="&lt;Type&gt;">
    <vt:lpwstr>RR</vt:lpwstr>
  </property>
</Properties>
</file>