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7E6" w14:paraId="5295C6C7" w14:textId="77777777" w:rsidTr="0010095E">
        <w:trPr>
          <w:trHeight w:hRule="exact" w:val="1418"/>
        </w:trPr>
        <w:tc>
          <w:tcPr>
            <w:tcW w:w="6804" w:type="dxa"/>
            <w:shd w:val="clear" w:color="auto" w:fill="auto"/>
            <w:vAlign w:val="center"/>
          </w:tcPr>
          <w:p w14:paraId="629D3824" w14:textId="0FE39B9A" w:rsidR="00751A4A" w:rsidRPr="008A67E6" w:rsidRDefault="00EE43F2" w:rsidP="0010095E">
            <w:pPr>
              <w:pStyle w:val="EPName"/>
            </w:pPr>
            <w:r w:rsidRPr="008A67E6">
              <w:t>Европейски</w:t>
            </w:r>
            <w:r w:rsidR="00AF7F1A" w:rsidRPr="008A67E6">
              <w:t xml:space="preserve"> парламент</w:t>
            </w:r>
          </w:p>
          <w:p w14:paraId="447FBA49" w14:textId="7FD0E14F" w:rsidR="00751A4A" w:rsidRPr="008A67E6" w:rsidRDefault="005F1B17" w:rsidP="005F1B17">
            <w:pPr>
              <w:pStyle w:val="EPTerm"/>
              <w:rPr>
                <w:rStyle w:val="HideTWBExt"/>
                <w:noProof w:val="0"/>
                <w:vanish w:val="0"/>
                <w:color w:val="auto"/>
              </w:rPr>
            </w:pPr>
            <w:r w:rsidRPr="008A67E6">
              <w:t>2024</w:t>
            </w:r>
            <w:r w:rsidR="00EE43F2">
              <w:t> – </w:t>
            </w:r>
            <w:r w:rsidR="00817416" w:rsidRPr="008A67E6">
              <w:t>202</w:t>
            </w:r>
            <w:r w:rsidRPr="008A67E6">
              <w:t>9</w:t>
            </w:r>
          </w:p>
        </w:tc>
        <w:tc>
          <w:tcPr>
            <w:tcW w:w="2268" w:type="dxa"/>
            <w:shd w:val="clear" w:color="auto" w:fill="auto"/>
          </w:tcPr>
          <w:p w14:paraId="731A4A00" w14:textId="77777777" w:rsidR="00751A4A" w:rsidRPr="008A67E6" w:rsidRDefault="00187494" w:rsidP="0010095E">
            <w:pPr>
              <w:pStyle w:val="EPLogo"/>
            </w:pPr>
            <w:r w:rsidRPr="008A67E6">
              <w:rPr>
                <w:noProof/>
                <w:lang w:eastAsia="ja-JP"/>
              </w:rPr>
              <w:drawing>
                <wp:inline distT="0" distB="0" distL="0" distR="0" wp14:anchorId="69F5B080" wp14:editId="118114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F7A5F8" w14:textId="77777777" w:rsidR="00D058B8" w:rsidRPr="008A67E6" w:rsidRDefault="00D058B8" w:rsidP="004C5D52">
      <w:pPr>
        <w:pStyle w:val="LineTop"/>
      </w:pPr>
    </w:p>
    <w:p w14:paraId="75A70796" w14:textId="4C7E2648" w:rsidR="00680577" w:rsidRPr="008A67E6" w:rsidRDefault="00AF7F1A" w:rsidP="00680577">
      <w:pPr>
        <w:pStyle w:val="EPBodyTA1"/>
      </w:pPr>
      <w:r w:rsidRPr="008A67E6">
        <w:t>ПРИЕТИ ТЕКСТОВЕ</w:t>
      </w:r>
    </w:p>
    <w:p w14:paraId="23DB064C" w14:textId="77777777" w:rsidR="00D058B8" w:rsidRPr="008A67E6" w:rsidRDefault="00D058B8" w:rsidP="00D058B8">
      <w:pPr>
        <w:pStyle w:val="LineBottom"/>
      </w:pPr>
    </w:p>
    <w:p w14:paraId="7B99CFF6" w14:textId="4B543381" w:rsidR="00AF7F1A" w:rsidRPr="008A67E6" w:rsidRDefault="00AF7F1A" w:rsidP="00AF7F1A">
      <w:pPr>
        <w:pStyle w:val="ATHeading1"/>
      </w:pPr>
      <w:bookmarkStart w:id="0" w:name="TANumber"/>
      <w:r w:rsidRPr="008A67E6">
        <w:t>P10_TA(2025)0</w:t>
      </w:r>
      <w:r w:rsidR="005353D4">
        <w:t>222</w:t>
      </w:r>
      <w:bookmarkEnd w:id="0"/>
    </w:p>
    <w:p w14:paraId="74ECB70F" w14:textId="4DD2891C" w:rsidR="00AF7F1A" w:rsidRPr="008A67E6" w:rsidRDefault="00EE43F2" w:rsidP="00AF7F1A">
      <w:pPr>
        <w:pStyle w:val="ATHeading2"/>
      </w:pPr>
      <w:bookmarkStart w:id="1" w:name="title"/>
      <w:r>
        <w:t>Г</w:t>
      </w:r>
      <w:r w:rsidR="00AF7F1A" w:rsidRPr="008A67E6">
        <w:t>енетично модифицирана царевица DP51291</w:t>
      </w:r>
      <w:bookmarkEnd w:id="1"/>
    </w:p>
    <w:p w14:paraId="12BCBCDE" w14:textId="77777777" w:rsidR="00AF7F1A" w:rsidRPr="008A67E6" w:rsidRDefault="00AF7F1A" w:rsidP="00AF7F1A">
      <w:pPr>
        <w:rPr>
          <w:i/>
          <w:vanish/>
        </w:rPr>
      </w:pPr>
      <w:r w:rsidRPr="008A67E6">
        <w:rPr>
          <w:i/>
        </w:rPr>
        <w:fldChar w:fldCharType="begin"/>
      </w:r>
      <w:r w:rsidRPr="008A67E6">
        <w:rPr>
          <w:i/>
        </w:rPr>
        <w:instrText xml:space="preserve"> TC"(</w:instrText>
      </w:r>
      <w:bookmarkStart w:id="2" w:name="DocNumber"/>
      <w:r w:rsidRPr="008A67E6">
        <w:rPr>
          <w:i/>
        </w:rPr>
        <w:instrText>B10-0407/2025</w:instrText>
      </w:r>
      <w:bookmarkEnd w:id="2"/>
      <w:r w:rsidRPr="008A67E6">
        <w:rPr>
          <w:i/>
        </w:rPr>
        <w:instrText xml:space="preserve">)"\l3 \n&gt; \* MERGEFORMAT </w:instrText>
      </w:r>
      <w:r w:rsidRPr="008A67E6">
        <w:rPr>
          <w:i/>
        </w:rPr>
        <w:fldChar w:fldCharType="end"/>
      </w:r>
    </w:p>
    <w:p w14:paraId="66AA3B8D" w14:textId="77777777" w:rsidR="00AF7F1A" w:rsidRPr="008A67E6" w:rsidRDefault="00AF7F1A" w:rsidP="00AF7F1A">
      <w:pPr>
        <w:rPr>
          <w:vanish/>
        </w:rPr>
      </w:pPr>
      <w:bookmarkStart w:id="3" w:name="PE"/>
      <w:r w:rsidRPr="008A67E6">
        <w:rPr>
          <w:vanish/>
        </w:rPr>
        <w:t>PE775.588</w:t>
      </w:r>
      <w:bookmarkEnd w:id="3"/>
    </w:p>
    <w:p w14:paraId="7FCD001C" w14:textId="29276FCD" w:rsidR="00AF7F1A" w:rsidRPr="008A67E6" w:rsidRDefault="00AF7F1A" w:rsidP="00EE43F2">
      <w:pPr>
        <w:pStyle w:val="ATHeading3"/>
      </w:pPr>
      <w:bookmarkStart w:id="4" w:name="Sujet"/>
      <w:r w:rsidRPr="008A67E6">
        <w:t xml:space="preserve">Резолюция на Европейския парламент от </w:t>
      </w:r>
      <w:r w:rsidR="00EE43F2">
        <w:t>8 октомври</w:t>
      </w:r>
      <w:r w:rsidR="00EE43F2" w:rsidRPr="008A67E6">
        <w:t xml:space="preserve"> </w:t>
      </w:r>
      <w:r w:rsidRPr="008A67E6">
        <w:t xml:space="preserve">2025 г. относно </w:t>
      </w:r>
      <w:r w:rsidR="00EE43F2">
        <w:t>Р</w:t>
      </w:r>
      <w:r w:rsidRPr="008A67E6">
        <w:t xml:space="preserve">ешение за изпълнение </w:t>
      </w:r>
      <w:r w:rsidR="00EE43F2">
        <w:t xml:space="preserve">(ЕС) 2025/1898 </w:t>
      </w:r>
      <w:r w:rsidRPr="008A67E6">
        <w:t xml:space="preserve">на Комисията </w:t>
      </w:r>
      <w:r w:rsidR="00EE43F2" w:rsidRPr="00EE43F2">
        <w:t>от 22 септември 2025</w:t>
      </w:r>
      <w:r w:rsidR="00EE43F2">
        <w:t> </w:t>
      </w:r>
      <w:r w:rsidR="00EE43F2" w:rsidRPr="00EE43F2">
        <w:t>г</w:t>
      </w:r>
      <w:r w:rsidR="00EE43F2">
        <w:t xml:space="preserve"> </w:t>
      </w:r>
      <w:r w:rsidRPr="008A67E6">
        <w:t>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w:t>
      </w:r>
      <w:bookmarkEnd w:id="4"/>
      <w:r w:rsidRPr="008A67E6">
        <w:t xml:space="preserve"> </w:t>
      </w:r>
      <w:bookmarkStart w:id="5" w:name="References"/>
      <w:r w:rsidRPr="008A67E6">
        <w:t>(2025/2807(RSP))</w:t>
      </w:r>
      <w:bookmarkEnd w:id="5"/>
    </w:p>
    <w:p w14:paraId="7B2CED42" w14:textId="77777777" w:rsidR="008E367A" w:rsidRPr="008A67E6" w:rsidRDefault="008E367A" w:rsidP="008E367A">
      <w:pPr>
        <w:pStyle w:val="EPComma"/>
        <w:widowControl/>
        <w:jc w:val="both"/>
      </w:pPr>
      <w:bookmarkStart w:id="6" w:name="TextBodyBegin"/>
      <w:bookmarkEnd w:id="6"/>
      <w:r w:rsidRPr="008A67E6">
        <w:rPr>
          <w:i/>
        </w:rPr>
        <w:t>Европейският парламент</w:t>
      </w:r>
      <w:r w:rsidRPr="008A67E6">
        <w:t>,</w:t>
      </w:r>
    </w:p>
    <w:p w14:paraId="0596FBC2" w14:textId="72021A4C" w:rsidR="008E367A" w:rsidRPr="008A67E6" w:rsidRDefault="008E367A" w:rsidP="008E367A">
      <w:pPr>
        <w:pStyle w:val="NormalHanging12a"/>
        <w:widowControl/>
        <w:rPr>
          <w:szCs w:val="24"/>
        </w:rPr>
      </w:pPr>
      <w:r w:rsidRPr="008A67E6">
        <w:t>–</w:t>
      </w:r>
      <w:r w:rsidRPr="008A67E6">
        <w:tab/>
        <w:t xml:space="preserve">като взе предвид </w:t>
      </w:r>
      <w:r w:rsidR="00EE43F2">
        <w:t>Р</w:t>
      </w:r>
      <w:r w:rsidRPr="008A67E6">
        <w:t xml:space="preserve">ешение за изпълнение </w:t>
      </w:r>
      <w:r w:rsidR="003B1A36" w:rsidRPr="003B1A36">
        <w:t xml:space="preserve">(ЕС) 2025/1898 </w:t>
      </w:r>
      <w:r w:rsidRPr="008A67E6">
        <w:t xml:space="preserve">на Комисията </w:t>
      </w:r>
      <w:r w:rsidR="00EE43F2" w:rsidRPr="00EE43F2">
        <w:t>от 22 септември 2025</w:t>
      </w:r>
      <w:r w:rsidR="00EE43F2">
        <w:t> </w:t>
      </w:r>
      <w:r w:rsidR="00EE43F2" w:rsidRPr="00EE43F2">
        <w:t>г</w:t>
      </w:r>
      <w:r w:rsidR="00EE43F2">
        <w:t xml:space="preserve">. </w:t>
      </w:r>
      <w:r w:rsidRPr="008A67E6">
        <w:t>за разрешаване на пускането на пазара на продукти, съдържащи, състоящи се или произведени от генетично модифицирана царевица DP51291, съгласно Регламент (ЕО) № 1829/2003 на Европейския парламент и на Съвета</w:t>
      </w:r>
      <w:r w:rsidR="00EE43F2">
        <w:rPr>
          <w:rStyle w:val="FootnoteReference"/>
        </w:rPr>
        <w:footnoteReference w:id="1"/>
      </w:r>
      <w:r w:rsidRPr="008A67E6">
        <w:t>,</w:t>
      </w:r>
    </w:p>
    <w:p w14:paraId="0C4501D8" w14:textId="77777777" w:rsidR="008E367A" w:rsidRPr="008A67E6" w:rsidRDefault="008E367A" w:rsidP="008E367A">
      <w:pPr>
        <w:pStyle w:val="NormalHanging12a"/>
        <w:widowControl/>
        <w:rPr>
          <w:szCs w:val="24"/>
        </w:rPr>
      </w:pPr>
      <w:r w:rsidRPr="008A67E6">
        <w:t>–</w:t>
      </w:r>
      <w:r w:rsidRPr="008A67E6">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8A67E6">
        <w:rPr>
          <w:rStyle w:val="FootnoteReference"/>
          <w:szCs w:val="24"/>
        </w:rPr>
        <w:footnoteReference w:id="2"/>
      </w:r>
      <w:r w:rsidRPr="008A67E6">
        <w:t>, и по-специално член 7, параграф 3 и член 19, параграф 3 от него,</w:t>
      </w:r>
    </w:p>
    <w:p w14:paraId="4E647011" w14:textId="77777777" w:rsidR="008E367A" w:rsidRPr="008A67E6" w:rsidRDefault="008E367A" w:rsidP="008E367A">
      <w:pPr>
        <w:pStyle w:val="NormalHanging12a"/>
        <w:widowControl/>
        <w:rPr>
          <w:szCs w:val="24"/>
        </w:rPr>
      </w:pPr>
      <w:r w:rsidRPr="008A67E6">
        <w:t>–</w:t>
      </w:r>
      <w:r w:rsidRPr="008A67E6">
        <w:tab/>
        <w:t xml:space="preserve">като взе предвид </w:t>
      </w:r>
      <w:r w:rsidRPr="008A67E6">
        <w:rPr>
          <w:shd w:val="clear" w:color="auto" w:fill="FFFFFF"/>
        </w:rPr>
        <w:t>гласуването на 13 юни 2025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15 юли 2025 г., при което също не беше изразено</w:t>
      </w:r>
      <w:r w:rsidRPr="008A67E6">
        <w:t xml:space="preserve"> становище,</w:t>
      </w:r>
    </w:p>
    <w:p w14:paraId="7E2C29A4" w14:textId="77777777" w:rsidR="008E367A" w:rsidRPr="008A67E6" w:rsidRDefault="008E367A" w:rsidP="008E367A">
      <w:pPr>
        <w:pStyle w:val="NormalHanging12a"/>
        <w:widowControl/>
        <w:rPr>
          <w:szCs w:val="24"/>
        </w:rPr>
      </w:pPr>
      <w:r w:rsidRPr="008A67E6">
        <w:t>–</w:t>
      </w:r>
      <w:r w:rsidRPr="008A67E6">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8A67E6">
        <w:rPr>
          <w:rStyle w:val="FootnoteReference"/>
          <w:szCs w:val="24"/>
        </w:rPr>
        <w:footnoteReference w:id="3"/>
      </w:r>
      <w:r w:rsidRPr="008A67E6">
        <w:t>,</w:t>
      </w:r>
    </w:p>
    <w:p w14:paraId="7F46873D" w14:textId="77777777" w:rsidR="008E367A" w:rsidRPr="008A67E6" w:rsidRDefault="008E367A" w:rsidP="008E367A">
      <w:pPr>
        <w:pStyle w:val="NormalHanging12a"/>
        <w:widowControl/>
        <w:rPr>
          <w:szCs w:val="24"/>
        </w:rPr>
      </w:pPr>
      <w:r w:rsidRPr="008A67E6">
        <w:lastRenderedPageBreak/>
        <w:t>–</w:t>
      </w:r>
      <w:r w:rsidRPr="008A67E6">
        <w:tab/>
        <w:t>като взе предвид становището на Европейския орган за безопасност на храните (ЕОБХ), прието на 02 октомври 2024 г. и публикувано на 11 ноември 2024 г.</w:t>
      </w:r>
      <w:r w:rsidRPr="008A67E6">
        <w:rPr>
          <w:rStyle w:val="FootnoteReference"/>
          <w:szCs w:val="24"/>
        </w:rPr>
        <w:footnoteReference w:id="4"/>
      </w:r>
      <w:r w:rsidRPr="008A67E6">
        <w:t>,</w:t>
      </w:r>
    </w:p>
    <w:p w14:paraId="4FBF295E" w14:textId="77777777" w:rsidR="008E367A" w:rsidRPr="008A67E6" w:rsidRDefault="008E367A" w:rsidP="008E367A">
      <w:pPr>
        <w:pStyle w:val="NormalHanging12a"/>
        <w:widowControl/>
        <w:rPr>
          <w:szCs w:val="24"/>
          <w:shd w:val="clear" w:color="auto" w:fill="FFFFFF"/>
        </w:rPr>
      </w:pPr>
      <w:r w:rsidRPr="008A67E6">
        <w:t>–</w:t>
      </w:r>
      <w:r w:rsidRPr="008A67E6">
        <w:tab/>
      </w:r>
      <w:r w:rsidRPr="008A67E6">
        <w:rPr>
          <w:shd w:val="clear" w:color="auto" w:fill="FFFFFF"/>
        </w:rPr>
        <w:t>като взе предвид предишните си резолюции, в които възразява срещу разрешаването на генетично модифицирани организми („ГМО“)</w:t>
      </w:r>
      <w:r w:rsidRPr="008A67E6">
        <w:rPr>
          <w:rStyle w:val="FootnoteReference"/>
          <w:szCs w:val="24"/>
          <w:shd w:val="clear" w:color="auto" w:fill="FFFFFF"/>
        </w:rPr>
        <w:footnoteReference w:id="5"/>
      </w:r>
      <w:r w:rsidRPr="008A67E6">
        <w:rPr>
          <w:shd w:val="clear" w:color="auto" w:fill="FFFFFF"/>
        </w:rPr>
        <w:t>,</w:t>
      </w:r>
    </w:p>
    <w:p w14:paraId="73A2DEE0" w14:textId="77777777" w:rsidR="008E367A" w:rsidRPr="008A67E6" w:rsidRDefault="008E367A" w:rsidP="008E367A">
      <w:pPr>
        <w:pStyle w:val="NormalHanging12a"/>
        <w:widowControl/>
        <w:rPr>
          <w:szCs w:val="24"/>
        </w:rPr>
      </w:pPr>
      <w:r w:rsidRPr="008A67E6">
        <w:lastRenderedPageBreak/>
        <w:t>–</w:t>
      </w:r>
      <w:r w:rsidRPr="008A67E6">
        <w:tab/>
        <w:t>като взе предвид член 115, параграфи 2 и 3 от своя Правилник за дейността,</w:t>
      </w:r>
    </w:p>
    <w:p w14:paraId="4A4D2E83" w14:textId="77777777" w:rsidR="008E367A" w:rsidRPr="008A67E6" w:rsidRDefault="008E367A" w:rsidP="008E367A">
      <w:pPr>
        <w:pStyle w:val="NormalHanging12a"/>
        <w:widowControl/>
        <w:rPr>
          <w:szCs w:val="24"/>
        </w:rPr>
      </w:pPr>
      <w:r w:rsidRPr="008A67E6">
        <w:t>–</w:t>
      </w:r>
      <w:r w:rsidRPr="008A67E6">
        <w:tab/>
        <w:t>като взе предвид предложението за резолюция на комисията по околна среда, климат и безопасност на храните,</w:t>
      </w:r>
    </w:p>
    <w:p w14:paraId="0DFE2A3D" w14:textId="77777777" w:rsidR="008E367A" w:rsidRPr="008A67E6" w:rsidRDefault="008E367A" w:rsidP="008E367A">
      <w:pPr>
        <w:pStyle w:val="NormalHanging12a"/>
        <w:widowControl/>
        <w:rPr>
          <w:szCs w:val="24"/>
        </w:rPr>
      </w:pPr>
      <w:r w:rsidRPr="008A67E6">
        <w:t>А.</w:t>
      </w:r>
      <w:r w:rsidRPr="008A67E6">
        <w:tab/>
        <w:t xml:space="preserve">А. като има предвид, че на 27 януари 2023 г. </w:t>
      </w:r>
      <w:proofErr w:type="spellStart"/>
      <w:r w:rsidRPr="008A67E6">
        <w:t>Corteva</w:t>
      </w:r>
      <w:proofErr w:type="spellEnd"/>
      <w:r w:rsidRPr="008A67E6">
        <w:t xml:space="preserve"> </w:t>
      </w:r>
      <w:proofErr w:type="spellStart"/>
      <w:r w:rsidRPr="008A67E6">
        <w:t>Agriscience</w:t>
      </w:r>
      <w:proofErr w:type="spellEnd"/>
      <w:r w:rsidRPr="008A67E6">
        <w:t xml:space="preserve"> </w:t>
      </w:r>
      <w:proofErr w:type="spellStart"/>
      <w:r w:rsidRPr="008A67E6">
        <w:t>Belgium</w:t>
      </w:r>
      <w:proofErr w:type="spellEnd"/>
      <w:r w:rsidRPr="008A67E6">
        <w:t xml:space="preserve"> B.V., със седалище в Белгия, от името на </w:t>
      </w:r>
      <w:proofErr w:type="spellStart"/>
      <w:r w:rsidRPr="008A67E6">
        <w:t>Corteva</w:t>
      </w:r>
      <w:proofErr w:type="spellEnd"/>
      <w:r w:rsidRPr="008A67E6">
        <w:t xml:space="preserve"> </w:t>
      </w:r>
      <w:proofErr w:type="spellStart"/>
      <w:r w:rsidRPr="008A67E6">
        <w:t>Agriscience</w:t>
      </w:r>
      <w:proofErr w:type="spellEnd"/>
      <w:r w:rsidRPr="008A67E6">
        <w:t xml:space="preserve"> LLC, със седалище в Съединените щати, подаде до националния компетентен орган на Нидерландия заявление за пускане на пазара на храни, хранителни съставки и фуражи, съдържащи, състоящи се или произведени от генетично модифицирана царевица DP51291 („генетично модифицираната царевица“);</w:t>
      </w:r>
    </w:p>
    <w:p w14:paraId="6AA7270C" w14:textId="77777777" w:rsidR="008E367A" w:rsidRPr="008A67E6" w:rsidRDefault="008E367A" w:rsidP="008E367A">
      <w:pPr>
        <w:pStyle w:val="NormalHanging12a"/>
        <w:widowControl/>
        <w:rPr>
          <w:szCs w:val="24"/>
        </w:rPr>
      </w:pPr>
      <w:r w:rsidRPr="008A67E6">
        <w:t>Б.</w:t>
      </w:r>
      <w:r w:rsidRPr="008A67E6">
        <w:tab/>
        <w:t xml:space="preserve">като има предвид, че генетично модифицираната царевица произвежда токсина IPD072Aa, който действа срещу царевичния коренов червей, протеина </w:t>
      </w:r>
      <w:proofErr w:type="spellStart"/>
      <w:r w:rsidRPr="008A67E6">
        <w:t>фосфинотрицин</w:t>
      </w:r>
      <w:proofErr w:type="spellEnd"/>
      <w:r w:rsidRPr="008A67E6">
        <w:t xml:space="preserve"> </w:t>
      </w:r>
      <w:proofErr w:type="spellStart"/>
      <w:r w:rsidRPr="008A67E6">
        <w:t>ацетилтрансфераза</w:t>
      </w:r>
      <w:proofErr w:type="spellEnd"/>
      <w:r w:rsidRPr="008A67E6">
        <w:t xml:space="preserve"> (PAT) за поносимост към съдържащи </w:t>
      </w:r>
      <w:proofErr w:type="spellStart"/>
      <w:r w:rsidRPr="008A67E6">
        <w:t>глуфосинат</w:t>
      </w:r>
      <w:proofErr w:type="spellEnd"/>
      <w:r w:rsidRPr="008A67E6">
        <w:t xml:space="preserve"> хербициди, както и PMI протеин като селективен маркер;</w:t>
      </w:r>
    </w:p>
    <w:p w14:paraId="2991DCBD" w14:textId="77777777" w:rsidR="008E367A" w:rsidRPr="008A67E6" w:rsidRDefault="008E367A" w:rsidP="008E367A">
      <w:pPr>
        <w:pStyle w:val="NormalHanging12a"/>
        <w:widowControl/>
        <w:rPr>
          <w:szCs w:val="24"/>
        </w:rPr>
      </w:pPr>
      <w:r w:rsidRPr="008A67E6">
        <w:t>В.</w:t>
      </w:r>
      <w:r w:rsidRPr="008A67E6">
        <w:tab/>
        <w:t xml:space="preserve">като има предвид, че </w:t>
      </w:r>
      <w:proofErr w:type="spellStart"/>
      <w:r w:rsidRPr="008A67E6">
        <w:t>глуфосинат</w:t>
      </w:r>
      <w:proofErr w:type="spellEnd"/>
      <w:r w:rsidRPr="008A67E6">
        <w:t xml:space="preserve">, който се счита за добавъчен хербицид, е класифициран като токсично за репродукцията вещество в категория 1B и следователно отговаря на „критериите за изключване“, определени в Регламент </w:t>
      </w:r>
      <w:r w:rsidRPr="008A67E6">
        <w:lastRenderedPageBreak/>
        <w:t>(ЕО) № 1107/2009 на Европейския парламент и на Съвета</w:t>
      </w:r>
      <w:r w:rsidRPr="008A67E6">
        <w:rPr>
          <w:rStyle w:val="FootnoteReference"/>
          <w:szCs w:val="24"/>
        </w:rPr>
        <w:footnoteReference w:id="6"/>
      </w:r>
      <w:r w:rsidRPr="008A67E6">
        <w:t xml:space="preserve">; като има предвид, че одобрението за използване на </w:t>
      </w:r>
      <w:proofErr w:type="spellStart"/>
      <w:r w:rsidRPr="008A67E6">
        <w:t>глуфосинат</w:t>
      </w:r>
      <w:proofErr w:type="spellEnd"/>
      <w:r w:rsidRPr="008A67E6">
        <w:t xml:space="preserve"> в Съюза изтече на 31 юли 2018 г.;</w:t>
      </w:r>
    </w:p>
    <w:p w14:paraId="5BCE0F48" w14:textId="77777777" w:rsidR="008E367A" w:rsidRPr="008A67E6" w:rsidRDefault="008E367A" w:rsidP="008E367A">
      <w:pPr>
        <w:pStyle w:val="NormalHanging12a"/>
        <w:widowControl/>
        <w:rPr>
          <w:szCs w:val="24"/>
        </w:rPr>
      </w:pPr>
      <w:r w:rsidRPr="008A67E6">
        <w:t>Г.</w:t>
      </w:r>
      <w:r w:rsidRPr="008A67E6">
        <w:tab/>
        <w:t xml:space="preserve">като има предвид, че IPD072Aa е </w:t>
      </w:r>
      <w:proofErr w:type="spellStart"/>
      <w:r w:rsidRPr="008A67E6">
        <w:t>инсектициден</w:t>
      </w:r>
      <w:proofErr w:type="spellEnd"/>
      <w:r w:rsidRPr="008A67E6">
        <w:t xml:space="preserve"> токсин, произведен от бактерията </w:t>
      </w:r>
      <w:proofErr w:type="spellStart"/>
      <w:r w:rsidRPr="008A67E6">
        <w:t>Pseudomonas</w:t>
      </w:r>
      <w:proofErr w:type="spellEnd"/>
      <w:r w:rsidRPr="008A67E6">
        <w:t xml:space="preserve"> </w:t>
      </w:r>
      <w:proofErr w:type="spellStart"/>
      <w:r w:rsidRPr="008A67E6">
        <w:t>chlororaphis</w:t>
      </w:r>
      <w:proofErr w:type="spellEnd"/>
      <w:r w:rsidRPr="008A67E6">
        <w:t xml:space="preserve">, създаден да действа срещу царевичния коренов червей; </w:t>
      </w:r>
    </w:p>
    <w:p w14:paraId="0B2D2815" w14:textId="77777777" w:rsidR="008E367A" w:rsidRPr="008A67E6" w:rsidRDefault="008E367A" w:rsidP="008E367A">
      <w:pPr>
        <w:pStyle w:val="NormalHanging12a"/>
        <w:widowControl/>
        <w:rPr>
          <w:b/>
          <w:i/>
          <w:iCs/>
          <w:szCs w:val="24"/>
        </w:rPr>
      </w:pPr>
      <w:r w:rsidRPr="008A67E6">
        <w:rPr>
          <w:b/>
          <w:i/>
        </w:rPr>
        <w:t>Комплексно генно инженерство</w:t>
      </w:r>
    </w:p>
    <w:p w14:paraId="5E6768D2" w14:textId="77777777" w:rsidR="008E367A" w:rsidRPr="008A67E6" w:rsidRDefault="008E367A" w:rsidP="008E367A">
      <w:pPr>
        <w:pStyle w:val="NormalHanging12a"/>
        <w:widowControl/>
        <w:rPr>
          <w:szCs w:val="24"/>
        </w:rPr>
      </w:pPr>
      <w:r w:rsidRPr="008A67E6">
        <w:t>Д.</w:t>
      </w:r>
      <w:r w:rsidRPr="008A67E6">
        <w:tab/>
        <w:t xml:space="preserve">като има предвид, че царевицата DP51291 беше разработена чрез сложен многоетапен процес на генно инженерство, включващ създаването на геномна „подложка за приземяване“, последвана от </w:t>
      </w:r>
      <w:proofErr w:type="spellStart"/>
      <w:r w:rsidRPr="008A67E6">
        <w:t>микропроектилно</w:t>
      </w:r>
      <w:proofErr w:type="spellEnd"/>
      <w:r w:rsidRPr="008A67E6">
        <w:t xml:space="preserve"> съвместно бомбардиране с използване на пет </w:t>
      </w:r>
      <w:proofErr w:type="spellStart"/>
      <w:r w:rsidRPr="008A67E6">
        <w:t>плазмида</w:t>
      </w:r>
      <w:proofErr w:type="spellEnd"/>
      <w:r w:rsidRPr="008A67E6">
        <w:t xml:space="preserve">, и последващо поставяне на </w:t>
      </w:r>
      <w:proofErr w:type="spellStart"/>
      <w:r w:rsidRPr="008A67E6">
        <w:t>експресиращи</w:t>
      </w:r>
      <w:proofErr w:type="spellEnd"/>
      <w:r w:rsidRPr="008A67E6">
        <w:t xml:space="preserve"> касети в подложката за приземяване с посредничеството на </w:t>
      </w:r>
      <w:proofErr w:type="spellStart"/>
      <w:r w:rsidRPr="008A67E6">
        <w:t>agrobacterium</w:t>
      </w:r>
      <w:proofErr w:type="spellEnd"/>
      <w:r w:rsidRPr="008A67E6">
        <w:t xml:space="preserve"> </w:t>
      </w:r>
      <w:proofErr w:type="spellStart"/>
      <w:r w:rsidRPr="008A67E6">
        <w:t>tumefaciens</w:t>
      </w:r>
      <w:proofErr w:type="spellEnd"/>
      <w:r w:rsidRPr="008A67E6">
        <w:t>;</w:t>
      </w:r>
    </w:p>
    <w:p w14:paraId="402D2D29" w14:textId="77777777" w:rsidR="008E367A" w:rsidRPr="008A67E6" w:rsidRDefault="008E367A" w:rsidP="008E367A">
      <w:pPr>
        <w:pStyle w:val="NormalHanging12a"/>
        <w:widowControl/>
        <w:rPr>
          <w:szCs w:val="24"/>
        </w:rPr>
      </w:pPr>
      <w:r w:rsidRPr="008A67E6">
        <w:t>Е.</w:t>
      </w:r>
      <w:r w:rsidRPr="008A67E6">
        <w:tab/>
        <w:t xml:space="preserve">като има предвид, че този процес на генетична модификация доведе до заличаването на 113 базови двойки геномна ДНК на царевицата, както стана ясно от </w:t>
      </w:r>
      <w:proofErr w:type="spellStart"/>
      <w:r w:rsidRPr="008A67E6">
        <w:t>биоинформатичния</w:t>
      </w:r>
      <w:proofErr w:type="spellEnd"/>
      <w:r w:rsidRPr="008A67E6">
        <w:t xml:space="preserve"> анализ, и доведе до образуването на няколко нови отворени рамки на четене (ORF), което показва потенциални геномни смущения, произтичащи от процедурата на трансформация; като има предвид, че пет от тези ORF са показали повече от 35% идентичност на последователността на известните алергени, като по този начин надвишават прага, който обикновено се използва при оценките на </w:t>
      </w:r>
      <w:proofErr w:type="spellStart"/>
      <w:r w:rsidRPr="008A67E6">
        <w:t>алергенността</w:t>
      </w:r>
      <w:proofErr w:type="spellEnd"/>
      <w:r w:rsidRPr="008A67E6">
        <w:rPr>
          <w:rStyle w:val="FootnoteReference"/>
          <w:szCs w:val="24"/>
        </w:rPr>
        <w:footnoteReference w:id="7"/>
      </w:r>
      <w:r w:rsidRPr="008A67E6">
        <w:t xml:space="preserve">; </w:t>
      </w:r>
    </w:p>
    <w:p w14:paraId="202A54D0" w14:textId="77777777" w:rsidR="008E367A" w:rsidRPr="008A67E6" w:rsidRDefault="008E367A" w:rsidP="008E367A">
      <w:pPr>
        <w:pStyle w:val="NormalHanging12a"/>
        <w:widowControl/>
        <w:rPr>
          <w:b/>
          <w:i/>
          <w:iCs/>
          <w:szCs w:val="24"/>
        </w:rPr>
      </w:pPr>
      <w:r w:rsidRPr="008A67E6">
        <w:rPr>
          <w:b/>
          <w:i/>
        </w:rPr>
        <w:t>Липса на данни за селскостопанските практики и факторите на околната среда</w:t>
      </w:r>
    </w:p>
    <w:p w14:paraId="13047E04" w14:textId="77777777" w:rsidR="008E367A" w:rsidRPr="008A67E6" w:rsidRDefault="008E367A" w:rsidP="008E367A">
      <w:pPr>
        <w:pStyle w:val="NormalHanging12a"/>
        <w:widowControl/>
        <w:rPr>
          <w:szCs w:val="24"/>
        </w:rPr>
      </w:pPr>
      <w:r w:rsidRPr="008A67E6">
        <w:t>Ж.</w:t>
      </w:r>
      <w:r w:rsidRPr="008A67E6">
        <w:tab/>
        <w:t>като има предвид, че в Регламент за изпълнение (ЕС) № 503/2013</w:t>
      </w:r>
      <w:r w:rsidRPr="008A67E6">
        <w:rPr>
          <w:rStyle w:val="FootnoteReference"/>
          <w:szCs w:val="24"/>
        </w:rPr>
        <w:footnoteReference w:id="8"/>
      </w:r>
      <w:r w:rsidRPr="008A67E6">
        <w:t xml:space="preserve"> на Комисията се изисква оценка на това дали очакваните селскостопански практики влияят на експресията на изследваните крайни точки; като има предвид, че съгласно посочения регламент за изпълнение това е от особено значение за растенията, устойчиви на хербициди;</w:t>
      </w:r>
    </w:p>
    <w:p w14:paraId="2E6319C0" w14:textId="77777777" w:rsidR="008E367A" w:rsidRPr="008A67E6" w:rsidRDefault="008E367A" w:rsidP="008E367A">
      <w:pPr>
        <w:pStyle w:val="NormalHanging12a"/>
        <w:widowControl/>
        <w:rPr>
          <w:szCs w:val="24"/>
        </w:rPr>
      </w:pPr>
      <w:r w:rsidRPr="008A67E6">
        <w:lastRenderedPageBreak/>
        <w:t>З.</w:t>
      </w:r>
      <w:r w:rsidRPr="008A67E6">
        <w:tab/>
        <w:t xml:space="preserve">като има предвид, че стресовите фактори на околната среда, като суша или екстремни температури, могат да предизвикат неочаквани модели на генна експресия в </w:t>
      </w:r>
      <w:proofErr w:type="spellStart"/>
      <w:r w:rsidRPr="008A67E6">
        <w:t>нововъведените</w:t>
      </w:r>
      <w:proofErr w:type="spellEnd"/>
      <w:r w:rsidRPr="008A67E6">
        <w:t xml:space="preserve"> ДНК секвенции</w:t>
      </w:r>
      <w:r w:rsidRPr="008A67E6">
        <w:rPr>
          <w:rStyle w:val="FootnoteReference"/>
          <w:szCs w:val="24"/>
        </w:rPr>
        <w:footnoteReference w:id="9"/>
      </w:r>
      <w:r w:rsidRPr="008A67E6">
        <w:t xml:space="preserve">; </w:t>
      </w:r>
    </w:p>
    <w:p w14:paraId="2ADF9A5E" w14:textId="77777777" w:rsidR="008E367A" w:rsidRPr="008A67E6" w:rsidRDefault="008E367A" w:rsidP="008E367A">
      <w:pPr>
        <w:pStyle w:val="NormalHanging12a"/>
        <w:widowControl/>
        <w:rPr>
          <w:szCs w:val="24"/>
        </w:rPr>
      </w:pPr>
      <w:r w:rsidRPr="008A67E6">
        <w:t>И.</w:t>
      </w:r>
      <w:r w:rsidRPr="008A67E6">
        <w:tab/>
        <w:t xml:space="preserve">като има предвид, че полевите изпитвания, използвани в подкрепа на анализа на състава и </w:t>
      </w:r>
      <w:proofErr w:type="spellStart"/>
      <w:r w:rsidRPr="008A67E6">
        <w:t>фенотипния</w:t>
      </w:r>
      <w:proofErr w:type="spellEnd"/>
      <w:r w:rsidRPr="008A67E6">
        <w:t xml:space="preserve"> анализ на генетично модифицираната царевица, бяха проведени в продължение на един вегетационен период (2021 г.) в Съединените щати и Канада при метеорологични условия, които не отразяват адекватно разнообразието на регионите, в които се отглежда царевица, особено в държави като Бразилия;</w:t>
      </w:r>
    </w:p>
    <w:p w14:paraId="5F31C3CA" w14:textId="77777777" w:rsidR="008E367A" w:rsidRPr="008A67E6" w:rsidRDefault="008E367A" w:rsidP="008E367A">
      <w:pPr>
        <w:pStyle w:val="NormalHanging12a"/>
        <w:widowControl/>
        <w:rPr>
          <w:szCs w:val="24"/>
        </w:rPr>
      </w:pPr>
      <w:r w:rsidRPr="008A67E6">
        <w:t>Й.</w:t>
      </w:r>
      <w:r w:rsidRPr="008A67E6">
        <w:tab/>
        <w:t>като има предвид, че на някои места на изпитване бяха докладвани екстремни метеорологични явления; като има предвид, че не бяха предприети конкретни проучвания за оценка на бъдещите условия, които ще бъдат повлияни от текущото изменение на климата;</w:t>
      </w:r>
    </w:p>
    <w:p w14:paraId="13310CB4" w14:textId="77777777" w:rsidR="008E367A" w:rsidRPr="008A67E6" w:rsidRDefault="008E367A" w:rsidP="008E367A">
      <w:pPr>
        <w:pStyle w:val="NormalHanging12a"/>
        <w:widowControl/>
        <w:rPr>
          <w:szCs w:val="24"/>
        </w:rPr>
      </w:pPr>
      <w:r w:rsidRPr="008A67E6">
        <w:t>К.</w:t>
      </w:r>
      <w:r w:rsidRPr="008A67E6">
        <w:tab/>
        <w:t xml:space="preserve">като има предвид, че </w:t>
      </w:r>
      <w:proofErr w:type="spellStart"/>
      <w:r w:rsidRPr="008A67E6">
        <w:t>глуфосинат</w:t>
      </w:r>
      <w:proofErr w:type="spellEnd"/>
      <w:r w:rsidRPr="008A67E6">
        <w:t xml:space="preserve"> беше прилаган само веднъж по време на полевите изпитвания, следвайки препоръките на ЕОБХ за дозиране; като има предвид обаче, че в реалните селскостопански практики нивата и честотата на прилагане на хербициди често варират значително в зависимост от региона и могат да включват по-висока или многократна употреба, което означава, че данните от полевите изпитвания може да не отразяват в достатъчна степен пълния набор от екологични и селскостопански условия, при които генетично модифицираната царевица е вероятно да бъде отглеждана или внасяна;</w:t>
      </w:r>
    </w:p>
    <w:p w14:paraId="5BC11394" w14:textId="77777777" w:rsidR="008E367A" w:rsidRPr="008A67E6" w:rsidRDefault="008E367A" w:rsidP="008E367A">
      <w:pPr>
        <w:pStyle w:val="NormalHanging12a"/>
        <w:widowControl/>
        <w:rPr>
          <w:b/>
          <w:i/>
          <w:iCs/>
          <w:szCs w:val="24"/>
        </w:rPr>
      </w:pPr>
      <w:r w:rsidRPr="008A67E6">
        <w:rPr>
          <w:b/>
          <w:i/>
        </w:rPr>
        <w:t xml:space="preserve">Липса на оценка на </w:t>
      </w:r>
      <w:proofErr w:type="spellStart"/>
      <w:r w:rsidRPr="008A67E6">
        <w:rPr>
          <w:b/>
          <w:i/>
        </w:rPr>
        <w:t>глуфосинат</w:t>
      </w:r>
      <w:proofErr w:type="spellEnd"/>
      <w:r w:rsidRPr="008A67E6">
        <w:rPr>
          <w:b/>
          <w:i/>
        </w:rPr>
        <w:t xml:space="preserve"> </w:t>
      </w:r>
    </w:p>
    <w:p w14:paraId="19190BD4" w14:textId="77777777" w:rsidR="008E367A" w:rsidRPr="008A67E6" w:rsidRDefault="008E367A" w:rsidP="008E367A">
      <w:pPr>
        <w:pStyle w:val="NormalHanging12a"/>
        <w:widowControl/>
        <w:rPr>
          <w:szCs w:val="24"/>
        </w:rPr>
      </w:pPr>
      <w:r w:rsidRPr="008A67E6">
        <w:t>Л.</w:t>
      </w:r>
      <w:r w:rsidRPr="008A67E6">
        <w:tab/>
        <w:t xml:space="preserve">като има предвид, че </w:t>
      </w:r>
      <w:proofErr w:type="spellStart"/>
      <w:r w:rsidRPr="008A67E6">
        <w:t>глуфосинат</w:t>
      </w:r>
      <w:proofErr w:type="spellEnd"/>
      <w:r w:rsidRPr="008A67E6">
        <w:t xml:space="preserve"> е свързан със значителни рискове за биологичното разнообразие, токсичността и дългосрочното здраве на екосистемите;</w:t>
      </w:r>
    </w:p>
    <w:p w14:paraId="70E78F8A" w14:textId="77777777" w:rsidR="008E367A" w:rsidRPr="008A67E6" w:rsidRDefault="008E367A" w:rsidP="008E367A">
      <w:pPr>
        <w:pStyle w:val="NormalHanging12a"/>
        <w:widowControl/>
        <w:rPr>
          <w:szCs w:val="24"/>
        </w:rPr>
      </w:pPr>
      <w:r w:rsidRPr="008A67E6">
        <w:t>М.</w:t>
      </w:r>
      <w:r w:rsidRPr="008A67E6">
        <w:tab/>
        <w:t xml:space="preserve">като има предвид, че по-голямата част от генетично модифицираните култури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като има предвид, че редица изследвания показват, че генетично модифицираните култури, които са устойчиви на </w:t>
      </w:r>
      <w:r w:rsidRPr="008A67E6">
        <w:lastRenderedPageBreak/>
        <w:t>хербициди, водят до по-широка употреба на добавъчни хербициди, до голяма степен поради появата на плевели, които са устойчиви на хербициди</w:t>
      </w:r>
      <w:r w:rsidRPr="008A67E6">
        <w:rPr>
          <w:rStyle w:val="FootnoteReference"/>
          <w:szCs w:val="24"/>
        </w:rPr>
        <w:footnoteReference w:id="10"/>
      </w:r>
      <w:r w:rsidRPr="008A67E6">
        <w:t>;</w:t>
      </w:r>
    </w:p>
    <w:p w14:paraId="7E7AA4EE" w14:textId="77777777" w:rsidR="008E367A" w:rsidRPr="008A67E6" w:rsidRDefault="008E367A" w:rsidP="008E367A">
      <w:pPr>
        <w:pStyle w:val="NormalHanging12a"/>
        <w:widowControl/>
        <w:rPr>
          <w:szCs w:val="24"/>
        </w:rPr>
      </w:pPr>
      <w:r w:rsidRPr="008A67E6">
        <w:t>Н.</w:t>
      </w:r>
      <w:r w:rsidRPr="008A67E6">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е до голяма степен или изцяло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 като има предвид, че засилената зависимост от добавъчни хербициди в земеделските стопанства, в които се засаждат генетично модифицирани култури, ускорява появата и разпространението на плевели, устойчиви на тези хербициди, и по този начин води до необходимостта от още по-голяма употреба на хербициди, създавайки своеобразен порочен кръг за земеделските стопани;</w:t>
      </w:r>
    </w:p>
    <w:p w14:paraId="42162BC8" w14:textId="77777777" w:rsidR="008E367A" w:rsidRPr="008A67E6" w:rsidRDefault="008E367A" w:rsidP="008E367A">
      <w:pPr>
        <w:pStyle w:val="NormalHanging12a"/>
        <w:widowControl/>
        <w:rPr>
          <w:szCs w:val="24"/>
        </w:rPr>
      </w:pPr>
      <w:r w:rsidRPr="008A67E6">
        <w:t>О.</w:t>
      </w:r>
      <w:r w:rsidRPr="008A67E6">
        <w:tab/>
        <w:t>като има предвид, че неблагоприятните въздействия, произтичащи от прекомерната зависимост от хербициди, ще се задълбочат по отношение на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чрез увеличаване на остатъчните вещества от хербициди в храните и фуражите;</w:t>
      </w:r>
    </w:p>
    <w:p w14:paraId="679A7218" w14:textId="77777777" w:rsidR="008E367A" w:rsidRPr="008A67E6" w:rsidRDefault="008E367A" w:rsidP="008E367A">
      <w:pPr>
        <w:pStyle w:val="NormalHanging12a"/>
        <w:widowControl/>
        <w:rPr>
          <w:szCs w:val="24"/>
        </w:rPr>
      </w:pPr>
      <w:r w:rsidRPr="008A67E6">
        <w:t>П.</w:t>
      </w:r>
      <w:r w:rsidRPr="008A67E6">
        <w:tab/>
        <w:t>като има предвид, че се счита, че оценката на остатъците от хербициди и метаболитите, налични в генетично модифицираните растения, е извън правомощията на експертната група на ЕОБХ по генетично модифицирани организми (Експертна група на ЕОБХ по ГМО) и следователно не се извършва като част от процеса на разрешаване на генетично модифицирани организми;</w:t>
      </w:r>
    </w:p>
    <w:p w14:paraId="2B17E5C7" w14:textId="77777777" w:rsidR="008E367A" w:rsidRPr="008A67E6" w:rsidRDefault="008E367A" w:rsidP="008E367A">
      <w:pPr>
        <w:pStyle w:val="NormalHanging12a"/>
        <w:widowControl/>
        <w:rPr>
          <w:b/>
          <w:i/>
          <w:iCs/>
          <w:szCs w:val="24"/>
        </w:rPr>
      </w:pPr>
      <w:r w:rsidRPr="008A67E6">
        <w:rPr>
          <w:b/>
          <w:i/>
        </w:rPr>
        <w:t>Нерешени въпроси относно токсина IPD072Aa</w:t>
      </w:r>
    </w:p>
    <w:p w14:paraId="4ED6BBB7" w14:textId="77777777" w:rsidR="008E367A" w:rsidRPr="008A67E6" w:rsidRDefault="008E367A" w:rsidP="008E367A">
      <w:pPr>
        <w:pStyle w:val="NormalHanging12a"/>
        <w:widowControl/>
        <w:rPr>
          <w:szCs w:val="24"/>
        </w:rPr>
      </w:pPr>
      <w:r w:rsidRPr="008A67E6">
        <w:t>Р.</w:t>
      </w:r>
      <w:r w:rsidRPr="008A67E6">
        <w:tab/>
        <w:t>като има предвид, че регламент за изпълнение (ЕС) № 503/2013 изисква токсикологична оценка, за да се докаже, че предвиденото въздействие на генетичната модификация не води до неблагоприятни последици за здравето на хората и животните;</w:t>
      </w:r>
    </w:p>
    <w:p w14:paraId="1EEC2CB5" w14:textId="77777777" w:rsidR="008E367A" w:rsidRPr="008A67E6" w:rsidRDefault="008E367A" w:rsidP="008E367A">
      <w:pPr>
        <w:pStyle w:val="NormalHanging12a"/>
        <w:widowControl/>
        <w:rPr>
          <w:szCs w:val="24"/>
        </w:rPr>
      </w:pPr>
      <w:r w:rsidRPr="008A67E6">
        <w:t>С.</w:t>
      </w:r>
      <w:r w:rsidRPr="008A67E6">
        <w:tab/>
        <w:t xml:space="preserve">като има предвид, че IPD072Aa е нов протеин, което означава, че използването му в селското стопанство и въвеждането му в хранителната верига не могат да разчитат изцяло на натрупания по-рано опит; </w:t>
      </w:r>
    </w:p>
    <w:p w14:paraId="657BCB55" w14:textId="77777777" w:rsidR="008E367A" w:rsidRPr="008A67E6" w:rsidRDefault="008E367A" w:rsidP="008E367A">
      <w:pPr>
        <w:pStyle w:val="NormalHanging12a"/>
        <w:widowControl/>
        <w:rPr>
          <w:szCs w:val="24"/>
        </w:rPr>
      </w:pPr>
      <w:r w:rsidRPr="008A67E6">
        <w:lastRenderedPageBreak/>
        <w:t>Т.</w:t>
      </w:r>
      <w:r w:rsidRPr="008A67E6">
        <w:tab/>
        <w:t xml:space="preserve">като има предвид, че въпреки различията, наблюдаваните сходства между IPD072Aa и </w:t>
      </w:r>
      <w:proofErr w:type="spellStart"/>
      <w:r w:rsidRPr="008A67E6">
        <w:t>Bt</w:t>
      </w:r>
      <w:proofErr w:type="spellEnd"/>
      <w:r w:rsidRPr="008A67E6">
        <w:t xml:space="preserve"> токсините подчертават необходимостта от внимателно разглеждане в процеса на оценка на риска; като има предвид, че няколко проучвания показват, че </w:t>
      </w:r>
      <w:proofErr w:type="spellStart"/>
      <w:r w:rsidRPr="008A67E6">
        <w:t>Bt</w:t>
      </w:r>
      <w:proofErr w:type="spellEnd"/>
      <w:r w:rsidRPr="008A67E6">
        <w:t xml:space="preserve"> токсините могат да предизвикат нежелани реакции, свързани с имунитета, включително потенциални </w:t>
      </w:r>
      <w:proofErr w:type="spellStart"/>
      <w:r w:rsidRPr="008A67E6">
        <w:t>адювантни</w:t>
      </w:r>
      <w:proofErr w:type="spellEnd"/>
      <w:r w:rsidRPr="008A67E6">
        <w:t xml:space="preserve"> свойства</w:t>
      </w:r>
      <w:r w:rsidRPr="008A67E6">
        <w:rPr>
          <w:rStyle w:val="FootnoteReference"/>
          <w:szCs w:val="24"/>
        </w:rPr>
        <w:footnoteReference w:id="11"/>
      </w:r>
      <w:r w:rsidRPr="008A67E6">
        <w:t xml:space="preserve">, което означава, че те могат да увеличат </w:t>
      </w:r>
      <w:proofErr w:type="spellStart"/>
      <w:r w:rsidRPr="008A67E6">
        <w:t>алергенността</w:t>
      </w:r>
      <w:proofErr w:type="spellEnd"/>
      <w:r w:rsidRPr="008A67E6">
        <w:t xml:space="preserve"> на други протеини, с които влизат в контакт;</w:t>
      </w:r>
    </w:p>
    <w:p w14:paraId="593462D4" w14:textId="77777777" w:rsidR="008E367A" w:rsidRPr="008A67E6" w:rsidRDefault="008E367A" w:rsidP="008E367A">
      <w:pPr>
        <w:pStyle w:val="NormalHanging12a"/>
        <w:widowControl/>
        <w:rPr>
          <w:szCs w:val="24"/>
        </w:rPr>
      </w:pPr>
      <w:r w:rsidRPr="008A67E6">
        <w:t>У.</w:t>
      </w:r>
      <w:r w:rsidRPr="008A67E6">
        <w:tab/>
        <w:t xml:space="preserve">като има предвид, че в рамките на научно изследване беше установено, че токсичността на </w:t>
      </w:r>
      <w:proofErr w:type="spellStart"/>
      <w:r w:rsidRPr="008A67E6">
        <w:t>Bt</w:t>
      </w:r>
      <w:proofErr w:type="spellEnd"/>
      <w:r w:rsidRPr="008A67E6">
        <w:t xml:space="preserve"> токсините може също така да бъде повишена чрез взаимодействие с остатъчни вещества от пръскането с хербициди, и че са необходими допълнителни изследвания относно комбинаторните ефекти от повече от едно трансформационно събитие (генетично модифицирани култури, които са били модифицирани, за да бъдат устойчиви на хербициди и да произвеждат инсектициди под формата на </w:t>
      </w:r>
      <w:proofErr w:type="spellStart"/>
      <w:r w:rsidRPr="008A67E6">
        <w:t>Bt</w:t>
      </w:r>
      <w:proofErr w:type="spellEnd"/>
      <w:r w:rsidRPr="008A67E6">
        <w:t xml:space="preserve"> токсини)</w:t>
      </w:r>
      <w:r w:rsidRPr="008A67E6">
        <w:rPr>
          <w:rStyle w:val="FootnoteReference"/>
          <w:szCs w:val="24"/>
        </w:rPr>
        <w:footnoteReference w:id="12"/>
      </w:r>
      <w:r w:rsidRPr="008A67E6">
        <w:t xml:space="preserve">; като има предвид обаче, че се счита, че оценката на потенциалното взаимодействие на остатъците от хербициди и техните метаболити с </w:t>
      </w:r>
      <w:proofErr w:type="spellStart"/>
      <w:r w:rsidRPr="008A67E6">
        <w:t>Bt</w:t>
      </w:r>
      <w:proofErr w:type="spellEnd"/>
      <w:r w:rsidRPr="008A67E6">
        <w:t> токсини е извън правомощията на Експертната група на ЕОБХ по ГМО, и че следователно тя не се извършва като част от оценката на риска;</w:t>
      </w:r>
    </w:p>
    <w:p w14:paraId="49C04EE2" w14:textId="77777777" w:rsidR="008E367A" w:rsidRPr="008A67E6" w:rsidRDefault="008E367A" w:rsidP="008E367A">
      <w:pPr>
        <w:pStyle w:val="NormalHanging12a"/>
        <w:widowControl/>
        <w:rPr>
          <w:szCs w:val="24"/>
        </w:rPr>
      </w:pPr>
      <w:r w:rsidRPr="008A67E6">
        <w:t>Ф.</w:t>
      </w:r>
      <w:r w:rsidRPr="008A67E6">
        <w:tab/>
        <w:t>като има предвид, че оценката на токсичността на IPD072Aa не отчита потенциалните синергични или кумулативни ефекти, произтичащи от взаимодействия с растителни метаболити или остатъци от хербициди;</w:t>
      </w:r>
    </w:p>
    <w:p w14:paraId="719F1535" w14:textId="77777777" w:rsidR="008E367A" w:rsidRPr="008A67E6" w:rsidRDefault="008E367A" w:rsidP="008E367A">
      <w:pPr>
        <w:pStyle w:val="NormalHanging12a"/>
        <w:widowControl/>
        <w:rPr>
          <w:szCs w:val="24"/>
        </w:rPr>
      </w:pPr>
      <w:r w:rsidRPr="008A67E6">
        <w:t>Х.</w:t>
      </w:r>
      <w:r w:rsidRPr="008A67E6">
        <w:tab/>
        <w:t>като има предвид, че не са предоставени данни относно натрупването на IPD072Aa в хранителните мрежи, неговото разпространение в околната среда, по-специално чрез отпадъчни води и оборски тор в почвата и водните екосистеми, или въздействието му върху неприцелните организми;</w:t>
      </w:r>
    </w:p>
    <w:p w14:paraId="7EFD7BAD" w14:textId="77777777" w:rsidR="008E367A" w:rsidRPr="008A67E6" w:rsidRDefault="008E367A" w:rsidP="008E367A">
      <w:pPr>
        <w:pStyle w:val="NormalHanging12a"/>
        <w:widowControl/>
        <w:rPr>
          <w:szCs w:val="24"/>
        </w:rPr>
      </w:pPr>
      <w:r w:rsidRPr="008A67E6">
        <w:t>Ц.</w:t>
      </w:r>
      <w:r w:rsidRPr="008A67E6">
        <w:tab/>
        <w:t xml:space="preserve">като има предвид, че потенциалът за генен поток към диви роднини като </w:t>
      </w:r>
      <w:proofErr w:type="spellStart"/>
      <w:r w:rsidRPr="008A67E6">
        <w:t>теосинт</w:t>
      </w:r>
      <w:proofErr w:type="spellEnd"/>
      <w:r w:rsidRPr="008A67E6">
        <w:t>, докладван в Испания и Франция, поражда опасения относно устойчивостта на трансгена в околната среда и възможните екологични последици от него</w:t>
      </w:r>
      <w:r w:rsidRPr="008A67E6">
        <w:rPr>
          <w:rStyle w:val="FootnoteReference"/>
          <w:szCs w:val="24"/>
        </w:rPr>
        <w:footnoteReference w:id="13"/>
      </w:r>
      <w:r w:rsidRPr="008A67E6">
        <w:t>;</w:t>
      </w:r>
    </w:p>
    <w:p w14:paraId="5D7E8B90" w14:textId="77777777" w:rsidR="008E367A" w:rsidRPr="008A67E6" w:rsidRDefault="008E367A" w:rsidP="008E367A">
      <w:pPr>
        <w:pStyle w:val="NormalHanging12a"/>
        <w:widowControl/>
        <w:rPr>
          <w:szCs w:val="24"/>
        </w:rPr>
      </w:pPr>
      <w:r w:rsidRPr="008A67E6">
        <w:t>Ч.</w:t>
      </w:r>
      <w:r w:rsidRPr="008A67E6">
        <w:tab/>
        <w:t xml:space="preserve">като има предвид, че изискванията за мониторинг, определени в регламент за изпълнение (ЕС) № 503/2013, не се прилагат в достатъчна степен, като липсва независима проверка на данните, представени от </w:t>
      </w:r>
      <w:proofErr w:type="spellStart"/>
      <w:r w:rsidRPr="008A67E6">
        <w:t>Corteva</w:t>
      </w:r>
      <w:proofErr w:type="spellEnd"/>
      <w:r w:rsidRPr="008A67E6">
        <w:t xml:space="preserve"> </w:t>
      </w:r>
      <w:proofErr w:type="spellStart"/>
      <w:r w:rsidRPr="008A67E6">
        <w:t>Agriscience</w:t>
      </w:r>
      <w:proofErr w:type="spellEnd"/>
      <w:r w:rsidRPr="008A67E6">
        <w:t xml:space="preserve"> LLC;</w:t>
      </w:r>
    </w:p>
    <w:p w14:paraId="5ABD0CEB" w14:textId="77777777" w:rsidR="008E367A" w:rsidRPr="008A67E6" w:rsidRDefault="008E367A" w:rsidP="005353D4">
      <w:pPr>
        <w:pStyle w:val="NormalHanging12a"/>
        <w:widowControl/>
        <w:ind w:left="0" w:firstLine="0"/>
        <w:rPr>
          <w:b/>
          <w:i/>
          <w:iCs/>
          <w:szCs w:val="24"/>
        </w:rPr>
      </w:pPr>
      <w:r w:rsidRPr="008A67E6">
        <w:rPr>
          <w:b/>
          <w:i/>
        </w:rPr>
        <w:lastRenderedPageBreak/>
        <w:t>Гарантиране на еднакви условия на конкуренция в световен мащаб и спазване на международните задължения на Съюза</w:t>
      </w:r>
    </w:p>
    <w:p w14:paraId="21A58C02" w14:textId="7C59C2C7" w:rsidR="008E367A" w:rsidRPr="008A67E6" w:rsidRDefault="008E367A" w:rsidP="008E367A">
      <w:pPr>
        <w:pStyle w:val="NormalHanging12a"/>
        <w:widowControl/>
        <w:rPr>
          <w:b/>
          <w:szCs w:val="24"/>
        </w:rPr>
      </w:pPr>
      <w:r w:rsidRPr="008A67E6">
        <w:t>Ш.</w:t>
      </w:r>
      <w:r w:rsidRPr="008A67E6">
        <w:rPr>
          <w:b/>
        </w:rPr>
        <w:tab/>
      </w:r>
      <w:r w:rsidRPr="008A67E6">
        <w:t xml:space="preserve">като има предвид, че отглеждането на генетично модифицирана царевица не е разрешено в Съюза; като има предвид, че приемането на </w:t>
      </w:r>
      <w:r w:rsidR="00EE43F2">
        <w:t>Р</w:t>
      </w:r>
      <w:r w:rsidRPr="008A67E6">
        <w:t xml:space="preserve">ешение </w:t>
      </w:r>
      <w:r w:rsidR="00EE43F2" w:rsidRPr="00EE43F2">
        <w:t>за изпълнение (ЕС) 2025/1898</w:t>
      </w:r>
      <w:r w:rsidR="00EE43F2">
        <w:t xml:space="preserve"> </w:t>
      </w:r>
      <w:r w:rsidRPr="008A67E6">
        <w:t>позвол</w:t>
      </w:r>
      <w:r w:rsidR="00EE43F2">
        <w:t>ява</w:t>
      </w:r>
      <w:r w:rsidRPr="008A67E6">
        <w:t xml:space="preserve">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66F8ED22" w14:textId="77777777" w:rsidR="008E367A" w:rsidRPr="008A67E6" w:rsidRDefault="008E367A" w:rsidP="008E367A">
      <w:pPr>
        <w:pStyle w:val="NormalHanging12a"/>
        <w:widowControl/>
        <w:rPr>
          <w:b/>
          <w:szCs w:val="24"/>
        </w:rPr>
      </w:pPr>
      <w:r w:rsidRPr="008A67E6">
        <w:t>Щ.</w:t>
      </w:r>
      <w:r w:rsidRPr="008A67E6">
        <w:tab/>
        <w:t>като има предвид, че в заключенията на стратегическия диалог относно бъдещето на селското стопанство в ЕС</w:t>
      </w:r>
      <w:r w:rsidRPr="008A67E6">
        <w:rPr>
          <w:rStyle w:val="FootnoteReference"/>
          <w:szCs w:val="24"/>
        </w:rPr>
        <w:footnoteReference w:id="14"/>
      </w:r>
      <w:r w:rsidRPr="008A67E6">
        <w:t xml:space="preserve"> Комисията се призовава да преразгледа своя подход към достъпа до пазара за вноса и износа на селскостопански хранителни продукти, като се има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и 2024 г.;</w:t>
      </w:r>
    </w:p>
    <w:p w14:paraId="76AE2B55" w14:textId="77777777" w:rsidR="008E367A" w:rsidRPr="008A67E6" w:rsidRDefault="008E367A" w:rsidP="008E367A">
      <w:pPr>
        <w:pStyle w:val="NormalHanging12a"/>
        <w:widowControl/>
        <w:rPr>
          <w:szCs w:val="24"/>
        </w:rPr>
      </w:pPr>
      <w:r w:rsidRPr="008A67E6">
        <w:t>АА.</w:t>
      </w:r>
      <w:r w:rsidRPr="008A67E6">
        <w:tab/>
        <w:t>като има предвид, че в доклад от 2017 г. на специалния докладчик на Организацията на обединените нации (ООН) относно правото на прехрана се посочва, че опасните пестициди оказват катастрофално въздействие върху здравето, особено в развиващите се страни</w:t>
      </w:r>
      <w:r w:rsidRPr="008A67E6">
        <w:rPr>
          <w:rStyle w:val="FootnoteReference"/>
          <w:szCs w:val="24"/>
        </w:rPr>
        <w:footnoteReference w:id="15"/>
      </w:r>
      <w:r w:rsidRPr="008A67E6">
        <w:t>; като има предвид, че в цел 3.9 от целите за устойчиво развитие на ООН (ЦУР) е заложено до 2030 г. значително да се намалят смъртните случаи и заболяванията, причинени от опасни химикали и замърсяване на въздуха, водата и почвата и от заразяване</w:t>
      </w:r>
      <w:r w:rsidRPr="008A67E6">
        <w:rPr>
          <w:rStyle w:val="FootnoteReference"/>
          <w:szCs w:val="24"/>
        </w:rPr>
        <w:footnoteReference w:id="16"/>
      </w:r>
      <w:r w:rsidRPr="008A67E6">
        <w:t>;</w:t>
      </w:r>
    </w:p>
    <w:p w14:paraId="12C150FF" w14:textId="77777777" w:rsidR="008E367A" w:rsidRPr="008A67E6" w:rsidRDefault="008E367A" w:rsidP="008E367A">
      <w:pPr>
        <w:pStyle w:val="NormalHanging12a"/>
        <w:widowControl/>
        <w:rPr>
          <w:szCs w:val="24"/>
        </w:rPr>
      </w:pPr>
      <w:r w:rsidRPr="008A67E6">
        <w:t>АБ.</w:t>
      </w:r>
      <w:r w:rsidRPr="008A67E6">
        <w:tab/>
        <w:t>като има предвид, че глобалната рамка за биологичното разнообразие Кунмин – Монреал, договорена на 15</w:t>
      </w:r>
      <w:r w:rsidRPr="008A67E6">
        <w:noBreakHyphen/>
        <w:t>ата конференция на страните по Конвенцията на ООН за биологичното разнообразие през декември 2022 г., включва глобална цел за намаляване на свързаните с пестицидите рискове с най-малко 50% до 2030 г.</w:t>
      </w:r>
      <w:r w:rsidRPr="008A67E6">
        <w:rPr>
          <w:rStyle w:val="FootnoteReference"/>
          <w:szCs w:val="24"/>
        </w:rPr>
        <w:footnoteReference w:id="17"/>
      </w:r>
      <w:r w:rsidRPr="008A67E6">
        <w:t>;</w:t>
      </w:r>
    </w:p>
    <w:p w14:paraId="1D4CF685" w14:textId="77777777" w:rsidR="008E367A" w:rsidRPr="008A67E6" w:rsidRDefault="008E367A" w:rsidP="008E367A">
      <w:pPr>
        <w:pStyle w:val="NormalHanging12a"/>
        <w:widowControl/>
        <w:rPr>
          <w:szCs w:val="24"/>
        </w:rPr>
      </w:pPr>
      <w:r w:rsidRPr="008A67E6">
        <w:t>АВ.</w:t>
      </w:r>
      <w:r w:rsidRPr="008A67E6">
        <w:tab/>
        <w:t>като има предвид, че в Регламент (ЕО) № 1829/2003 се посочва, че генетично модифицираните храни и фуражи не трябва да оказват неблагоприятно въздействие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легитимни фактори, свързани с разглеждания въпрос; като има предвид, че тези легитимни фактори следва да включват задълженията на Съюза съгласно ЦУР на ООН и Конвенцията на ООН за биологичното разнообразие;</w:t>
      </w:r>
    </w:p>
    <w:p w14:paraId="2C9A026B" w14:textId="77777777" w:rsidR="008E367A" w:rsidRPr="008A67E6" w:rsidRDefault="008E367A" w:rsidP="008E367A">
      <w:pPr>
        <w:pStyle w:val="NormalHanging12a"/>
        <w:keepNext/>
        <w:widowControl/>
        <w:rPr>
          <w:b/>
          <w:i/>
          <w:iCs/>
          <w:szCs w:val="24"/>
        </w:rPr>
      </w:pPr>
      <w:r w:rsidRPr="008A67E6">
        <w:rPr>
          <w:b/>
          <w:i/>
        </w:rPr>
        <w:lastRenderedPageBreak/>
        <w:t>Намаляване на зависимостта от вносни фуражи</w:t>
      </w:r>
    </w:p>
    <w:p w14:paraId="2B5B7BE5" w14:textId="77777777" w:rsidR="008E367A" w:rsidRPr="008A67E6" w:rsidRDefault="008E367A" w:rsidP="008E367A">
      <w:pPr>
        <w:pStyle w:val="NormalHanging12a"/>
        <w:widowControl/>
        <w:rPr>
          <w:szCs w:val="24"/>
        </w:rPr>
      </w:pPr>
      <w:r w:rsidRPr="008A67E6">
        <w:t>АГ.</w:t>
      </w:r>
      <w:r w:rsidRPr="008A67E6">
        <w:tab/>
        <w:t>като има предвид, че една от поуките от кризата с COVID</w:t>
      </w:r>
      <w:r w:rsidRPr="008A67E6">
        <w:noBreakHyphen/>
        <w:t xml:space="preserve">19 и все още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за определяне на ресора до члена на Комисията Кристоф Хансен председателят на Комисията Урсула фон </w:t>
      </w:r>
      <w:proofErr w:type="spellStart"/>
      <w:r w:rsidRPr="008A67E6">
        <w:t>дер</w:t>
      </w:r>
      <w:proofErr w:type="spellEnd"/>
      <w:r w:rsidRPr="008A67E6">
        <w:t xml:space="preserve"> </w:t>
      </w:r>
      <w:proofErr w:type="spellStart"/>
      <w:r w:rsidRPr="008A67E6">
        <w:t>Лайен</w:t>
      </w:r>
      <w:proofErr w:type="spellEnd"/>
      <w:r w:rsidRPr="008A67E6">
        <w:t xml:space="preserve"> го призова да потърси начини за намаляване на вноса на стоки от критично значение</w:t>
      </w:r>
      <w:r w:rsidRPr="008A67E6">
        <w:rPr>
          <w:rStyle w:val="FootnoteReference"/>
          <w:szCs w:val="24"/>
        </w:rPr>
        <w:footnoteReference w:id="18"/>
      </w:r>
      <w:r w:rsidRPr="008A67E6">
        <w:t>;</w:t>
      </w:r>
    </w:p>
    <w:p w14:paraId="6FACBC6E" w14:textId="77777777" w:rsidR="008E367A" w:rsidRPr="008A67E6" w:rsidRDefault="008E367A" w:rsidP="008E367A">
      <w:pPr>
        <w:pStyle w:val="NormalHanging12a"/>
        <w:widowControl/>
        <w:rPr>
          <w:b/>
          <w:i/>
          <w:iCs/>
          <w:szCs w:val="24"/>
        </w:rPr>
      </w:pPr>
      <w:r w:rsidRPr="008A67E6">
        <w:rPr>
          <w:b/>
          <w:i/>
        </w:rPr>
        <w:t>Недемократичен процес на вземане на решения</w:t>
      </w:r>
    </w:p>
    <w:p w14:paraId="50C5C9A9" w14:textId="77777777" w:rsidR="008E367A" w:rsidRPr="008A67E6" w:rsidRDefault="008E367A" w:rsidP="008E367A">
      <w:pPr>
        <w:pStyle w:val="NormalHanging12a"/>
        <w:widowControl/>
        <w:rPr>
          <w:szCs w:val="24"/>
        </w:rPr>
      </w:pPr>
      <w:r w:rsidRPr="008A67E6">
        <w:t>АД.</w:t>
      </w:r>
      <w:r w:rsidRPr="008A67E6">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по време на деветия си мандат Парламентът прие 38 резолюции, в които възразява срещу пускането на ГМО на пазара, а през настоящия десети мандат вече прие други 11 резолюции, в които възразява срещу пускането на ГМО на пазара;</w:t>
      </w:r>
    </w:p>
    <w:p w14:paraId="4ED6426B" w14:textId="77777777" w:rsidR="008E367A" w:rsidRPr="008A67E6" w:rsidRDefault="008E367A" w:rsidP="008E367A">
      <w:pPr>
        <w:pStyle w:val="NormalHanging12a"/>
        <w:widowControl/>
        <w:rPr>
          <w:szCs w:val="24"/>
        </w:rPr>
      </w:pPr>
      <w:r w:rsidRPr="008A67E6">
        <w:t>АЕ.</w:t>
      </w:r>
      <w:r w:rsidRPr="008A67E6">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14:paraId="0CBEDD8A" w14:textId="77777777" w:rsidR="008E367A" w:rsidRPr="008A67E6" w:rsidRDefault="008E367A" w:rsidP="008E367A">
      <w:pPr>
        <w:pStyle w:val="NormalHanging12a"/>
        <w:widowControl/>
        <w:rPr>
          <w:szCs w:val="24"/>
        </w:rPr>
      </w:pPr>
      <w:r w:rsidRPr="008A67E6">
        <w:t>АЖ.</w:t>
      </w:r>
      <w:r w:rsidRPr="008A67E6">
        <w:tab/>
        <w:t>като има предвид, че не се изисква промяна на законодателството, за да може Комисията да не разрешава ГМО, когато в Апелативния комитет не е налице подкрепата на квалифицирано мнозинство от държавите членки</w:t>
      </w:r>
      <w:r w:rsidRPr="008A67E6">
        <w:rPr>
          <w:rStyle w:val="FootnoteReference"/>
          <w:szCs w:val="24"/>
        </w:rPr>
        <w:footnoteReference w:id="19"/>
      </w:r>
      <w:r w:rsidRPr="008A67E6">
        <w:t>;</w:t>
      </w:r>
    </w:p>
    <w:p w14:paraId="1145A25F" w14:textId="77777777" w:rsidR="008E367A" w:rsidRPr="008A67E6" w:rsidRDefault="008E367A" w:rsidP="008E367A">
      <w:pPr>
        <w:pStyle w:val="NormalHanging12a"/>
        <w:widowControl/>
        <w:rPr>
          <w:szCs w:val="24"/>
        </w:rPr>
      </w:pPr>
      <w:r w:rsidRPr="008A67E6">
        <w:t>АЗ.</w:t>
      </w:r>
      <w:r w:rsidRPr="008A67E6">
        <w:tab/>
        <w:t>като има предвид, че при гласуването на 13 юни 2025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w:t>
      </w:r>
      <w:r w:rsidRPr="008A67E6">
        <w:rPr>
          <w:rStyle w:val="FootnoteReference"/>
          <w:szCs w:val="24"/>
        </w:rPr>
        <w:footnoteReference w:id="20"/>
      </w:r>
      <w:r w:rsidRPr="008A67E6">
        <w:t xml:space="preserve">; </w:t>
      </w:r>
      <w:r w:rsidRPr="008A67E6">
        <w:rPr>
          <w:shd w:val="clear" w:color="auto" w:fill="FFFFFF"/>
        </w:rPr>
        <w:t>като има предвид, че при гласуването в апелативния комитет на 15 юли 2025 г. също не беше изразено становище;</w:t>
      </w:r>
    </w:p>
    <w:p w14:paraId="3772C292" w14:textId="684A4FBD" w:rsidR="008E367A" w:rsidRPr="008A67E6" w:rsidRDefault="008E367A" w:rsidP="008E367A">
      <w:pPr>
        <w:pStyle w:val="NormalBold"/>
        <w:widowControl/>
        <w:spacing w:after="240"/>
        <w:ind w:left="567" w:hanging="567"/>
        <w:rPr>
          <w:b w:val="0"/>
          <w:szCs w:val="24"/>
        </w:rPr>
      </w:pPr>
      <w:r w:rsidRPr="008A67E6">
        <w:rPr>
          <w:b w:val="0"/>
        </w:rPr>
        <w:t>1.</w:t>
      </w:r>
      <w:r w:rsidRPr="008A67E6">
        <w:rPr>
          <w:b w:val="0"/>
        </w:rPr>
        <w:tab/>
        <w:t xml:space="preserve">счита, че </w:t>
      </w:r>
      <w:r w:rsidR="00EE43F2">
        <w:rPr>
          <w:b w:val="0"/>
        </w:rPr>
        <w:t>Р</w:t>
      </w:r>
      <w:r w:rsidRPr="008A67E6">
        <w:rPr>
          <w:b w:val="0"/>
        </w:rPr>
        <w:t xml:space="preserve">ешение за изпълнение </w:t>
      </w:r>
      <w:r w:rsidR="00EE43F2">
        <w:rPr>
          <w:b w:val="0"/>
        </w:rPr>
        <w:t>(ЕС) 2025/1898</w:t>
      </w:r>
      <w:r w:rsidRPr="008A67E6">
        <w:rPr>
          <w:b w:val="0"/>
        </w:rPr>
        <w:t xml:space="preserve"> превишава изпълнителните правомощия, предвидени в Регламент (ЕО)</w:t>
      </w:r>
      <w:r w:rsidR="00B915F0">
        <w:rPr>
          <w:b w:val="0"/>
        </w:rPr>
        <w:t xml:space="preserve"> </w:t>
      </w:r>
      <w:r w:rsidRPr="008A67E6">
        <w:rPr>
          <w:b w:val="0"/>
        </w:rPr>
        <w:t>№ 1829/2003;</w:t>
      </w:r>
    </w:p>
    <w:p w14:paraId="489F2D63" w14:textId="4A94C621" w:rsidR="008E367A" w:rsidRPr="008A67E6" w:rsidRDefault="008E367A" w:rsidP="008E367A">
      <w:pPr>
        <w:pStyle w:val="NormalBold"/>
        <w:widowControl/>
        <w:spacing w:after="240"/>
        <w:ind w:left="567" w:hanging="567"/>
        <w:rPr>
          <w:b w:val="0"/>
          <w:szCs w:val="24"/>
        </w:rPr>
      </w:pPr>
      <w:r w:rsidRPr="008A67E6">
        <w:rPr>
          <w:b w:val="0"/>
        </w:rPr>
        <w:t>2.</w:t>
      </w:r>
      <w:r w:rsidRPr="008A67E6">
        <w:rPr>
          <w:b w:val="0"/>
        </w:rPr>
        <w:tab/>
        <w:t xml:space="preserve">счита, че </w:t>
      </w:r>
      <w:r w:rsidR="00B915F0">
        <w:rPr>
          <w:b w:val="0"/>
        </w:rPr>
        <w:t>Р</w:t>
      </w:r>
      <w:r w:rsidRPr="008A67E6">
        <w:rPr>
          <w:b w:val="0"/>
        </w:rPr>
        <w:t xml:space="preserve">ешение за изпълнение </w:t>
      </w:r>
      <w:r w:rsidR="00B915F0">
        <w:rPr>
          <w:b w:val="0"/>
        </w:rPr>
        <w:t xml:space="preserve">(ЕС) 2025/1898 </w:t>
      </w:r>
      <w:r w:rsidRPr="008A67E6">
        <w:rPr>
          <w:b w:val="0"/>
        </w:rPr>
        <w:t xml:space="preserve">не е в съответствие с правото на Съюза, доколкото е несъвместим с целта на Регламент (ЕО) № 1829/2003, която, в съответствие с общите принципи, определени в Регламент (ЕО) № 178/2002 на </w:t>
      </w:r>
      <w:r w:rsidRPr="008A67E6">
        <w:rPr>
          <w:b w:val="0"/>
        </w:rPr>
        <w:lastRenderedPageBreak/>
        <w:t>Европейския парламент и Съвета</w:t>
      </w:r>
      <w:r w:rsidRPr="008A67E6">
        <w:rPr>
          <w:rStyle w:val="FootnoteReference"/>
          <w:b w:val="0"/>
          <w:szCs w:val="24"/>
        </w:rPr>
        <w:footnoteReference w:id="21"/>
      </w:r>
      <w:r w:rsidRPr="008A67E6">
        <w:rPr>
          <w:b w:val="0"/>
        </w:rPr>
        <w:t>, е да се предвиди основанието за гарантиране на висока степен на защита на живота и здравето на човека, на здравето на животните и на хуманното отношение към тях и на интересите на опазването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14:paraId="1D9CFA58" w14:textId="37355C5D" w:rsidR="008E367A" w:rsidRPr="008A67E6" w:rsidRDefault="008E367A" w:rsidP="008E367A">
      <w:pPr>
        <w:pStyle w:val="NormalBold"/>
        <w:widowControl/>
        <w:spacing w:after="240"/>
        <w:ind w:left="567" w:hanging="567"/>
        <w:rPr>
          <w:b w:val="0"/>
          <w:szCs w:val="24"/>
        </w:rPr>
      </w:pPr>
      <w:r w:rsidRPr="008A67E6">
        <w:rPr>
          <w:b w:val="0"/>
        </w:rPr>
        <w:t>3.</w:t>
      </w:r>
      <w:r w:rsidRPr="008A67E6">
        <w:rPr>
          <w:b w:val="0"/>
        </w:rPr>
        <w:tab/>
      </w:r>
      <w:r w:rsidR="00B915F0" w:rsidRPr="008A67E6">
        <w:rPr>
          <w:b w:val="0"/>
        </w:rPr>
        <w:t xml:space="preserve">призовава </w:t>
      </w:r>
      <w:r w:rsidRPr="008A67E6">
        <w:rPr>
          <w:b w:val="0"/>
        </w:rPr>
        <w:t>Комисията да от</w:t>
      </w:r>
      <w:r w:rsidR="00B915F0">
        <w:rPr>
          <w:b w:val="0"/>
        </w:rPr>
        <w:t>мени</w:t>
      </w:r>
      <w:r w:rsidRPr="008A67E6">
        <w:rPr>
          <w:b w:val="0"/>
        </w:rPr>
        <w:t xml:space="preserve"> </w:t>
      </w:r>
      <w:r w:rsidR="00B915F0">
        <w:rPr>
          <w:b w:val="0"/>
        </w:rPr>
        <w:t>Р</w:t>
      </w:r>
      <w:r w:rsidRPr="008A67E6">
        <w:rPr>
          <w:b w:val="0"/>
        </w:rPr>
        <w:t xml:space="preserve">ешение за изпълнение </w:t>
      </w:r>
      <w:r w:rsidR="00B915F0">
        <w:rPr>
          <w:b w:val="0"/>
        </w:rPr>
        <w:t xml:space="preserve">(ЕС) 2025/1898 </w:t>
      </w:r>
      <w:r w:rsidRPr="008A67E6">
        <w:rPr>
          <w:b w:val="0"/>
        </w:rPr>
        <w:t>и да внесе нов проект в комисията;</w:t>
      </w:r>
    </w:p>
    <w:p w14:paraId="2A3CD178" w14:textId="77777777" w:rsidR="008E367A" w:rsidRPr="008A67E6" w:rsidRDefault="008E367A" w:rsidP="008E367A">
      <w:pPr>
        <w:pStyle w:val="NormalBold"/>
        <w:widowControl/>
        <w:spacing w:after="240"/>
        <w:ind w:left="567" w:hanging="567"/>
        <w:rPr>
          <w:b w:val="0"/>
          <w:szCs w:val="24"/>
        </w:rPr>
      </w:pPr>
      <w:r w:rsidRPr="008A67E6">
        <w:rPr>
          <w:b w:val="0"/>
        </w:rPr>
        <w:t>4.</w:t>
      </w:r>
      <w:r w:rsidRPr="008A67E6">
        <w:rPr>
          <w:b w:val="0"/>
        </w:rPr>
        <w:tab/>
        <w:t>призовава Комисията да гарантира сближаване между Съюза и неговите партньори по отношение на стандартите в рамките на преговорите за споразумения за свободна търговия, за да се спазват стандартите на Съюза за безопасност;</w:t>
      </w:r>
    </w:p>
    <w:p w14:paraId="7A3CB7B7" w14:textId="77777777" w:rsidR="008E367A" w:rsidRPr="008A67E6" w:rsidRDefault="008E367A" w:rsidP="008E367A">
      <w:pPr>
        <w:pStyle w:val="NormalBold"/>
        <w:widowControl/>
        <w:spacing w:after="240"/>
        <w:ind w:left="567" w:hanging="567"/>
        <w:rPr>
          <w:b w:val="0"/>
          <w:szCs w:val="24"/>
        </w:rPr>
      </w:pPr>
      <w:r w:rsidRPr="008A67E6">
        <w:rPr>
          <w:b w:val="0"/>
        </w:rPr>
        <w:t>5.</w:t>
      </w:r>
      <w:r w:rsidRPr="008A67E6">
        <w:rPr>
          <w:b w:val="0"/>
        </w:rPr>
        <w:tab/>
        <w:t>призовава Комисията да не разрешава генетично модифицирана царевица поради повишените рискове за биологичното разнообразие, безопасността на храните и здравето на работниците, в съответствие с подхода „Едно здраве“;</w:t>
      </w:r>
    </w:p>
    <w:p w14:paraId="0660E07E" w14:textId="77777777" w:rsidR="008E367A" w:rsidRPr="008A67E6" w:rsidRDefault="008E367A" w:rsidP="008E367A">
      <w:pPr>
        <w:pStyle w:val="NormalBold"/>
        <w:widowControl/>
        <w:spacing w:after="240"/>
        <w:ind w:left="567" w:hanging="567"/>
        <w:rPr>
          <w:b w:val="0"/>
          <w:szCs w:val="24"/>
        </w:rPr>
      </w:pPr>
      <w:r w:rsidRPr="008A67E6">
        <w:rPr>
          <w:b w:val="0"/>
        </w:rPr>
        <w:t>6.</w:t>
      </w:r>
      <w:r w:rsidRPr="008A67E6">
        <w:rPr>
          <w:b w:val="0"/>
        </w:rPr>
        <w:tab/>
        <w:t>очаква Комисията спешно да изпълни ангажимента си</w:t>
      </w:r>
      <w:r w:rsidRPr="008A67E6">
        <w:rPr>
          <w:rStyle w:val="FootnoteReference"/>
          <w:b w:val="0"/>
          <w:szCs w:val="24"/>
        </w:rPr>
        <w:footnoteReference w:id="22"/>
      </w:r>
      <w:r w:rsidRPr="008A67E6">
        <w:rPr>
          <w:b w:val="0"/>
        </w:rPr>
        <w:t xml:space="preserve"> да представи предложение, за да гарантира, че опасните химикали, забранени в Съюза, не се произвеждат за износ;</w:t>
      </w:r>
    </w:p>
    <w:p w14:paraId="4D9102BC" w14:textId="77777777" w:rsidR="008E367A" w:rsidRPr="008A67E6" w:rsidRDefault="008E367A" w:rsidP="008E367A">
      <w:pPr>
        <w:pStyle w:val="NormalBold"/>
        <w:widowControl/>
        <w:spacing w:after="240"/>
        <w:ind w:left="567" w:hanging="567"/>
        <w:rPr>
          <w:b w:val="0"/>
          <w:szCs w:val="24"/>
        </w:rPr>
      </w:pPr>
      <w:r w:rsidRPr="008A67E6">
        <w:rPr>
          <w:b w:val="0"/>
        </w:rPr>
        <w:t>7.</w:t>
      </w:r>
      <w:r w:rsidRPr="008A67E6">
        <w:rPr>
          <w:b w:val="0"/>
        </w:rPr>
        <w:tab/>
        <w:t>приветства факта, че в писмо от 11 септември 2020 г. до членовете на ЕП Комисията най-после призна необходимостта да се взема предвид устойчивостта, когато става въпрос за решения за разрешаване на ГМО</w:t>
      </w:r>
      <w:r w:rsidRPr="008A67E6">
        <w:rPr>
          <w:rStyle w:val="FootnoteReference"/>
          <w:b w:val="0"/>
          <w:szCs w:val="24"/>
        </w:rPr>
        <w:footnoteReference w:id="23"/>
      </w:r>
      <w:r w:rsidRPr="008A67E6">
        <w:rPr>
          <w:b w:val="0"/>
        </w:rPr>
        <w:t>; изразява обаче силно разочарование поради това, че впоследствие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14:paraId="4F22D2A5" w14:textId="77777777" w:rsidR="008E367A" w:rsidRPr="008A67E6" w:rsidRDefault="008E367A" w:rsidP="008E367A">
      <w:pPr>
        <w:pStyle w:val="NormalBold"/>
        <w:widowControl/>
        <w:spacing w:after="240"/>
        <w:ind w:left="567" w:hanging="567"/>
        <w:rPr>
          <w:b w:val="0"/>
          <w:szCs w:val="24"/>
        </w:rPr>
      </w:pPr>
      <w:r w:rsidRPr="008A67E6">
        <w:rPr>
          <w:b w:val="0"/>
        </w:rPr>
        <w:t>8.</w:t>
      </w:r>
      <w:r w:rsidRPr="008A67E6">
        <w:rPr>
          <w:b w:val="0"/>
        </w:rPr>
        <w:tab/>
        <w:t xml:space="preserve">отново 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w:t>
      </w:r>
      <w:proofErr w:type="spellStart"/>
      <w:r w:rsidRPr="008A67E6">
        <w:rPr>
          <w:b w:val="0"/>
        </w:rPr>
        <w:t>ненанасяне</w:t>
      </w:r>
      <w:proofErr w:type="spellEnd"/>
      <w:r w:rsidRPr="008A67E6">
        <w:rPr>
          <w:b w:val="0"/>
        </w:rPr>
        <w:t xml:space="preserve"> на вреда</w:t>
      </w:r>
      <w:r w:rsidRPr="008A67E6">
        <w:rPr>
          <w:rStyle w:val="FootnoteReference"/>
          <w:b w:val="0"/>
          <w:szCs w:val="24"/>
        </w:rPr>
        <w:footnoteReference w:id="24"/>
      </w:r>
      <w:r w:rsidRPr="008A67E6">
        <w:rPr>
          <w:b w:val="0"/>
        </w:rPr>
        <w:t>;</w:t>
      </w:r>
    </w:p>
    <w:p w14:paraId="307EAA3E" w14:textId="3B841DB4" w:rsidR="00E365E1" w:rsidRPr="008A67E6" w:rsidRDefault="008E367A" w:rsidP="00B915F0">
      <w:pPr>
        <w:ind w:left="567" w:hanging="567"/>
      </w:pPr>
      <w:r w:rsidRPr="008A67E6">
        <w:t>9.</w:t>
      </w:r>
      <w:r w:rsidRPr="008A67E6">
        <w:tab/>
        <w:t xml:space="preserve">възлага на своя председател да предаде настоящата резолюция съответно на Съвета и на Комисията, както и на правителствата и на парламентите на </w:t>
      </w:r>
      <w:r w:rsidRPr="008A67E6">
        <w:lastRenderedPageBreak/>
        <w:t>държавите членки.</w:t>
      </w:r>
    </w:p>
    <w:sectPr w:rsidR="00E365E1" w:rsidRPr="008A67E6" w:rsidSect="008A67E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767B5" w14:textId="77777777" w:rsidR="00AF7F1A" w:rsidRPr="008A67E6" w:rsidRDefault="00AF7F1A">
      <w:r w:rsidRPr="008A67E6">
        <w:separator/>
      </w:r>
    </w:p>
  </w:endnote>
  <w:endnote w:type="continuationSeparator" w:id="0">
    <w:p w14:paraId="0F004E5F" w14:textId="77777777" w:rsidR="00AF7F1A" w:rsidRPr="008A67E6" w:rsidRDefault="00AF7F1A">
      <w:r w:rsidRPr="008A6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10D66" w14:textId="77777777" w:rsidR="00AF7F1A" w:rsidRPr="008A67E6" w:rsidRDefault="00AF7F1A">
      <w:r w:rsidRPr="008A67E6">
        <w:separator/>
      </w:r>
    </w:p>
  </w:footnote>
  <w:footnote w:type="continuationSeparator" w:id="0">
    <w:p w14:paraId="5543DB6F" w14:textId="77777777" w:rsidR="00AF7F1A" w:rsidRPr="008A67E6" w:rsidRDefault="00AF7F1A">
      <w:r w:rsidRPr="008A67E6">
        <w:continuationSeparator/>
      </w:r>
    </w:p>
  </w:footnote>
  <w:footnote w:id="1">
    <w:p w14:paraId="7875490D" w14:textId="7872A1F1" w:rsidR="00EE43F2" w:rsidRPr="005353D4" w:rsidRDefault="00EE43F2" w:rsidP="005353D4">
      <w:pPr>
        <w:pStyle w:val="FootnoteText"/>
        <w:ind w:left="567" w:hanging="567"/>
        <w:rPr>
          <w:sz w:val="24"/>
          <w:szCs w:val="24"/>
          <w:lang w:val="bg-BG"/>
        </w:rPr>
      </w:pPr>
      <w:r w:rsidRPr="005353D4">
        <w:rPr>
          <w:rStyle w:val="FootnoteReference"/>
          <w:sz w:val="24"/>
          <w:szCs w:val="24"/>
        </w:rPr>
        <w:footnoteRef/>
      </w:r>
      <w:r w:rsidRPr="005353D4">
        <w:rPr>
          <w:sz w:val="24"/>
          <w:szCs w:val="24"/>
        </w:rPr>
        <w:t xml:space="preserve"> </w:t>
      </w:r>
      <w:r w:rsidRPr="005353D4">
        <w:rPr>
          <w:sz w:val="24"/>
          <w:szCs w:val="24"/>
          <w:lang w:val="bg-BG"/>
        </w:rPr>
        <w:tab/>
        <w:t>OВ L, 2025/1898, 23.9.2025 г., ELI: http://data.europa.eu/eli/dec_impl/2025/1898/oj</w:t>
      </w:r>
    </w:p>
  </w:footnote>
  <w:footnote w:id="2">
    <w:p w14:paraId="0F046A5A" w14:textId="52C7D82C" w:rsidR="008E367A" w:rsidRPr="008A67E6" w:rsidRDefault="008E367A" w:rsidP="008A67E6">
      <w:pPr>
        <w:pStyle w:val="FootnoteText"/>
        <w:ind w:left="567" w:hanging="567"/>
        <w:rPr>
          <w:b/>
          <w:bCs/>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ОВ L 268, 18.10.2003 г., стр. 1, ELI: </w:t>
      </w:r>
      <w:hyperlink r:id="rId1" w:history="1">
        <w:r w:rsidRPr="008A67E6">
          <w:rPr>
            <w:rStyle w:val="Hyperlink"/>
            <w:sz w:val="24"/>
            <w:lang w:val="bg-BG"/>
          </w:rPr>
          <w:t>http://data.europa.eu/eli/reg/2003/1829/oj</w:t>
        </w:r>
      </w:hyperlink>
      <w:r w:rsidRPr="008A67E6">
        <w:rPr>
          <w:sz w:val="24"/>
          <w:u w:val="single"/>
          <w:lang w:val="bg-BG"/>
        </w:rPr>
        <w:t>.</w:t>
      </w:r>
    </w:p>
  </w:footnote>
  <w:footnote w:id="3">
    <w:p w14:paraId="3770B65E" w14:textId="04468222"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ОВ L 55, 28.2.2011 г., стр. 13, ELI: </w:t>
      </w:r>
      <w:hyperlink r:id="rId2" w:history="1">
        <w:r w:rsidRPr="008A67E6">
          <w:rPr>
            <w:rStyle w:val="Hyperlink"/>
            <w:sz w:val="24"/>
            <w:lang w:val="bg-BG"/>
          </w:rPr>
          <w:t>http://data.europa.eu/eli/reg/2011/182/oj</w:t>
        </w:r>
      </w:hyperlink>
      <w:r w:rsidRPr="008A67E6">
        <w:rPr>
          <w:sz w:val="24"/>
          <w:lang w:val="bg-BG"/>
        </w:rPr>
        <w:t>.</w:t>
      </w:r>
    </w:p>
  </w:footnote>
  <w:footnote w:id="4">
    <w:p w14:paraId="7A110C69" w14:textId="79F0A0A5" w:rsidR="008E367A" w:rsidRPr="008A67E6" w:rsidRDefault="008E367A" w:rsidP="008A67E6">
      <w:pPr>
        <w:pStyle w:val="FootnoteText"/>
        <w:ind w:left="567" w:hanging="567"/>
        <w:rPr>
          <w:sz w:val="24"/>
          <w:lang w:val="bg-BG"/>
        </w:rPr>
      </w:pPr>
      <w:r w:rsidRPr="008A67E6">
        <w:rPr>
          <w:rStyle w:val="Funotenzeichen"/>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модифицираната царевица DP51291 (заявление GMFF-2021-0071)“; EFSA </w:t>
      </w:r>
      <w:proofErr w:type="spellStart"/>
      <w:r w:rsidRPr="008A67E6">
        <w:rPr>
          <w:sz w:val="24"/>
          <w:lang w:val="bg-BG"/>
        </w:rPr>
        <w:t>Journal</w:t>
      </w:r>
      <w:proofErr w:type="spellEnd"/>
      <w:r w:rsidRPr="008A67E6">
        <w:rPr>
          <w:sz w:val="24"/>
          <w:lang w:val="bg-BG"/>
        </w:rPr>
        <w:t xml:space="preserve"> (Бюлетин на ЕОБХ) 2024; 22(11):9059; </w:t>
      </w:r>
      <w:hyperlink r:id="rId3" w:history="1">
        <w:r w:rsidRPr="008A67E6">
          <w:rPr>
            <w:rStyle w:val="Hyperlink"/>
            <w:sz w:val="24"/>
            <w:lang w:val="bg-BG"/>
          </w:rPr>
          <w:t>https://doi.org/10.2903/j.efsa.2024.9059</w:t>
        </w:r>
      </w:hyperlink>
      <w:r w:rsidRPr="008A67E6">
        <w:rPr>
          <w:sz w:val="24"/>
          <w:lang w:val="bg-BG"/>
        </w:rPr>
        <w:t xml:space="preserve">. </w:t>
      </w:r>
    </w:p>
  </w:footnote>
  <w:footnote w:id="5">
    <w:p w14:paraId="7B16174B" w14:textId="53D5819B" w:rsidR="008E367A" w:rsidRPr="008A67E6" w:rsidRDefault="008E367A" w:rsidP="008A67E6">
      <w:pPr>
        <w:pStyle w:val="FootnoteText"/>
        <w:ind w:left="567" w:hanging="567"/>
        <w:rPr>
          <w:color w:val="000000" w:themeColor="text1"/>
          <w:sz w:val="24"/>
          <w:vertAlign w:val="superscript"/>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w:t>
      </w:r>
      <w:r w:rsidRPr="008A67E6">
        <w:rPr>
          <w:color w:val="000000" w:themeColor="text1"/>
          <w:sz w:val="24"/>
          <w:lang w:val="bg-BG"/>
        </w:rPr>
        <w:t xml:space="preserve"> Освен това през десетия си мандат Парламентът прие следните резолюции:</w:t>
      </w:r>
    </w:p>
    <w:p w14:paraId="1988A1E4" w14:textId="40D9FE8F"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008E367A" w:rsidRPr="008A67E6">
          <w:rPr>
            <w:rStyle w:val="Hyperlink"/>
            <w:sz w:val="24"/>
            <w:lang w:val="bg-BG"/>
          </w:rPr>
          <w:t>http://data.europa.eu/eli/C/2025/1797/oj</w:t>
        </w:r>
      </w:hyperlink>
      <w:r w:rsidR="008E367A" w:rsidRPr="008A67E6">
        <w:rPr>
          <w:color w:val="000000" w:themeColor="text1"/>
          <w:sz w:val="24"/>
          <w:lang w:val="bg-BG"/>
        </w:rPr>
        <w:t>).</w:t>
      </w:r>
    </w:p>
    <w:p w14:paraId="29B7753B" w14:textId="06079955"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008E367A" w:rsidRPr="008A67E6">
          <w:rPr>
            <w:rStyle w:val="Hyperlink"/>
            <w:sz w:val="24"/>
            <w:lang w:val="bg-BG"/>
          </w:rPr>
          <w:t>http://data.europa.eu/eli/C/2025/1798/oj</w:t>
        </w:r>
      </w:hyperlink>
      <w:r w:rsidR="008E367A" w:rsidRPr="008A67E6">
        <w:rPr>
          <w:color w:val="000000" w:themeColor="text1"/>
          <w:sz w:val="24"/>
          <w:lang w:val="bg-BG"/>
        </w:rPr>
        <w:t>).</w:t>
      </w:r>
    </w:p>
    <w:p w14:paraId="7E192442" w14:textId="6C91FC23"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w:t>
      </w:r>
      <w:proofErr w:type="spellStart"/>
      <w:r w:rsidR="008E367A" w:rsidRPr="008A67E6">
        <w:rPr>
          <w:color w:val="000000" w:themeColor="text1"/>
          <w:sz w:val="24"/>
          <w:lang w:val="bg-BG"/>
        </w:rPr>
        <w:t>подкомбинации</w:t>
      </w:r>
      <w:proofErr w:type="spellEnd"/>
      <w:r w:rsidR="008E367A" w:rsidRPr="008A67E6">
        <w:rPr>
          <w:color w:val="000000" w:themeColor="text1"/>
          <w:sz w:val="24"/>
          <w:lang w:val="bg-BG"/>
        </w:rPr>
        <w:t xml:space="preserve">, в съответствие с Регламент (ЕО) № 1829/2003 на Европейския парламент и на Съвета (ОВ C, C/2025/1799, 4.4.2025 г., ELI: </w:t>
      </w:r>
      <w:hyperlink r:id="rId6" w:history="1">
        <w:r w:rsidR="008E367A" w:rsidRPr="008A67E6">
          <w:rPr>
            <w:rStyle w:val="Hyperlink"/>
            <w:sz w:val="24"/>
            <w:lang w:val="bg-BG"/>
          </w:rPr>
          <w:t>http://data.europa.eu/eli/C/2025/1799/oj</w:t>
        </w:r>
      </w:hyperlink>
      <w:r w:rsidR="008E367A" w:rsidRPr="008A67E6">
        <w:rPr>
          <w:color w:val="000000" w:themeColor="text1"/>
          <w:sz w:val="24"/>
          <w:lang w:val="bg-BG"/>
        </w:rPr>
        <w:t>).</w:t>
      </w:r>
    </w:p>
    <w:p w14:paraId="2590F14A" w14:textId="3782B5A3"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или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008E367A" w:rsidRPr="008A67E6">
          <w:rPr>
            <w:rStyle w:val="Hyperlink"/>
            <w:sz w:val="24"/>
            <w:lang w:val="bg-BG"/>
          </w:rPr>
          <w:t>http://data.europa.eu/eli/C/2025/1800/oj</w:t>
        </w:r>
      </w:hyperlink>
      <w:r w:rsidR="008E367A" w:rsidRPr="008A67E6">
        <w:rPr>
          <w:color w:val="000000" w:themeColor="text1"/>
          <w:sz w:val="24"/>
          <w:lang w:val="bg-BG"/>
        </w:rPr>
        <w:t>).</w:t>
      </w:r>
    </w:p>
    <w:p w14:paraId="44855A5B" w14:textId="2C7F0FD9"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008E367A" w:rsidRPr="008A67E6">
          <w:rPr>
            <w:rStyle w:val="Hyperlink"/>
            <w:sz w:val="24"/>
            <w:lang w:val="bg-BG"/>
          </w:rPr>
          <w:t>http://data.europa.eu/eli/C/2025/1801/oj</w:t>
        </w:r>
      </w:hyperlink>
      <w:r w:rsidR="008E367A" w:rsidRPr="008A67E6">
        <w:rPr>
          <w:color w:val="000000" w:themeColor="text1"/>
          <w:sz w:val="24"/>
          <w:lang w:val="bg-BG"/>
        </w:rPr>
        <w:t>).</w:t>
      </w:r>
    </w:p>
    <w:p w14:paraId="4AE830EC" w14:textId="218FC54F"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hyperlink r:id="rId9" w:history="1">
        <w:r w:rsidR="008E367A" w:rsidRPr="008A67E6">
          <w:rPr>
            <w:rStyle w:val="Hyperlink"/>
            <w:sz w:val="24"/>
            <w:lang w:val="bg-BG"/>
          </w:rPr>
          <w:t>http://data.europa.eu/eli/C/2025/1802/oj</w:t>
        </w:r>
      </w:hyperlink>
      <w:r w:rsidR="008E367A" w:rsidRPr="008A67E6">
        <w:rPr>
          <w:color w:val="000000" w:themeColor="text1"/>
          <w:sz w:val="24"/>
          <w:lang w:val="bg-BG"/>
        </w:rPr>
        <w:t>).</w:t>
      </w:r>
    </w:p>
    <w:p w14:paraId="48A99BBC" w14:textId="23913A7F"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008E367A" w:rsidRPr="008A67E6">
          <w:rPr>
            <w:rStyle w:val="Hyperlink"/>
            <w:sz w:val="24"/>
            <w:lang w:val="bg-BG"/>
          </w:rPr>
          <w:t>http://data.europa.eu/eli/C/2025/1803/oj</w:t>
        </w:r>
      </w:hyperlink>
      <w:r w:rsidR="008E367A" w:rsidRPr="008A67E6">
        <w:rPr>
          <w:color w:val="000000" w:themeColor="text1"/>
          <w:sz w:val="24"/>
          <w:lang w:val="bg-BG"/>
        </w:rPr>
        <w:t>).</w:t>
      </w:r>
    </w:p>
    <w:p w14:paraId="2DC85882" w14:textId="157DE8F7" w:rsidR="008E367A" w:rsidRPr="008A67E6" w:rsidRDefault="008A67E6" w:rsidP="008A67E6">
      <w:pPr>
        <w:pStyle w:val="FootnoteText"/>
        <w:ind w:left="567" w:hanging="567"/>
        <w:rPr>
          <w:color w:val="000000" w:themeColor="text1"/>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t xml:space="preserve">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съгласно Регламент (ЕО) № 1829/2003 на Европейския парламент и на Съвета (ОВ C, C/2025/1804, 4.4.2025 г., ELI: </w:t>
      </w:r>
      <w:hyperlink r:id="rId11" w:history="1">
        <w:r w:rsidR="008E367A" w:rsidRPr="008A67E6">
          <w:rPr>
            <w:rStyle w:val="Hyperlink"/>
            <w:sz w:val="24"/>
            <w:lang w:val="bg-BG"/>
          </w:rPr>
          <w:t>http://data.europa.eu/eli/C/2025/1804/oj</w:t>
        </w:r>
      </w:hyperlink>
      <w:r w:rsidR="008E367A" w:rsidRPr="008A67E6">
        <w:rPr>
          <w:color w:val="000000" w:themeColor="text1"/>
          <w:sz w:val="24"/>
          <w:lang w:val="bg-BG"/>
        </w:rPr>
        <w:t>).</w:t>
      </w:r>
    </w:p>
    <w:p w14:paraId="79F84B90" w14:textId="1A5F0281" w:rsidR="008E367A" w:rsidRPr="008A67E6" w:rsidRDefault="008A67E6" w:rsidP="008A67E6">
      <w:pPr>
        <w:pStyle w:val="FootnoteText"/>
        <w:ind w:left="567" w:hanging="567"/>
        <w:rPr>
          <w:sz w:val="24"/>
          <w:vertAlign w:val="superscript"/>
          <w:lang w:val="bg-BG"/>
        </w:rPr>
      </w:pPr>
      <w:r w:rsidRPr="008A67E6">
        <w:rPr>
          <w:color w:val="000000" w:themeColor="text1"/>
          <w:sz w:val="24"/>
          <w:lang w:val="bg-BG"/>
        </w:rPr>
        <w:t xml:space="preserve"> </w:t>
      </w:r>
      <w:r w:rsidRPr="008A67E6">
        <w:rPr>
          <w:color w:val="000000" w:themeColor="text1"/>
          <w:sz w:val="24"/>
          <w:lang w:val="bg-BG"/>
        </w:rPr>
        <w:tab/>
      </w:r>
      <w:r w:rsidR="008E367A" w:rsidRPr="008A67E6">
        <w:rPr>
          <w:color w:val="000000" w:themeColor="text1"/>
          <w:sz w:val="24"/>
          <w:lang w:val="bg-BG"/>
        </w:rPr>
        <w:t>–</w:t>
      </w:r>
      <w:r w:rsidR="008E367A" w:rsidRPr="008A67E6">
        <w:rPr>
          <w:color w:val="000000" w:themeColor="text1"/>
          <w:sz w:val="24"/>
          <w:lang w:val="bg-BG"/>
        </w:rPr>
        <w:tab/>
      </w:r>
      <w:r w:rsidR="008E367A" w:rsidRPr="008A67E6">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008E367A" w:rsidRPr="008A67E6">
          <w:rPr>
            <w:rStyle w:val="Hyperlink"/>
            <w:sz w:val="24"/>
            <w:lang w:val="bg-BG"/>
          </w:rPr>
          <w:t>http://data.europa.eu/eli/C/2025/2246/oj</w:t>
        </w:r>
      </w:hyperlink>
      <w:r w:rsidR="008E367A" w:rsidRPr="008A67E6">
        <w:rPr>
          <w:sz w:val="24"/>
          <w:lang w:val="bg-BG"/>
        </w:rPr>
        <w:t>).</w:t>
      </w:r>
    </w:p>
    <w:p w14:paraId="4577D96F" w14:textId="49EFE03C" w:rsidR="008E367A" w:rsidRPr="008A67E6" w:rsidRDefault="008A67E6" w:rsidP="008A67E6">
      <w:pPr>
        <w:pStyle w:val="FootnoteText"/>
        <w:ind w:left="567" w:hanging="567"/>
        <w:rPr>
          <w:sz w:val="24"/>
          <w:vertAlign w:val="superscript"/>
          <w:lang w:val="bg-BG"/>
        </w:rPr>
      </w:pPr>
      <w:r w:rsidRPr="008A67E6">
        <w:rPr>
          <w:sz w:val="24"/>
          <w:lang w:val="bg-BG"/>
        </w:rPr>
        <w:t xml:space="preserve"> </w:t>
      </w:r>
      <w:r w:rsidRPr="008A67E6">
        <w:rPr>
          <w:sz w:val="24"/>
          <w:lang w:val="bg-BG"/>
        </w:rPr>
        <w:tab/>
      </w:r>
      <w:r w:rsidR="008E367A" w:rsidRPr="008A67E6">
        <w:rPr>
          <w:sz w:val="24"/>
          <w:lang w:val="bg-BG"/>
        </w:rPr>
        <w:t>–</w:t>
      </w:r>
      <w:r w:rsidR="008E367A" w:rsidRPr="008A67E6">
        <w:rPr>
          <w:sz w:val="24"/>
          <w:lang w:val="bg-BG"/>
        </w:rPr>
        <w:tab/>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95275, съгласно Регламент (ЕО) № 1829/2003 на Европейския парламент и на Съвета (ОВ C, C/2025/2247, 29.4.2025 г., ELI: </w:t>
      </w:r>
      <w:hyperlink r:id="rId1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008E367A" w:rsidRPr="008A67E6">
          <w:rPr>
            <w:rStyle w:val="Hyperlink"/>
            <w:sz w:val="24"/>
            <w:lang w:val="bg-BG"/>
          </w:rPr>
          <w:t>http://data.europa.eu/eli/C/2025/2247/oj</w:t>
        </w:r>
      </w:hyperlink>
      <w:r w:rsidR="008E367A" w:rsidRPr="008A67E6">
        <w:rPr>
          <w:sz w:val="24"/>
          <w:lang w:val="bg-BG"/>
        </w:rPr>
        <w:t>).</w:t>
      </w:r>
    </w:p>
    <w:p w14:paraId="21DD568F" w14:textId="5219E2E2" w:rsidR="008E367A" w:rsidRPr="008A67E6" w:rsidRDefault="008A67E6" w:rsidP="008A67E6">
      <w:pPr>
        <w:pStyle w:val="FootnoteText"/>
        <w:ind w:left="567" w:hanging="567"/>
        <w:rPr>
          <w:sz w:val="24"/>
          <w:lang w:val="bg-BG"/>
        </w:rPr>
      </w:pPr>
      <w:r w:rsidRPr="008A67E6">
        <w:rPr>
          <w:sz w:val="24"/>
          <w:lang w:val="bg-BG"/>
        </w:rPr>
        <w:t xml:space="preserve"> </w:t>
      </w:r>
      <w:r w:rsidRPr="008A67E6">
        <w:rPr>
          <w:sz w:val="24"/>
          <w:lang w:val="bg-BG"/>
        </w:rPr>
        <w:tab/>
      </w:r>
      <w:r w:rsidR="008E367A" w:rsidRPr="008A67E6">
        <w:rPr>
          <w:sz w:val="24"/>
          <w:lang w:val="bg-BG"/>
        </w:rPr>
        <w:t>–</w:t>
      </w:r>
      <w:r w:rsidR="008E367A" w:rsidRPr="008A67E6">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w:t>
      </w:r>
      <w:r w:rsidR="00B915F0">
        <w:rPr>
          <w:sz w:val="24"/>
          <w:lang w:val="bg-BG"/>
        </w:rPr>
        <w:t xml:space="preserve"> </w:t>
      </w:r>
      <w:r w:rsidR="008E367A" w:rsidRPr="008A67E6">
        <w:rPr>
          <w:sz w:val="24"/>
          <w:lang w:val="bg-BG"/>
        </w:rPr>
        <w:t>№ 1829/2003 на Европейския парламент и на Съвета (P10_TA(2025)0106)</w:t>
      </w:r>
      <w:r w:rsidR="00B915F0">
        <w:rPr>
          <w:sz w:val="24"/>
          <w:lang w:val="bg-BG"/>
        </w:rPr>
        <w:t>.</w:t>
      </w:r>
    </w:p>
  </w:footnote>
  <w:footnote w:id="6">
    <w:p w14:paraId="434E809E" w14:textId="7D560033"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hyperlink r:id="rId1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8A67E6">
          <w:rPr>
            <w:rStyle w:val="Hyperlink"/>
            <w:sz w:val="24"/>
            <w:lang w:val="bg-BG"/>
          </w:rPr>
          <w:t>http://data.europa.eu/eli/reg/2009/1107/oj</w:t>
        </w:r>
      </w:hyperlink>
      <w:r w:rsidRPr="008A67E6">
        <w:rPr>
          <w:sz w:val="24"/>
          <w:lang w:val="bg-BG"/>
        </w:rPr>
        <w:t>).</w:t>
      </w:r>
    </w:p>
  </w:footnote>
  <w:footnote w:id="7">
    <w:p w14:paraId="35A910FB" w14:textId="40F77A22"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hyperlink r:id="rId15" w:history="1">
        <w:r w:rsidRPr="008A67E6">
          <w:rPr>
            <w:rStyle w:val="Hyperlink"/>
            <w:sz w:val="24"/>
            <w:lang w:val="bg-BG"/>
          </w:rPr>
          <w:t>https://www.testbiotech.org/wp-content/uploads/2024/12/Testbiotech_comment_‌maize_DP51291.pdf</w:t>
        </w:r>
      </w:hyperlink>
      <w:r w:rsidRPr="008A67E6">
        <w:rPr>
          <w:sz w:val="24"/>
          <w:lang w:val="bg-BG"/>
        </w:rPr>
        <w:t>.</w:t>
      </w:r>
    </w:p>
  </w:footnote>
  <w:footnote w:id="8">
    <w:p w14:paraId="31FD3005" w14:textId="55C3B60B"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1, ELI: </w:t>
      </w:r>
      <w:hyperlink r:id="rId16" w:history="1">
        <w:r w:rsidRPr="008A67E6">
          <w:rPr>
            <w:rStyle w:val="Hyperlink"/>
            <w:sz w:val="24"/>
            <w:lang w:val="bg-BG"/>
          </w:rPr>
          <w:t>http://data.europa.eu/eli/reg_impl/2013/503/oj</w:t>
        </w:r>
      </w:hyperlink>
      <w:r w:rsidRPr="008A67E6">
        <w:rPr>
          <w:sz w:val="24"/>
          <w:lang w:val="bg-BG"/>
        </w:rPr>
        <w:t>).</w:t>
      </w:r>
    </w:p>
  </w:footnote>
  <w:footnote w:id="9">
    <w:p w14:paraId="59280A8E" w14:textId="369D5208"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proofErr w:type="spellStart"/>
      <w:r w:rsidRPr="008A67E6">
        <w:rPr>
          <w:sz w:val="24"/>
          <w:lang w:val="bg-BG"/>
        </w:rPr>
        <w:t>Trtikova</w:t>
      </w:r>
      <w:proofErr w:type="spellEnd"/>
      <w:r w:rsidRPr="008A67E6">
        <w:rPr>
          <w:sz w:val="24"/>
          <w:lang w:val="bg-BG"/>
        </w:rPr>
        <w:t xml:space="preserve">, M., </w:t>
      </w:r>
      <w:proofErr w:type="spellStart"/>
      <w:r w:rsidRPr="008A67E6">
        <w:rPr>
          <w:sz w:val="24"/>
          <w:lang w:val="bg-BG"/>
        </w:rPr>
        <w:t>Wikmark</w:t>
      </w:r>
      <w:proofErr w:type="spellEnd"/>
      <w:r w:rsidRPr="008A67E6">
        <w:rPr>
          <w:sz w:val="24"/>
          <w:lang w:val="bg-BG"/>
        </w:rPr>
        <w:t xml:space="preserve">, O.G., </w:t>
      </w:r>
      <w:proofErr w:type="spellStart"/>
      <w:r w:rsidRPr="008A67E6">
        <w:rPr>
          <w:sz w:val="24"/>
          <w:lang w:val="bg-BG"/>
        </w:rPr>
        <w:t>Zemp</w:t>
      </w:r>
      <w:proofErr w:type="spellEnd"/>
      <w:r w:rsidRPr="008A67E6">
        <w:rPr>
          <w:sz w:val="24"/>
          <w:lang w:val="bg-BG"/>
        </w:rPr>
        <w:t xml:space="preserve">, N., </w:t>
      </w:r>
      <w:proofErr w:type="spellStart"/>
      <w:r w:rsidRPr="008A67E6">
        <w:rPr>
          <w:sz w:val="24"/>
          <w:lang w:val="bg-BG"/>
        </w:rPr>
        <w:t>Widmer</w:t>
      </w:r>
      <w:proofErr w:type="spellEnd"/>
      <w:r w:rsidRPr="008A67E6">
        <w:rPr>
          <w:sz w:val="24"/>
          <w:lang w:val="bg-BG"/>
        </w:rPr>
        <w:t xml:space="preserve">, A., </w:t>
      </w:r>
      <w:proofErr w:type="spellStart"/>
      <w:r w:rsidRPr="008A67E6">
        <w:rPr>
          <w:sz w:val="24"/>
          <w:lang w:val="bg-BG"/>
        </w:rPr>
        <w:t>Hilbeck</w:t>
      </w:r>
      <w:proofErr w:type="spellEnd"/>
      <w:r w:rsidRPr="008A67E6">
        <w:rPr>
          <w:sz w:val="24"/>
          <w:lang w:val="bg-BG"/>
        </w:rPr>
        <w:t>, A., „</w:t>
      </w:r>
      <w:proofErr w:type="spellStart"/>
      <w:r w:rsidRPr="008A67E6">
        <w:rPr>
          <w:sz w:val="24"/>
          <w:lang w:val="bg-BG"/>
        </w:rPr>
        <w:t>Transgene</w:t>
      </w:r>
      <w:proofErr w:type="spellEnd"/>
      <w:r w:rsidRPr="008A67E6">
        <w:rPr>
          <w:sz w:val="24"/>
          <w:lang w:val="bg-BG"/>
        </w:rPr>
        <w:t xml:space="preserve"> </w:t>
      </w:r>
      <w:proofErr w:type="spellStart"/>
      <w:r w:rsidRPr="008A67E6">
        <w:rPr>
          <w:sz w:val="24"/>
          <w:lang w:val="bg-BG"/>
        </w:rPr>
        <w:t>expression</w:t>
      </w:r>
      <w:proofErr w:type="spellEnd"/>
      <w:r w:rsidRPr="008A67E6">
        <w:rPr>
          <w:sz w:val="24"/>
          <w:lang w:val="bg-BG"/>
        </w:rPr>
        <w:t xml:space="preserve"> </w:t>
      </w:r>
      <w:proofErr w:type="spellStart"/>
      <w:r w:rsidRPr="008A67E6">
        <w:rPr>
          <w:sz w:val="24"/>
          <w:lang w:val="bg-BG"/>
        </w:rPr>
        <w:t>and</w:t>
      </w:r>
      <w:proofErr w:type="spellEnd"/>
      <w:r w:rsidRPr="008A67E6">
        <w:rPr>
          <w:sz w:val="24"/>
          <w:lang w:val="bg-BG"/>
        </w:rPr>
        <w:t xml:space="preserve"> </w:t>
      </w:r>
      <w:proofErr w:type="spellStart"/>
      <w:r w:rsidRPr="008A67E6">
        <w:rPr>
          <w:sz w:val="24"/>
          <w:lang w:val="bg-BG"/>
        </w:rPr>
        <w:t>Bt</w:t>
      </w:r>
      <w:proofErr w:type="spellEnd"/>
      <w:r w:rsidRPr="008A67E6">
        <w:rPr>
          <w:sz w:val="24"/>
          <w:lang w:val="bg-BG"/>
        </w:rPr>
        <w:t xml:space="preserve"> </w:t>
      </w:r>
      <w:proofErr w:type="spellStart"/>
      <w:r w:rsidRPr="008A67E6">
        <w:rPr>
          <w:sz w:val="24"/>
          <w:lang w:val="bg-BG"/>
        </w:rPr>
        <w:t>protein</w:t>
      </w:r>
      <w:proofErr w:type="spellEnd"/>
      <w:r w:rsidRPr="008A67E6">
        <w:rPr>
          <w:sz w:val="24"/>
          <w:lang w:val="bg-BG"/>
        </w:rPr>
        <w:t xml:space="preserve"> </w:t>
      </w:r>
      <w:proofErr w:type="spellStart"/>
      <w:r w:rsidRPr="008A67E6">
        <w:rPr>
          <w:sz w:val="24"/>
          <w:lang w:val="bg-BG"/>
        </w:rPr>
        <w:t>content</w:t>
      </w:r>
      <w:proofErr w:type="spellEnd"/>
      <w:r w:rsidRPr="008A67E6">
        <w:rPr>
          <w:sz w:val="24"/>
          <w:lang w:val="bg-BG"/>
        </w:rPr>
        <w:t xml:space="preserve"> </w:t>
      </w:r>
      <w:proofErr w:type="spellStart"/>
      <w:r w:rsidRPr="008A67E6">
        <w:rPr>
          <w:sz w:val="24"/>
          <w:lang w:val="bg-BG"/>
        </w:rPr>
        <w:t>in</w:t>
      </w:r>
      <w:proofErr w:type="spellEnd"/>
      <w:r w:rsidRPr="008A67E6">
        <w:rPr>
          <w:sz w:val="24"/>
          <w:lang w:val="bg-BG"/>
        </w:rPr>
        <w:t xml:space="preserve"> </w:t>
      </w:r>
      <w:proofErr w:type="spellStart"/>
      <w:r w:rsidRPr="008A67E6">
        <w:rPr>
          <w:sz w:val="24"/>
          <w:lang w:val="bg-BG"/>
        </w:rPr>
        <w:t>transgenic</w:t>
      </w:r>
      <w:proofErr w:type="spellEnd"/>
      <w:r w:rsidRPr="008A67E6">
        <w:rPr>
          <w:sz w:val="24"/>
          <w:lang w:val="bg-BG"/>
        </w:rPr>
        <w:t xml:space="preserve"> </w:t>
      </w:r>
      <w:proofErr w:type="spellStart"/>
      <w:r w:rsidRPr="008A67E6">
        <w:rPr>
          <w:sz w:val="24"/>
          <w:lang w:val="bg-BG"/>
        </w:rPr>
        <w:t>Bt</w:t>
      </w:r>
      <w:proofErr w:type="spellEnd"/>
      <w:r w:rsidRPr="008A67E6">
        <w:rPr>
          <w:sz w:val="24"/>
          <w:lang w:val="bg-BG"/>
        </w:rPr>
        <w:t xml:space="preserve"> </w:t>
      </w:r>
      <w:proofErr w:type="spellStart"/>
      <w:r w:rsidRPr="008A67E6">
        <w:rPr>
          <w:sz w:val="24"/>
          <w:lang w:val="bg-BG"/>
        </w:rPr>
        <w:t>maize</w:t>
      </w:r>
      <w:proofErr w:type="spellEnd"/>
      <w:r w:rsidRPr="008A67E6">
        <w:rPr>
          <w:sz w:val="24"/>
          <w:lang w:val="bg-BG"/>
        </w:rPr>
        <w:t xml:space="preserve"> (MON810) </w:t>
      </w:r>
      <w:proofErr w:type="spellStart"/>
      <w:r w:rsidRPr="008A67E6">
        <w:rPr>
          <w:sz w:val="24"/>
          <w:lang w:val="bg-BG"/>
        </w:rPr>
        <w:t>under</w:t>
      </w:r>
      <w:proofErr w:type="spellEnd"/>
      <w:r w:rsidRPr="008A67E6">
        <w:rPr>
          <w:sz w:val="24"/>
          <w:lang w:val="bg-BG"/>
        </w:rPr>
        <w:t xml:space="preserve"> </w:t>
      </w:r>
      <w:proofErr w:type="spellStart"/>
      <w:r w:rsidRPr="008A67E6">
        <w:rPr>
          <w:sz w:val="24"/>
          <w:lang w:val="bg-BG"/>
        </w:rPr>
        <w:t>optimal</w:t>
      </w:r>
      <w:proofErr w:type="spellEnd"/>
      <w:r w:rsidRPr="008A67E6">
        <w:rPr>
          <w:sz w:val="24"/>
          <w:lang w:val="bg-BG"/>
        </w:rPr>
        <w:t xml:space="preserve"> </w:t>
      </w:r>
      <w:proofErr w:type="spellStart"/>
      <w:r w:rsidRPr="008A67E6">
        <w:rPr>
          <w:sz w:val="24"/>
          <w:lang w:val="bg-BG"/>
        </w:rPr>
        <w:t>and</w:t>
      </w:r>
      <w:proofErr w:type="spellEnd"/>
      <w:r w:rsidRPr="008A67E6">
        <w:rPr>
          <w:sz w:val="24"/>
          <w:lang w:val="bg-BG"/>
        </w:rPr>
        <w:t xml:space="preserve"> </w:t>
      </w:r>
      <w:proofErr w:type="spellStart"/>
      <w:r w:rsidRPr="008A67E6">
        <w:rPr>
          <w:sz w:val="24"/>
          <w:lang w:val="bg-BG"/>
        </w:rPr>
        <w:t>stressful</w:t>
      </w:r>
      <w:proofErr w:type="spellEnd"/>
      <w:r w:rsidRPr="008A67E6">
        <w:rPr>
          <w:sz w:val="24"/>
          <w:lang w:val="bg-BG"/>
        </w:rPr>
        <w:t xml:space="preserve"> </w:t>
      </w:r>
      <w:proofErr w:type="spellStart"/>
      <w:r w:rsidRPr="008A67E6">
        <w:rPr>
          <w:sz w:val="24"/>
          <w:lang w:val="bg-BG"/>
        </w:rPr>
        <w:t>environmental</w:t>
      </w:r>
      <w:proofErr w:type="spellEnd"/>
      <w:r w:rsidRPr="008A67E6">
        <w:rPr>
          <w:sz w:val="24"/>
          <w:lang w:val="bg-BG"/>
        </w:rPr>
        <w:t xml:space="preserve"> </w:t>
      </w:r>
      <w:proofErr w:type="spellStart"/>
      <w:r w:rsidRPr="008A67E6">
        <w:rPr>
          <w:sz w:val="24"/>
          <w:lang w:val="bg-BG"/>
        </w:rPr>
        <w:t>conditions</w:t>
      </w:r>
      <w:proofErr w:type="spellEnd"/>
      <w:r w:rsidRPr="008A67E6">
        <w:rPr>
          <w:sz w:val="24"/>
          <w:lang w:val="bg-BG"/>
        </w:rPr>
        <w:t xml:space="preserve">“ („Трансгенна експресия и съдържание на </w:t>
      </w:r>
      <w:proofErr w:type="spellStart"/>
      <w:r w:rsidRPr="008A67E6">
        <w:rPr>
          <w:sz w:val="24"/>
          <w:lang w:val="bg-BG"/>
        </w:rPr>
        <w:t>Bt</w:t>
      </w:r>
      <w:proofErr w:type="spellEnd"/>
      <w:r w:rsidRPr="008A67E6">
        <w:rPr>
          <w:sz w:val="24"/>
          <w:lang w:val="bg-BG"/>
        </w:rPr>
        <w:t xml:space="preserve"> протеин в трансгенна </w:t>
      </w:r>
      <w:proofErr w:type="spellStart"/>
      <w:r w:rsidRPr="008A67E6">
        <w:rPr>
          <w:sz w:val="24"/>
          <w:lang w:val="bg-BG"/>
        </w:rPr>
        <w:t>Bt</w:t>
      </w:r>
      <w:proofErr w:type="spellEnd"/>
      <w:r w:rsidRPr="008A67E6">
        <w:rPr>
          <w:sz w:val="24"/>
          <w:lang w:val="bg-BG"/>
        </w:rPr>
        <w:t xml:space="preserve"> царевица (MON810) при оптимални и стресови условия на околната среда“), </w:t>
      </w:r>
      <w:proofErr w:type="spellStart"/>
      <w:r w:rsidRPr="008A67E6">
        <w:rPr>
          <w:sz w:val="24"/>
          <w:lang w:val="bg-BG"/>
        </w:rPr>
        <w:t>Plos</w:t>
      </w:r>
      <w:proofErr w:type="spellEnd"/>
      <w:r w:rsidRPr="008A67E6">
        <w:rPr>
          <w:sz w:val="24"/>
          <w:lang w:val="bg-BG"/>
        </w:rPr>
        <w:t xml:space="preserve"> ONE, 10(4): e0123011, </w:t>
      </w:r>
      <w:hyperlink r:id="rId17" w:history="1">
        <w:r w:rsidRPr="008A67E6">
          <w:rPr>
            <w:rStyle w:val="Hyperlink"/>
            <w:sz w:val="24"/>
            <w:lang w:val="bg-BG"/>
          </w:rPr>
          <w:t>https://doi.org/10.1371/journal.pone.0123011</w:t>
        </w:r>
      </w:hyperlink>
      <w:r w:rsidRPr="008A67E6">
        <w:rPr>
          <w:sz w:val="24"/>
          <w:lang w:val="bg-BG"/>
        </w:rPr>
        <w:t>.</w:t>
      </w:r>
    </w:p>
  </w:footnote>
  <w:footnote w:id="10">
    <w:p w14:paraId="7029C226" w14:textId="3A886A25"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Виж, например, </w:t>
      </w:r>
      <w:proofErr w:type="spellStart"/>
      <w:r w:rsidRPr="008A67E6">
        <w:rPr>
          <w:sz w:val="24"/>
          <w:lang w:val="bg-BG"/>
        </w:rPr>
        <w:t>Schulz</w:t>
      </w:r>
      <w:proofErr w:type="spellEnd"/>
      <w:r w:rsidRPr="008A67E6">
        <w:rPr>
          <w:sz w:val="24"/>
          <w:lang w:val="bg-BG"/>
        </w:rPr>
        <w:t xml:space="preserve">, R., </w:t>
      </w:r>
      <w:proofErr w:type="spellStart"/>
      <w:r w:rsidRPr="008A67E6">
        <w:rPr>
          <w:sz w:val="24"/>
          <w:lang w:val="bg-BG"/>
        </w:rPr>
        <w:t>Bub</w:t>
      </w:r>
      <w:proofErr w:type="spellEnd"/>
      <w:r w:rsidRPr="008A67E6">
        <w:rPr>
          <w:sz w:val="24"/>
          <w:lang w:val="bg-BG"/>
        </w:rPr>
        <w:t xml:space="preserve">, S., </w:t>
      </w:r>
      <w:proofErr w:type="spellStart"/>
      <w:r w:rsidRPr="008A67E6">
        <w:rPr>
          <w:sz w:val="24"/>
          <w:lang w:val="bg-BG"/>
        </w:rPr>
        <w:t>Petschick</w:t>
      </w:r>
      <w:proofErr w:type="spellEnd"/>
      <w:r w:rsidRPr="008A67E6">
        <w:rPr>
          <w:sz w:val="24"/>
          <w:lang w:val="bg-BG"/>
        </w:rPr>
        <w:t xml:space="preserve">, L. L., </w:t>
      </w:r>
      <w:proofErr w:type="spellStart"/>
      <w:r w:rsidRPr="008A67E6">
        <w:rPr>
          <w:sz w:val="24"/>
          <w:lang w:val="bg-BG"/>
        </w:rPr>
        <w:t>Stehle</w:t>
      </w:r>
      <w:proofErr w:type="spellEnd"/>
      <w:r w:rsidRPr="008A67E6">
        <w:rPr>
          <w:sz w:val="24"/>
          <w:lang w:val="bg-BG"/>
        </w:rPr>
        <w:t xml:space="preserve">, S., </w:t>
      </w:r>
      <w:proofErr w:type="spellStart"/>
      <w:r w:rsidRPr="008A67E6">
        <w:rPr>
          <w:sz w:val="24"/>
          <w:lang w:val="bg-BG"/>
        </w:rPr>
        <w:t>Wolfram</w:t>
      </w:r>
      <w:proofErr w:type="spellEnd"/>
      <w:r w:rsidRPr="008A67E6">
        <w:rPr>
          <w:sz w:val="24"/>
          <w:lang w:val="bg-BG"/>
        </w:rPr>
        <w:t>, J. (2021) „</w:t>
      </w:r>
      <w:proofErr w:type="spellStart"/>
      <w:r w:rsidRPr="008A67E6">
        <w:rPr>
          <w:sz w:val="24"/>
          <w:lang w:val="bg-BG"/>
        </w:rPr>
        <w:t>Applied</w:t>
      </w:r>
      <w:proofErr w:type="spellEnd"/>
      <w:r w:rsidRPr="008A67E6">
        <w:rPr>
          <w:sz w:val="24"/>
          <w:lang w:val="bg-BG"/>
        </w:rPr>
        <w:t xml:space="preserve"> </w:t>
      </w:r>
      <w:proofErr w:type="spellStart"/>
      <w:r w:rsidRPr="008A67E6">
        <w:rPr>
          <w:sz w:val="24"/>
          <w:lang w:val="bg-BG"/>
        </w:rPr>
        <w:t>pesticide</w:t>
      </w:r>
      <w:proofErr w:type="spellEnd"/>
      <w:r w:rsidRPr="008A67E6">
        <w:rPr>
          <w:sz w:val="24"/>
          <w:lang w:val="bg-BG"/>
        </w:rPr>
        <w:t xml:space="preserve"> </w:t>
      </w:r>
      <w:proofErr w:type="spellStart"/>
      <w:r w:rsidRPr="008A67E6">
        <w:rPr>
          <w:sz w:val="24"/>
          <w:lang w:val="bg-BG"/>
        </w:rPr>
        <w:t>toxicity</w:t>
      </w:r>
      <w:proofErr w:type="spellEnd"/>
      <w:r w:rsidRPr="008A67E6">
        <w:rPr>
          <w:sz w:val="24"/>
          <w:lang w:val="bg-BG"/>
        </w:rPr>
        <w:t xml:space="preserve"> </w:t>
      </w:r>
      <w:proofErr w:type="spellStart"/>
      <w:r w:rsidRPr="008A67E6">
        <w:rPr>
          <w:sz w:val="24"/>
          <w:lang w:val="bg-BG"/>
        </w:rPr>
        <w:t>shifts</w:t>
      </w:r>
      <w:proofErr w:type="spellEnd"/>
      <w:r w:rsidRPr="008A67E6">
        <w:rPr>
          <w:sz w:val="24"/>
          <w:lang w:val="bg-BG"/>
        </w:rPr>
        <w:t xml:space="preserve"> </w:t>
      </w:r>
      <w:proofErr w:type="spellStart"/>
      <w:r w:rsidRPr="008A67E6">
        <w:rPr>
          <w:sz w:val="24"/>
          <w:lang w:val="bg-BG"/>
        </w:rPr>
        <w:t>toward</w:t>
      </w:r>
      <w:proofErr w:type="spellEnd"/>
      <w:r w:rsidRPr="008A67E6">
        <w:rPr>
          <w:sz w:val="24"/>
          <w:lang w:val="bg-BG"/>
        </w:rPr>
        <w:t xml:space="preserve"> </w:t>
      </w:r>
      <w:proofErr w:type="spellStart"/>
      <w:r w:rsidRPr="008A67E6">
        <w:rPr>
          <w:sz w:val="24"/>
          <w:lang w:val="bg-BG"/>
        </w:rPr>
        <w:t>plants</w:t>
      </w:r>
      <w:proofErr w:type="spellEnd"/>
      <w:r w:rsidRPr="008A67E6">
        <w:rPr>
          <w:sz w:val="24"/>
          <w:lang w:val="bg-BG"/>
        </w:rPr>
        <w:t xml:space="preserve"> </w:t>
      </w:r>
      <w:proofErr w:type="spellStart"/>
      <w:r w:rsidRPr="008A67E6">
        <w:rPr>
          <w:sz w:val="24"/>
          <w:lang w:val="bg-BG"/>
        </w:rPr>
        <w:t>and</w:t>
      </w:r>
      <w:proofErr w:type="spellEnd"/>
      <w:r w:rsidRPr="008A67E6">
        <w:rPr>
          <w:sz w:val="24"/>
          <w:lang w:val="bg-BG"/>
        </w:rPr>
        <w:t xml:space="preserve"> </w:t>
      </w:r>
      <w:proofErr w:type="spellStart"/>
      <w:r w:rsidRPr="008A67E6">
        <w:rPr>
          <w:sz w:val="24"/>
          <w:lang w:val="bg-BG"/>
        </w:rPr>
        <w:t>invertebrates</w:t>
      </w:r>
      <w:proofErr w:type="spellEnd"/>
      <w:r w:rsidRPr="008A67E6">
        <w:rPr>
          <w:sz w:val="24"/>
          <w:lang w:val="bg-BG"/>
        </w:rPr>
        <w:t xml:space="preserve">, </w:t>
      </w:r>
      <w:proofErr w:type="spellStart"/>
      <w:r w:rsidRPr="008A67E6">
        <w:rPr>
          <w:sz w:val="24"/>
          <w:lang w:val="bg-BG"/>
        </w:rPr>
        <w:t>even</w:t>
      </w:r>
      <w:proofErr w:type="spellEnd"/>
      <w:r w:rsidRPr="008A67E6">
        <w:rPr>
          <w:sz w:val="24"/>
          <w:lang w:val="bg-BG"/>
        </w:rPr>
        <w:t xml:space="preserve"> </w:t>
      </w:r>
      <w:proofErr w:type="spellStart"/>
      <w:r w:rsidRPr="008A67E6">
        <w:rPr>
          <w:sz w:val="24"/>
          <w:lang w:val="bg-BG"/>
        </w:rPr>
        <w:t>in</w:t>
      </w:r>
      <w:proofErr w:type="spellEnd"/>
      <w:r w:rsidRPr="008A67E6">
        <w:rPr>
          <w:sz w:val="24"/>
          <w:lang w:val="bg-BG"/>
        </w:rPr>
        <w:t xml:space="preserve"> GM </w:t>
      </w:r>
      <w:proofErr w:type="spellStart"/>
      <w:r w:rsidRPr="008A67E6">
        <w:rPr>
          <w:sz w:val="24"/>
          <w:lang w:val="bg-BG"/>
        </w:rPr>
        <w:t>crops</w:t>
      </w:r>
      <w:proofErr w:type="spellEnd"/>
      <w:r w:rsidRPr="008A67E6">
        <w:rPr>
          <w:sz w:val="24"/>
          <w:lang w:val="bg-BG"/>
        </w:rPr>
        <w:t xml:space="preserve">“ (Въздействието на токсичността на приложените пестициди се измества върху растенията и безгръбначните, дори при генетично модифицираните култури), Science 372(6537), стр. 81 – 84, </w:t>
      </w:r>
      <w:hyperlink r:id="rId18" w:history="1">
        <w:r w:rsidRPr="008A67E6">
          <w:rPr>
            <w:rStyle w:val="Hyperlink"/>
            <w:sz w:val="24"/>
            <w:lang w:val="bg-BG"/>
          </w:rPr>
          <w:t>https://doi.org/10.1126/science.abe1148</w:t>
        </w:r>
      </w:hyperlink>
      <w:r w:rsidRPr="008A67E6">
        <w:rPr>
          <w:sz w:val="24"/>
          <w:lang w:val="bg-BG"/>
        </w:rPr>
        <w:t xml:space="preserve">; </w:t>
      </w:r>
      <w:proofErr w:type="spellStart"/>
      <w:r w:rsidRPr="008A67E6">
        <w:rPr>
          <w:sz w:val="24"/>
          <w:lang w:val="bg-BG"/>
        </w:rPr>
        <w:t>Bonny</w:t>
      </w:r>
      <w:proofErr w:type="spellEnd"/>
      <w:r w:rsidRPr="008A67E6">
        <w:rPr>
          <w:sz w:val="24"/>
          <w:lang w:val="bg-BG"/>
        </w:rPr>
        <w:t>, S., „</w:t>
      </w:r>
      <w:proofErr w:type="spellStart"/>
      <w:r w:rsidRPr="008A67E6">
        <w:rPr>
          <w:sz w:val="24"/>
          <w:lang w:val="bg-BG"/>
        </w:rPr>
        <w:t>Genetically</w:t>
      </w:r>
      <w:proofErr w:type="spellEnd"/>
      <w:r w:rsidRPr="008A67E6">
        <w:rPr>
          <w:sz w:val="24"/>
          <w:lang w:val="bg-BG"/>
        </w:rPr>
        <w:t xml:space="preserve"> </w:t>
      </w:r>
      <w:proofErr w:type="spellStart"/>
      <w:r w:rsidRPr="008A67E6">
        <w:rPr>
          <w:sz w:val="24"/>
          <w:lang w:val="bg-BG"/>
        </w:rPr>
        <w:t>Modified</w:t>
      </w:r>
      <w:proofErr w:type="spellEnd"/>
      <w:r w:rsidRPr="008A67E6">
        <w:rPr>
          <w:sz w:val="24"/>
          <w:lang w:val="bg-BG"/>
        </w:rPr>
        <w:t xml:space="preserve"> </w:t>
      </w:r>
      <w:proofErr w:type="spellStart"/>
      <w:r w:rsidRPr="008A67E6">
        <w:rPr>
          <w:sz w:val="24"/>
          <w:lang w:val="bg-BG"/>
        </w:rPr>
        <w:t>Herbicide-Tolerant</w:t>
      </w:r>
      <w:proofErr w:type="spellEnd"/>
      <w:r w:rsidRPr="008A67E6">
        <w:rPr>
          <w:sz w:val="24"/>
          <w:lang w:val="bg-BG"/>
        </w:rPr>
        <w:t xml:space="preserve"> </w:t>
      </w:r>
      <w:proofErr w:type="spellStart"/>
      <w:r w:rsidRPr="008A67E6">
        <w:rPr>
          <w:sz w:val="24"/>
          <w:lang w:val="bg-BG"/>
        </w:rPr>
        <w:t>Crops</w:t>
      </w:r>
      <w:proofErr w:type="spellEnd"/>
      <w:r w:rsidRPr="008A67E6">
        <w:rPr>
          <w:sz w:val="24"/>
          <w:lang w:val="bg-BG"/>
        </w:rPr>
        <w:t xml:space="preserve">, </w:t>
      </w:r>
      <w:proofErr w:type="spellStart"/>
      <w:r w:rsidRPr="008A67E6">
        <w:rPr>
          <w:sz w:val="24"/>
          <w:lang w:val="bg-BG"/>
        </w:rPr>
        <w:t>Weeds</w:t>
      </w:r>
      <w:proofErr w:type="spellEnd"/>
      <w:r w:rsidRPr="008A67E6">
        <w:rPr>
          <w:sz w:val="24"/>
          <w:lang w:val="bg-BG"/>
        </w:rPr>
        <w:t xml:space="preserve">, </w:t>
      </w:r>
      <w:proofErr w:type="spellStart"/>
      <w:r w:rsidRPr="008A67E6">
        <w:rPr>
          <w:sz w:val="24"/>
          <w:lang w:val="bg-BG"/>
        </w:rPr>
        <w:t>and</w:t>
      </w:r>
      <w:proofErr w:type="spellEnd"/>
      <w:r w:rsidRPr="008A67E6">
        <w:rPr>
          <w:sz w:val="24"/>
          <w:lang w:val="bg-BG"/>
        </w:rPr>
        <w:t xml:space="preserve"> </w:t>
      </w:r>
      <w:proofErr w:type="spellStart"/>
      <w:r w:rsidRPr="008A67E6">
        <w:rPr>
          <w:sz w:val="24"/>
          <w:lang w:val="bg-BG"/>
        </w:rPr>
        <w:t>Herbicides</w:t>
      </w:r>
      <w:proofErr w:type="spellEnd"/>
      <w:r w:rsidRPr="008A67E6">
        <w:rPr>
          <w:sz w:val="24"/>
          <w:lang w:val="bg-BG"/>
        </w:rPr>
        <w:t xml:space="preserve">: </w:t>
      </w:r>
      <w:proofErr w:type="spellStart"/>
      <w:r w:rsidRPr="008A67E6">
        <w:rPr>
          <w:sz w:val="24"/>
          <w:lang w:val="bg-BG"/>
        </w:rPr>
        <w:t>Overview</w:t>
      </w:r>
      <w:proofErr w:type="spellEnd"/>
      <w:r w:rsidRPr="008A67E6">
        <w:rPr>
          <w:sz w:val="24"/>
          <w:lang w:val="bg-BG"/>
        </w:rPr>
        <w:t xml:space="preserve"> </w:t>
      </w:r>
      <w:proofErr w:type="spellStart"/>
      <w:r w:rsidRPr="008A67E6">
        <w:rPr>
          <w:sz w:val="24"/>
          <w:lang w:val="bg-BG"/>
        </w:rPr>
        <w:t>and</w:t>
      </w:r>
      <w:proofErr w:type="spellEnd"/>
      <w:r w:rsidRPr="008A67E6">
        <w:rPr>
          <w:sz w:val="24"/>
          <w:lang w:val="bg-BG"/>
        </w:rPr>
        <w:t xml:space="preserve"> </w:t>
      </w:r>
      <w:proofErr w:type="spellStart"/>
      <w:r w:rsidRPr="008A67E6">
        <w:rPr>
          <w:sz w:val="24"/>
          <w:lang w:val="bg-BG"/>
        </w:rPr>
        <w:t>Impact</w:t>
      </w:r>
      <w:proofErr w:type="spellEnd"/>
      <w:r w:rsidRPr="008A67E6">
        <w:rPr>
          <w:sz w:val="24"/>
          <w:lang w:val="bg-BG"/>
        </w:rPr>
        <w:t xml:space="preserve">“ (Устойчиви на хербициди генетично модифицирани култури, плевели и хербициди: преглед и въздействие)’, </w:t>
      </w:r>
      <w:proofErr w:type="spellStart"/>
      <w:r w:rsidRPr="008A67E6">
        <w:rPr>
          <w:sz w:val="24"/>
          <w:lang w:val="bg-BG"/>
        </w:rPr>
        <w:t>Environmental</w:t>
      </w:r>
      <w:proofErr w:type="spellEnd"/>
      <w:r w:rsidRPr="008A67E6">
        <w:rPr>
          <w:sz w:val="24"/>
          <w:lang w:val="bg-BG"/>
        </w:rPr>
        <w:t xml:space="preserve"> </w:t>
      </w:r>
      <w:proofErr w:type="spellStart"/>
      <w:r w:rsidRPr="008A67E6">
        <w:rPr>
          <w:sz w:val="24"/>
          <w:lang w:val="bg-BG"/>
        </w:rPr>
        <w:t>Management</w:t>
      </w:r>
      <w:proofErr w:type="spellEnd"/>
      <w:r w:rsidRPr="008A67E6">
        <w:rPr>
          <w:sz w:val="24"/>
          <w:lang w:val="bg-BG"/>
        </w:rPr>
        <w:t xml:space="preserve">, </w:t>
      </w:r>
      <w:proofErr w:type="spellStart"/>
      <w:r w:rsidRPr="008A67E6">
        <w:rPr>
          <w:sz w:val="24"/>
          <w:lang w:val="bg-BG"/>
        </w:rPr>
        <w:t>January</w:t>
      </w:r>
      <w:proofErr w:type="spellEnd"/>
      <w:r w:rsidRPr="008A67E6">
        <w:rPr>
          <w:sz w:val="24"/>
          <w:lang w:val="bg-BG"/>
        </w:rPr>
        <w:t xml:space="preserve"> 2016; 57(1), стр. 31 – 48, </w:t>
      </w:r>
      <w:hyperlink r:id="rId19" w:history="1">
        <w:r w:rsidRPr="008A67E6">
          <w:rPr>
            <w:rStyle w:val="Hyperlink"/>
            <w:sz w:val="24"/>
            <w:lang w:val="bg-BG"/>
          </w:rPr>
          <w:t>https://www.ncbi.nlm.nih.gov/pubmed/26296738</w:t>
        </w:r>
      </w:hyperlink>
      <w:r w:rsidRPr="008A67E6">
        <w:rPr>
          <w:sz w:val="24"/>
          <w:lang w:val="bg-BG"/>
        </w:rPr>
        <w:t xml:space="preserve">; и </w:t>
      </w:r>
      <w:proofErr w:type="spellStart"/>
      <w:r w:rsidRPr="008A67E6">
        <w:rPr>
          <w:sz w:val="24"/>
          <w:lang w:val="bg-BG"/>
        </w:rPr>
        <w:t>Benbrook</w:t>
      </w:r>
      <w:proofErr w:type="spellEnd"/>
      <w:r w:rsidRPr="008A67E6">
        <w:rPr>
          <w:sz w:val="24"/>
          <w:lang w:val="bg-BG"/>
        </w:rPr>
        <w:t>, C.M., „</w:t>
      </w:r>
      <w:proofErr w:type="spellStart"/>
      <w:r w:rsidRPr="008A67E6">
        <w:rPr>
          <w:sz w:val="24"/>
          <w:lang w:val="bg-BG"/>
        </w:rPr>
        <w:t>Impacts</w:t>
      </w:r>
      <w:proofErr w:type="spellEnd"/>
      <w:r w:rsidRPr="008A67E6">
        <w:rPr>
          <w:sz w:val="24"/>
          <w:lang w:val="bg-BG"/>
        </w:rPr>
        <w:t xml:space="preserve"> </w:t>
      </w:r>
      <w:proofErr w:type="spellStart"/>
      <w:r w:rsidRPr="008A67E6">
        <w:rPr>
          <w:sz w:val="24"/>
          <w:lang w:val="bg-BG"/>
        </w:rPr>
        <w:t>of</w:t>
      </w:r>
      <w:proofErr w:type="spellEnd"/>
      <w:r w:rsidRPr="008A67E6">
        <w:rPr>
          <w:sz w:val="24"/>
          <w:lang w:val="bg-BG"/>
        </w:rPr>
        <w:t xml:space="preserve"> </w:t>
      </w:r>
      <w:proofErr w:type="spellStart"/>
      <w:r w:rsidRPr="008A67E6">
        <w:rPr>
          <w:sz w:val="24"/>
          <w:lang w:val="bg-BG"/>
        </w:rPr>
        <w:t>genetically</w:t>
      </w:r>
      <w:proofErr w:type="spellEnd"/>
      <w:r w:rsidRPr="008A67E6">
        <w:rPr>
          <w:sz w:val="24"/>
          <w:lang w:val="bg-BG"/>
        </w:rPr>
        <w:t xml:space="preserve"> </w:t>
      </w:r>
      <w:proofErr w:type="spellStart"/>
      <w:r w:rsidRPr="008A67E6">
        <w:rPr>
          <w:sz w:val="24"/>
          <w:lang w:val="bg-BG"/>
        </w:rPr>
        <w:t>engineered</w:t>
      </w:r>
      <w:proofErr w:type="spellEnd"/>
      <w:r w:rsidRPr="008A67E6">
        <w:rPr>
          <w:sz w:val="24"/>
          <w:lang w:val="bg-BG"/>
        </w:rPr>
        <w:t xml:space="preserve"> </w:t>
      </w:r>
      <w:proofErr w:type="spellStart"/>
      <w:r w:rsidRPr="008A67E6">
        <w:rPr>
          <w:sz w:val="24"/>
          <w:lang w:val="bg-BG"/>
        </w:rPr>
        <w:t>crops</w:t>
      </w:r>
      <w:proofErr w:type="spellEnd"/>
      <w:r w:rsidRPr="008A67E6">
        <w:rPr>
          <w:sz w:val="24"/>
          <w:lang w:val="bg-BG"/>
        </w:rPr>
        <w:t xml:space="preserve"> </w:t>
      </w:r>
      <w:proofErr w:type="spellStart"/>
      <w:r w:rsidRPr="008A67E6">
        <w:rPr>
          <w:sz w:val="24"/>
          <w:lang w:val="bg-BG"/>
        </w:rPr>
        <w:t>on</w:t>
      </w:r>
      <w:proofErr w:type="spellEnd"/>
      <w:r w:rsidRPr="008A67E6">
        <w:rPr>
          <w:sz w:val="24"/>
          <w:lang w:val="bg-BG"/>
        </w:rPr>
        <w:t xml:space="preserve"> </w:t>
      </w:r>
      <w:proofErr w:type="spellStart"/>
      <w:r w:rsidRPr="008A67E6">
        <w:rPr>
          <w:sz w:val="24"/>
          <w:lang w:val="bg-BG"/>
        </w:rPr>
        <w:t>pesticide</w:t>
      </w:r>
      <w:proofErr w:type="spellEnd"/>
      <w:r w:rsidRPr="008A67E6">
        <w:rPr>
          <w:sz w:val="24"/>
          <w:lang w:val="bg-BG"/>
        </w:rPr>
        <w:t xml:space="preserve"> </w:t>
      </w:r>
      <w:proofErr w:type="spellStart"/>
      <w:r w:rsidRPr="008A67E6">
        <w:rPr>
          <w:sz w:val="24"/>
          <w:lang w:val="bg-BG"/>
        </w:rPr>
        <w:t>use</w:t>
      </w:r>
      <w:proofErr w:type="spellEnd"/>
      <w:r w:rsidRPr="008A67E6">
        <w:rPr>
          <w:sz w:val="24"/>
          <w:lang w:val="bg-BG"/>
        </w:rPr>
        <w:t xml:space="preserve"> </w:t>
      </w:r>
      <w:proofErr w:type="spellStart"/>
      <w:r w:rsidRPr="008A67E6">
        <w:rPr>
          <w:sz w:val="24"/>
          <w:lang w:val="bg-BG"/>
        </w:rPr>
        <w:t>in</w:t>
      </w:r>
      <w:proofErr w:type="spellEnd"/>
      <w:r w:rsidRPr="008A67E6">
        <w:rPr>
          <w:sz w:val="24"/>
          <w:lang w:val="bg-BG"/>
        </w:rPr>
        <w:t xml:space="preserve"> </w:t>
      </w:r>
      <w:proofErr w:type="spellStart"/>
      <w:r w:rsidRPr="008A67E6">
        <w:rPr>
          <w:sz w:val="24"/>
          <w:lang w:val="bg-BG"/>
        </w:rPr>
        <w:t>the</w:t>
      </w:r>
      <w:proofErr w:type="spellEnd"/>
      <w:r w:rsidRPr="008A67E6">
        <w:rPr>
          <w:sz w:val="24"/>
          <w:lang w:val="bg-BG"/>
        </w:rPr>
        <w:t xml:space="preserve"> U.S. – </w:t>
      </w:r>
      <w:proofErr w:type="spellStart"/>
      <w:r w:rsidRPr="008A67E6">
        <w:rPr>
          <w:sz w:val="24"/>
          <w:lang w:val="bg-BG"/>
        </w:rPr>
        <w:t>the</w:t>
      </w:r>
      <w:proofErr w:type="spellEnd"/>
      <w:r w:rsidRPr="008A67E6">
        <w:rPr>
          <w:sz w:val="24"/>
          <w:lang w:val="bg-BG"/>
        </w:rPr>
        <w:t xml:space="preserve"> </w:t>
      </w:r>
      <w:proofErr w:type="spellStart"/>
      <w:r w:rsidRPr="008A67E6">
        <w:rPr>
          <w:sz w:val="24"/>
          <w:lang w:val="bg-BG"/>
        </w:rPr>
        <w:t>first</w:t>
      </w:r>
      <w:proofErr w:type="spellEnd"/>
      <w:r w:rsidRPr="008A67E6">
        <w:rPr>
          <w:sz w:val="24"/>
          <w:lang w:val="bg-BG"/>
        </w:rPr>
        <w:t xml:space="preserve"> </w:t>
      </w:r>
      <w:proofErr w:type="spellStart"/>
      <w:r w:rsidRPr="008A67E6">
        <w:rPr>
          <w:sz w:val="24"/>
          <w:lang w:val="bg-BG"/>
        </w:rPr>
        <w:t>sixteen</w:t>
      </w:r>
      <w:proofErr w:type="spellEnd"/>
      <w:r w:rsidRPr="008A67E6">
        <w:rPr>
          <w:sz w:val="24"/>
          <w:lang w:val="bg-BG"/>
        </w:rPr>
        <w:t xml:space="preserve"> </w:t>
      </w:r>
      <w:proofErr w:type="spellStart"/>
      <w:r w:rsidRPr="008A67E6">
        <w:rPr>
          <w:sz w:val="24"/>
          <w:lang w:val="bg-BG"/>
        </w:rPr>
        <w:t>years</w:t>
      </w:r>
      <w:proofErr w:type="spellEnd"/>
      <w:r w:rsidRPr="008A67E6">
        <w:rPr>
          <w:sz w:val="24"/>
          <w:lang w:val="bg-BG"/>
        </w:rPr>
        <w:t xml:space="preserve">“ (Въздействие на генетично създадени култури върху използването на пестициди в САЩ – първите шестнадесет години), </w:t>
      </w:r>
      <w:proofErr w:type="spellStart"/>
      <w:r w:rsidRPr="008A67E6">
        <w:rPr>
          <w:sz w:val="24"/>
          <w:lang w:val="bg-BG"/>
        </w:rPr>
        <w:t>Environmental</w:t>
      </w:r>
      <w:proofErr w:type="spellEnd"/>
      <w:r w:rsidRPr="008A67E6">
        <w:rPr>
          <w:sz w:val="24"/>
          <w:lang w:val="bg-BG"/>
        </w:rPr>
        <w:t xml:space="preserve"> </w:t>
      </w:r>
      <w:proofErr w:type="spellStart"/>
      <w:r w:rsidRPr="008A67E6">
        <w:rPr>
          <w:sz w:val="24"/>
          <w:lang w:val="bg-BG"/>
        </w:rPr>
        <w:t>Sciences</w:t>
      </w:r>
      <w:proofErr w:type="spellEnd"/>
      <w:r w:rsidRPr="008A67E6">
        <w:rPr>
          <w:sz w:val="24"/>
          <w:lang w:val="bg-BG"/>
        </w:rPr>
        <w:t xml:space="preserve"> </w:t>
      </w:r>
      <w:proofErr w:type="spellStart"/>
      <w:r w:rsidRPr="008A67E6">
        <w:rPr>
          <w:sz w:val="24"/>
          <w:lang w:val="bg-BG"/>
        </w:rPr>
        <w:t>Europe</w:t>
      </w:r>
      <w:proofErr w:type="spellEnd"/>
      <w:r w:rsidRPr="008A67E6">
        <w:rPr>
          <w:sz w:val="24"/>
          <w:lang w:val="bg-BG"/>
        </w:rPr>
        <w:t xml:space="preserve">, 28 септември 2012 г., 24(24), </w:t>
      </w:r>
      <w:hyperlink r:id="rId20" w:history="1">
        <w:r w:rsidRPr="008A67E6">
          <w:rPr>
            <w:rStyle w:val="Hyperlink"/>
            <w:sz w:val="24"/>
            <w:lang w:val="bg-BG"/>
          </w:rPr>
          <w:t>https://doi.org/10.1186/2190-4715-24-24</w:t>
        </w:r>
      </w:hyperlink>
      <w:r w:rsidRPr="008A67E6">
        <w:rPr>
          <w:sz w:val="24"/>
          <w:lang w:val="bg-BG"/>
        </w:rPr>
        <w:t>.</w:t>
      </w:r>
    </w:p>
  </w:footnote>
  <w:footnote w:id="11">
    <w:p w14:paraId="0D0A2079" w14:textId="6C978D09"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За преглед, вж. </w:t>
      </w:r>
      <w:proofErr w:type="spellStart"/>
      <w:r w:rsidRPr="008A67E6">
        <w:rPr>
          <w:sz w:val="24"/>
          <w:lang w:val="bg-BG"/>
        </w:rPr>
        <w:t>Rubio-Infante</w:t>
      </w:r>
      <w:proofErr w:type="spellEnd"/>
      <w:r w:rsidRPr="008A67E6">
        <w:rPr>
          <w:sz w:val="24"/>
          <w:lang w:val="bg-BG"/>
        </w:rPr>
        <w:t xml:space="preserve">, N., </w:t>
      </w:r>
      <w:proofErr w:type="spellStart"/>
      <w:r w:rsidRPr="008A67E6">
        <w:rPr>
          <w:sz w:val="24"/>
          <w:lang w:val="bg-BG"/>
        </w:rPr>
        <w:t>Moreno-Fierros</w:t>
      </w:r>
      <w:proofErr w:type="spellEnd"/>
      <w:r w:rsidRPr="008A67E6">
        <w:rPr>
          <w:sz w:val="24"/>
          <w:lang w:val="bg-BG"/>
        </w:rPr>
        <w:t>, L., „</w:t>
      </w:r>
      <w:proofErr w:type="spellStart"/>
      <w:r w:rsidRPr="008A67E6">
        <w:rPr>
          <w:sz w:val="24"/>
          <w:lang w:val="bg-BG"/>
        </w:rPr>
        <w:t>An</w:t>
      </w:r>
      <w:proofErr w:type="spellEnd"/>
      <w:r w:rsidRPr="008A67E6">
        <w:rPr>
          <w:sz w:val="24"/>
          <w:lang w:val="bg-BG"/>
        </w:rPr>
        <w:t xml:space="preserve"> </w:t>
      </w:r>
      <w:proofErr w:type="spellStart"/>
      <w:r w:rsidRPr="008A67E6">
        <w:rPr>
          <w:sz w:val="24"/>
          <w:lang w:val="bg-BG"/>
        </w:rPr>
        <w:t>overview</w:t>
      </w:r>
      <w:proofErr w:type="spellEnd"/>
      <w:r w:rsidRPr="008A67E6">
        <w:rPr>
          <w:sz w:val="24"/>
          <w:lang w:val="bg-BG"/>
        </w:rPr>
        <w:t xml:space="preserve"> </w:t>
      </w:r>
      <w:proofErr w:type="spellStart"/>
      <w:r w:rsidRPr="008A67E6">
        <w:rPr>
          <w:sz w:val="24"/>
          <w:lang w:val="bg-BG"/>
        </w:rPr>
        <w:t>of</w:t>
      </w:r>
      <w:proofErr w:type="spellEnd"/>
      <w:r w:rsidRPr="008A67E6">
        <w:rPr>
          <w:sz w:val="24"/>
          <w:lang w:val="bg-BG"/>
        </w:rPr>
        <w:t xml:space="preserve"> </w:t>
      </w:r>
      <w:proofErr w:type="spellStart"/>
      <w:r w:rsidRPr="008A67E6">
        <w:rPr>
          <w:sz w:val="24"/>
          <w:lang w:val="bg-BG"/>
        </w:rPr>
        <w:t>the</w:t>
      </w:r>
      <w:proofErr w:type="spellEnd"/>
      <w:r w:rsidRPr="008A67E6">
        <w:rPr>
          <w:sz w:val="24"/>
          <w:lang w:val="bg-BG"/>
        </w:rPr>
        <w:t xml:space="preserve"> </w:t>
      </w:r>
      <w:proofErr w:type="spellStart"/>
      <w:r w:rsidRPr="008A67E6">
        <w:rPr>
          <w:sz w:val="24"/>
          <w:lang w:val="bg-BG"/>
        </w:rPr>
        <w:t>safety</w:t>
      </w:r>
      <w:proofErr w:type="spellEnd"/>
      <w:r w:rsidRPr="008A67E6">
        <w:rPr>
          <w:sz w:val="24"/>
          <w:lang w:val="bg-BG"/>
        </w:rPr>
        <w:t xml:space="preserve"> </w:t>
      </w:r>
      <w:proofErr w:type="spellStart"/>
      <w:r w:rsidRPr="008A67E6">
        <w:rPr>
          <w:sz w:val="24"/>
          <w:lang w:val="bg-BG"/>
        </w:rPr>
        <w:t>and</w:t>
      </w:r>
      <w:proofErr w:type="spellEnd"/>
      <w:r w:rsidRPr="008A67E6">
        <w:rPr>
          <w:sz w:val="24"/>
          <w:lang w:val="bg-BG"/>
        </w:rPr>
        <w:t xml:space="preserve"> </w:t>
      </w:r>
      <w:proofErr w:type="spellStart"/>
      <w:r w:rsidRPr="008A67E6">
        <w:rPr>
          <w:sz w:val="24"/>
          <w:lang w:val="bg-BG"/>
        </w:rPr>
        <w:t>biological</w:t>
      </w:r>
      <w:proofErr w:type="spellEnd"/>
      <w:r w:rsidRPr="008A67E6">
        <w:rPr>
          <w:sz w:val="24"/>
          <w:lang w:val="bg-BG"/>
        </w:rPr>
        <w:t xml:space="preserve"> </w:t>
      </w:r>
      <w:proofErr w:type="spellStart"/>
      <w:r w:rsidRPr="008A67E6">
        <w:rPr>
          <w:sz w:val="24"/>
          <w:lang w:val="bg-BG"/>
        </w:rPr>
        <w:t>effects</w:t>
      </w:r>
      <w:proofErr w:type="spellEnd"/>
      <w:r w:rsidRPr="008A67E6">
        <w:rPr>
          <w:sz w:val="24"/>
          <w:lang w:val="bg-BG"/>
        </w:rPr>
        <w:t xml:space="preserve"> </w:t>
      </w:r>
      <w:proofErr w:type="spellStart"/>
      <w:r w:rsidRPr="008A67E6">
        <w:rPr>
          <w:sz w:val="24"/>
          <w:lang w:val="bg-BG"/>
        </w:rPr>
        <w:t>of</w:t>
      </w:r>
      <w:proofErr w:type="spellEnd"/>
      <w:r w:rsidRPr="008A67E6">
        <w:rPr>
          <w:sz w:val="24"/>
          <w:lang w:val="bg-BG"/>
        </w:rPr>
        <w:t xml:space="preserve"> </w:t>
      </w:r>
      <w:proofErr w:type="spellStart"/>
      <w:r w:rsidRPr="008A67E6">
        <w:rPr>
          <w:i/>
          <w:sz w:val="24"/>
          <w:lang w:val="bg-BG"/>
        </w:rPr>
        <w:t>Bacillus</w:t>
      </w:r>
      <w:proofErr w:type="spellEnd"/>
      <w:r w:rsidRPr="008A67E6">
        <w:rPr>
          <w:i/>
          <w:sz w:val="24"/>
          <w:lang w:val="bg-BG"/>
        </w:rPr>
        <w:t xml:space="preserve"> </w:t>
      </w:r>
      <w:proofErr w:type="spellStart"/>
      <w:r w:rsidRPr="008A67E6">
        <w:rPr>
          <w:i/>
          <w:sz w:val="24"/>
          <w:lang w:val="bg-BG"/>
        </w:rPr>
        <w:t>thuringiensis</w:t>
      </w:r>
      <w:proofErr w:type="spellEnd"/>
      <w:r w:rsidRPr="008A67E6">
        <w:rPr>
          <w:sz w:val="24"/>
          <w:lang w:val="bg-BG"/>
        </w:rPr>
        <w:t xml:space="preserve"> </w:t>
      </w:r>
      <w:proofErr w:type="spellStart"/>
      <w:r w:rsidRPr="008A67E6">
        <w:rPr>
          <w:sz w:val="24"/>
          <w:lang w:val="bg-BG"/>
        </w:rPr>
        <w:t>Cry</w:t>
      </w:r>
      <w:proofErr w:type="spellEnd"/>
      <w:r w:rsidRPr="008A67E6">
        <w:rPr>
          <w:sz w:val="24"/>
          <w:lang w:val="bg-BG"/>
        </w:rPr>
        <w:t xml:space="preserve"> </w:t>
      </w:r>
      <w:proofErr w:type="spellStart"/>
      <w:r w:rsidRPr="008A67E6">
        <w:rPr>
          <w:sz w:val="24"/>
          <w:lang w:val="bg-BG"/>
        </w:rPr>
        <w:t>toxins</w:t>
      </w:r>
      <w:proofErr w:type="spellEnd"/>
      <w:r w:rsidRPr="008A67E6">
        <w:rPr>
          <w:sz w:val="24"/>
          <w:lang w:val="bg-BG"/>
        </w:rPr>
        <w:t xml:space="preserve"> </w:t>
      </w:r>
      <w:proofErr w:type="spellStart"/>
      <w:r w:rsidRPr="008A67E6">
        <w:rPr>
          <w:sz w:val="24"/>
          <w:lang w:val="bg-BG"/>
        </w:rPr>
        <w:t>in</w:t>
      </w:r>
      <w:proofErr w:type="spellEnd"/>
      <w:r w:rsidRPr="008A67E6">
        <w:rPr>
          <w:sz w:val="24"/>
          <w:lang w:val="bg-BG"/>
        </w:rPr>
        <w:t xml:space="preserve"> </w:t>
      </w:r>
      <w:proofErr w:type="spellStart"/>
      <w:r w:rsidRPr="008A67E6">
        <w:rPr>
          <w:sz w:val="24"/>
          <w:lang w:val="bg-BG"/>
        </w:rPr>
        <w:t>mammals</w:t>
      </w:r>
      <w:proofErr w:type="spellEnd"/>
      <w:r w:rsidRPr="008A67E6">
        <w:rPr>
          <w:sz w:val="24"/>
          <w:lang w:val="bg-BG"/>
        </w:rPr>
        <w:t xml:space="preserve">“ (Преглед на безопасността и биологичните ефекти на </w:t>
      </w:r>
      <w:proofErr w:type="spellStart"/>
      <w:r w:rsidRPr="008A67E6">
        <w:rPr>
          <w:sz w:val="24"/>
          <w:lang w:val="bg-BG"/>
        </w:rPr>
        <w:t>Cry</w:t>
      </w:r>
      <w:proofErr w:type="spellEnd"/>
      <w:r w:rsidRPr="008A67E6">
        <w:rPr>
          <w:sz w:val="24"/>
          <w:lang w:val="bg-BG"/>
        </w:rPr>
        <w:t xml:space="preserve"> токсините от </w:t>
      </w:r>
      <w:proofErr w:type="spellStart"/>
      <w:r w:rsidRPr="008A67E6">
        <w:rPr>
          <w:sz w:val="24"/>
          <w:lang w:val="bg-BG"/>
        </w:rPr>
        <w:t>Bacillus</w:t>
      </w:r>
      <w:proofErr w:type="spellEnd"/>
      <w:r w:rsidRPr="008A67E6">
        <w:rPr>
          <w:sz w:val="24"/>
          <w:lang w:val="bg-BG"/>
        </w:rPr>
        <w:t xml:space="preserve"> </w:t>
      </w:r>
      <w:proofErr w:type="spellStart"/>
      <w:r w:rsidRPr="008A67E6">
        <w:rPr>
          <w:sz w:val="24"/>
          <w:lang w:val="bg-BG"/>
        </w:rPr>
        <w:t>thuringiensis</w:t>
      </w:r>
      <w:proofErr w:type="spellEnd"/>
      <w:r w:rsidRPr="008A67E6">
        <w:rPr>
          <w:sz w:val="24"/>
          <w:lang w:val="bg-BG"/>
        </w:rPr>
        <w:t xml:space="preserve"> при бозайниците), „</w:t>
      </w:r>
      <w:proofErr w:type="spellStart"/>
      <w:r w:rsidRPr="008A67E6">
        <w:rPr>
          <w:sz w:val="24"/>
          <w:lang w:val="bg-BG"/>
        </w:rPr>
        <w:t>Journal</w:t>
      </w:r>
      <w:proofErr w:type="spellEnd"/>
      <w:r w:rsidRPr="008A67E6">
        <w:rPr>
          <w:sz w:val="24"/>
          <w:lang w:val="bg-BG"/>
        </w:rPr>
        <w:t xml:space="preserve"> </w:t>
      </w:r>
      <w:proofErr w:type="spellStart"/>
      <w:r w:rsidRPr="008A67E6">
        <w:rPr>
          <w:sz w:val="24"/>
          <w:lang w:val="bg-BG"/>
        </w:rPr>
        <w:t>of</w:t>
      </w:r>
      <w:proofErr w:type="spellEnd"/>
      <w:r w:rsidRPr="008A67E6">
        <w:rPr>
          <w:sz w:val="24"/>
          <w:lang w:val="bg-BG"/>
        </w:rPr>
        <w:t xml:space="preserve"> </w:t>
      </w:r>
      <w:proofErr w:type="spellStart"/>
      <w:r w:rsidRPr="008A67E6">
        <w:rPr>
          <w:sz w:val="24"/>
          <w:lang w:val="bg-BG"/>
        </w:rPr>
        <w:t>Applied</w:t>
      </w:r>
      <w:proofErr w:type="spellEnd"/>
      <w:r w:rsidRPr="008A67E6">
        <w:rPr>
          <w:sz w:val="24"/>
          <w:lang w:val="bg-BG"/>
        </w:rPr>
        <w:t xml:space="preserve"> </w:t>
      </w:r>
      <w:proofErr w:type="spellStart"/>
      <w:r w:rsidRPr="008A67E6">
        <w:rPr>
          <w:sz w:val="24"/>
          <w:lang w:val="bg-BG"/>
        </w:rPr>
        <w:t>Toxicology</w:t>
      </w:r>
      <w:proofErr w:type="spellEnd"/>
      <w:r w:rsidRPr="008A67E6">
        <w:rPr>
          <w:sz w:val="24"/>
          <w:lang w:val="bg-BG"/>
        </w:rPr>
        <w:t xml:space="preserve">“, май 2016 г., 36(5), стр. 630 – 648, </w:t>
      </w:r>
      <w:hyperlink r:id="rId21" w:history="1">
        <w:r w:rsidRPr="008A67E6">
          <w:rPr>
            <w:rStyle w:val="Hyperlink"/>
            <w:sz w:val="24"/>
            <w:lang w:val="bg-BG"/>
          </w:rPr>
          <w:t>https://onlinelibrary.wiley.com/doi/full/10.1002/jat.3252</w:t>
        </w:r>
      </w:hyperlink>
      <w:r w:rsidRPr="008A67E6">
        <w:rPr>
          <w:sz w:val="24"/>
          <w:lang w:val="bg-BG"/>
        </w:rPr>
        <w:t>.</w:t>
      </w:r>
    </w:p>
  </w:footnote>
  <w:footnote w:id="12">
    <w:p w14:paraId="588C6E63" w14:textId="64B6F659"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proofErr w:type="spellStart"/>
      <w:r w:rsidRPr="008A67E6">
        <w:rPr>
          <w:sz w:val="24"/>
          <w:lang w:val="bg-BG"/>
        </w:rPr>
        <w:t>Bøhn</w:t>
      </w:r>
      <w:proofErr w:type="spellEnd"/>
      <w:r w:rsidRPr="008A67E6">
        <w:rPr>
          <w:sz w:val="24"/>
          <w:lang w:val="bg-BG"/>
        </w:rPr>
        <w:t xml:space="preserve">, T., </w:t>
      </w:r>
      <w:proofErr w:type="spellStart"/>
      <w:r w:rsidRPr="008A67E6">
        <w:rPr>
          <w:sz w:val="24"/>
          <w:lang w:val="bg-BG"/>
        </w:rPr>
        <w:t>Macagnan</w:t>
      </w:r>
      <w:proofErr w:type="spellEnd"/>
      <w:r w:rsidRPr="008A67E6">
        <w:rPr>
          <w:sz w:val="24"/>
          <w:lang w:val="bg-BG"/>
        </w:rPr>
        <w:t xml:space="preserve"> </w:t>
      </w:r>
      <w:proofErr w:type="spellStart"/>
      <w:r w:rsidRPr="008A67E6">
        <w:rPr>
          <w:sz w:val="24"/>
          <w:lang w:val="bg-BG"/>
        </w:rPr>
        <w:t>Rover</w:t>
      </w:r>
      <w:proofErr w:type="spellEnd"/>
      <w:r w:rsidRPr="008A67E6">
        <w:rPr>
          <w:sz w:val="24"/>
          <w:lang w:val="bg-BG"/>
        </w:rPr>
        <w:t xml:space="preserve">, C., </w:t>
      </w:r>
      <w:proofErr w:type="spellStart"/>
      <w:r w:rsidRPr="008A67E6">
        <w:rPr>
          <w:sz w:val="24"/>
          <w:lang w:val="bg-BG"/>
        </w:rPr>
        <w:t>Semenchuk</w:t>
      </w:r>
      <w:proofErr w:type="spellEnd"/>
      <w:r w:rsidRPr="008A67E6">
        <w:rPr>
          <w:sz w:val="24"/>
          <w:lang w:val="bg-BG"/>
        </w:rPr>
        <w:t>, P. R., „</w:t>
      </w:r>
      <w:proofErr w:type="spellStart"/>
      <w:r w:rsidRPr="008A67E6">
        <w:rPr>
          <w:i/>
          <w:sz w:val="24"/>
          <w:lang w:val="bg-BG"/>
        </w:rPr>
        <w:t>Daphnia</w:t>
      </w:r>
      <w:proofErr w:type="spellEnd"/>
      <w:r w:rsidRPr="008A67E6">
        <w:rPr>
          <w:i/>
          <w:sz w:val="24"/>
          <w:lang w:val="bg-BG"/>
        </w:rPr>
        <w:t xml:space="preserve"> </w:t>
      </w:r>
      <w:proofErr w:type="spellStart"/>
      <w:r w:rsidRPr="008A67E6">
        <w:rPr>
          <w:i/>
          <w:sz w:val="24"/>
          <w:lang w:val="bg-BG"/>
        </w:rPr>
        <w:t>magna</w:t>
      </w:r>
      <w:proofErr w:type="spellEnd"/>
      <w:r w:rsidRPr="008A67E6">
        <w:rPr>
          <w:sz w:val="24"/>
          <w:lang w:val="bg-BG"/>
        </w:rPr>
        <w:t xml:space="preserve"> </w:t>
      </w:r>
      <w:proofErr w:type="spellStart"/>
      <w:r w:rsidRPr="008A67E6">
        <w:rPr>
          <w:sz w:val="24"/>
          <w:lang w:val="bg-BG"/>
        </w:rPr>
        <w:t>negatively</w:t>
      </w:r>
      <w:proofErr w:type="spellEnd"/>
      <w:r w:rsidRPr="008A67E6">
        <w:rPr>
          <w:sz w:val="24"/>
          <w:lang w:val="bg-BG"/>
        </w:rPr>
        <w:t xml:space="preserve"> </w:t>
      </w:r>
      <w:proofErr w:type="spellStart"/>
      <w:r w:rsidRPr="008A67E6">
        <w:rPr>
          <w:sz w:val="24"/>
          <w:lang w:val="bg-BG"/>
        </w:rPr>
        <w:t>affected</w:t>
      </w:r>
      <w:proofErr w:type="spellEnd"/>
      <w:r w:rsidRPr="008A67E6">
        <w:rPr>
          <w:sz w:val="24"/>
          <w:lang w:val="bg-BG"/>
        </w:rPr>
        <w:t xml:space="preserve"> </w:t>
      </w:r>
      <w:proofErr w:type="spellStart"/>
      <w:r w:rsidRPr="008A67E6">
        <w:rPr>
          <w:sz w:val="24"/>
          <w:lang w:val="bg-BG"/>
        </w:rPr>
        <w:t>by</w:t>
      </w:r>
      <w:proofErr w:type="spellEnd"/>
      <w:r w:rsidRPr="008A67E6">
        <w:rPr>
          <w:sz w:val="24"/>
          <w:lang w:val="bg-BG"/>
        </w:rPr>
        <w:t xml:space="preserve"> </w:t>
      </w:r>
      <w:proofErr w:type="spellStart"/>
      <w:r w:rsidRPr="008A67E6">
        <w:rPr>
          <w:sz w:val="24"/>
          <w:lang w:val="bg-BG"/>
        </w:rPr>
        <w:t>chronic</w:t>
      </w:r>
      <w:proofErr w:type="spellEnd"/>
      <w:r w:rsidRPr="008A67E6">
        <w:rPr>
          <w:sz w:val="24"/>
          <w:lang w:val="bg-BG"/>
        </w:rPr>
        <w:t xml:space="preserve"> </w:t>
      </w:r>
      <w:proofErr w:type="spellStart"/>
      <w:r w:rsidRPr="008A67E6">
        <w:rPr>
          <w:sz w:val="24"/>
          <w:lang w:val="bg-BG"/>
        </w:rPr>
        <w:t>exposure</w:t>
      </w:r>
      <w:proofErr w:type="spellEnd"/>
      <w:r w:rsidRPr="008A67E6">
        <w:rPr>
          <w:sz w:val="24"/>
          <w:lang w:val="bg-BG"/>
        </w:rPr>
        <w:t xml:space="preserve"> </w:t>
      </w:r>
      <w:proofErr w:type="spellStart"/>
      <w:r w:rsidRPr="008A67E6">
        <w:rPr>
          <w:sz w:val="24"/>
          <w:lang w:val="bg-BG"/>
        </w:rPr>
        <w:t>to</w:t>
      </w:r>
      <w:proofErr w:type="spellEnd"/>
      <w:r w:rsidRPr="008A67E6">
        <w:rPr>
          <w:sz w:val="24"/>
          <w:lang w:val="bg-BG"/>
        </w:rPr>
        <w:t xml:space="preserve"> </w:t>
      </w:r>
      <w:proofErr w:type="spellStart"/>
      <w:r w:rsidRPr="008A67E6">
        <w:rPr>
          <w:sz w:val="24"/>
          <w:lang w:val="bg-BG"/>
        </w:rPr>
        <w:t>purified</w:t>
      </w:r>
      <w:proofErr w:type="spellEnd"/>
      <w:r w:rsidRPr="008A67E6">
        <w:rPr>
          <w:sz w:val="24"/>
          <w:lang w:val="bg-BG"/>
        </w:rPr>
        <w:t xml:space="preserve"> </w:t>
      </w:r>
      <w:proofErr w:type="spellStart"/>
      <w:r w:rsidRPr="008A67E6">
        <w:rPr>
          <w:sz w:val="24"/>
          <w:lang w:val="bg-BG"/>
        </w:rPr>
        <w:t>Cry-toxins</w:t>
      </w:r>
      <w:proofErr w:type="spellEnd"/>
      <w:r w:rsidRPr="008A67E6">
        <w:rPr>
          <w:sz w:val="24"/>
          <w:lang w:val="bg-BG"/>
        </w:rPr>
        <w:t xml:space="preserve">’ (Неблагоприятни последици за голямата </w:t>
      </w:r>
      <w:proofErr w:type="spellStart"/>
      <w:r w:rsidRPr="008A67E6">
        <w:rPr>
          <w:sz w:val="24"/>
          <w:lang w:val="bg-BG"/>
        </w:rPr>
        <w:t>дафния</w:t>
      </w:r>
      <w:proofErr w:type="spellEnd"/>
      <w:r w:rsidRPr="008A67E6">
        <w:rPr>
          <w:sz w:val="24"/>
          <w:lang w:val="bg-BG"/>
        </w:rPr>
        <w:t xml:space="preserve"> (</w:t>
      </w:r>
      <w:proofErr w:type="spellStart"/>
      <w:r w:rsidRPr="008A67E6">
        <w:rPr>
          <w:sz w:val="24"/>
          <w:lang w:val="bg-BG"/>
        </w:rPr>
        <w:t>Daphnia</w:t>
      </w:r>
      <w:proofErr w:type="spellEnd"/>
      <w:r w:rsidRPr="008A67E6">
        <w:rPr>
          <w:sz w:val="24"/>
          <w:lang w:val="bg-BG"/>
        </w:rPr>
        <w:t xml:space="preserve"> </w:t>
      </w:r>
      <w:proofErr w:type="spellStart"/>
      <w:r w:rsidRPr="008A67E6">
        <w:rPr>
          <w:sz w:val="24"/>
          <w:lang w:val="bg-BG"/>
        </w:rPr>
        <w:t>magna</w:t>
      </w:r>
      <w:proofErr w:type="spellEnd"/>
      <w:r w:rsidRPr="008A67E6">
        <w:rPr>
          <w:sz w:val="24"/>
          <w:lang w:val="bg-BG"/>
        </w:rPr>
        <w:t xml:space="preserve">), вследствие на хронично излагане </w:t>
      </w:r>
      <w:proofErr w:type="spellStart"/>
      <w:r w:rsidRPr="008A67E6">
        <w:rPr>
          <w:sz w:val="24"/>
          <w:lang w:val="bg-BG"/>
        </w:rPr>
        <w:t>напречистени</w:t>
      </w:r>
      <w:proofErr w:type="spellEnd"/>
      <w:r w:rsidRPr="008A67E6">
        <w:rPr>
          <w:sz w:val="24"/>
          <w:lang w:val="bg-BG"/>
        </w:rPr>
        <w:t xml:space="preserve"> </w:t>
      </w:r>
      <w:proofErr w:type="spellStart"/>
      <w:r w:rsidRPr="008A67E6">
        <w:rPr>
          <w:sz w:val="24"/>
          <w:lang w:val="bg-BG"/>
        </w:rPr>
        <w:t>Cry</w:t>
      </w:r>
      <w:proofErr w:type="spellEnd"/>
      <w:r w:rsidRPr="008A67E6">
        <w:rPr>
          <w:sz w:val="24"/>
          <w:lang w:val="bg-BG"/>
        </w:rPr>
        <w:t xml:space="preserve"> токсини), Food </w:t>
      </w:r>
      <w:proofErr w:type="spellStart"/>
      <w:r w:rsidRPr="008A67E6">
        <w:rPr>
          <w:sz w:val="24"/>
          <w:lang w:val="bg-BG"/>
        </w:rPr>
        <w:t>and</w:t>
      </w:r>
      <w:proofErr w:type="spellEnd"/>
      <w:r w:rsidRPr="008A67E6">
        <w:rPr>
          <w:sz w:val="24"/>
          <w:lang w:val="bg-BG"/>
        </w:rPr>
        <w:t xml:space="preserve"> Chemical </w:t>
      </w:r>
      <w:proofErr w:type="spellStart"/>
      <w:r w:rsidRPr="008A67E6">
        <w:rPr>
          <w:sz w:val="24"/>
          <w:lang w:val="bg-BG"/>
        </w:rPr>
        <w:t>Toxicology</w:t>
      </w:r>
      <w:proofErr w:type="spellEnd"/>
      <w:r w:rsidRPr="008A67E6">
        <w:rPr>
          <w:sz w:val="24"/>
          <w:lang w:val="bg-BG"/>
        </w:rPr>
        <w:t xml:space="preserve">, </w:t>
      </w:r>
      <w:proofErr w:type="spellStart"/>
      <w:r w:rsidRPr="008A67E6">
        <w:rPr>
          <w:sz w:val="24"/>
          <w:lang w:val="bg-BG"/>
        </w:rPr>
        <w:t>May</w:t>
      </w:r>
      <w:proofErr w:type="spellEnd"/>
      <w:r w:rsidRPr="008A67E6">
        <w:rPr>
          <w:sz w:val="24"/>
          <w:lang w:val="bg-BG"/>
        </w:rPr>
        <w:t xml:space="preserve"> 2016, </w:t>
      </w:r>
      <w:proofErr w:type="spellStart"/>
      <w:r w:rsidRPr="008A67E6">
        <w:rPr>
          <w:sz w:val="24"/>
          <w:lang w:val="bg-BG"/>
        </w:rPr>
        <w:t>Volume</w:t>
      </w:r>
      <w:proofErr w:type="spellEnd"/>
      <w:r w:rsidRPr="008A67E6">
        <w:rPr>
          <w:sz w:val="24"/>
          <w:lang w:val="bg-BG"/>
        </w:rPr>
        <w:t xml:space="preserve"> 91, стр. 130 – 140, </w:t>
      </w:r>
      <w:hyperlink r:id="rId22" w:history="1">
        <w:r w:rsidRPr="008A67E6">
          <w:rPr>
            <w:rStyle w:val="Hyperlink"/>
            <w:sz w:val="24"/>
            <w:lang w:val="bg-BG"/>
          </w:rPr>
          <w:t>https://doi.org/10.1016/j.fct.2016.03.009</w:t>
        </w:r>
      </w:hyperlink>
      <w:r w:rsidRPr="008A67E6">
        <w:rPr>
          <w:sz w:val="24"/>
          <w:lang w:val="bg-BG"/>
        </w:rPr>
        <w:t>.</w:t>
      </w:r>
    </w:p>
  </w:footnote>
  <w:footnote w:id="13">
    <w:p w14:paraId="1E73C128" w14:textId="0940D10C"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proofErr w:type="spellStart"/>
      <w:r w:rsidRPr="008A67E6">
        <w:rPr>
          <w:sz w:val="24"/>
          <w:lang w:val="bg-BG"/>
        </w:rPr>
        <w:t>Trtikova</w:t>
      </w:r>
      <w:proofErr w:type="spellEnd"/>
      <w:r w:rsidRPr="008A67E6">
        <w:rPr>
          <w:sz w:val="24"/>
          <w:lang w:val="bg-BG"/>
        </w:rPr>
        <w:t xml:space="preserve">, M., </w:t>
      </w:r>
      <w:proofErr w:type="spellStart"/>
      <w:r w:rsidRPr="008A67E6">
        <w:rPr>
          <w:sz w:val="24"/>
          <w:lang w:val="bg-BG"/>
        </w:rPr>
        <w:t>Lohn</w:t>
      </w:r>
      <w:proofErr w:type="spellEnd"/>
      <w:r w:rsidRPr="008A67E6">
        <w:rPr>
          <w:sz w:val="24"/>
          <w:lang w:val="bg-BG"/>
        </w:rPr>
        <w:t xml:space="preserve">, A., </w:t>
      </w:r>
      <w:proofErr w:type="spellStart"/>
      <w:r w:rsidRPr="008A67E6">
        <w:rPr>
          <w:sz w:val="24"/>
          <w:lang w:val="bg-BG"/>
        </w:rPr>
        <w:t>Binimelis</w:t>
      </w:r>
      <w:proofErr w:type="spellEnd"/>
      <w:r w:rsidRPr="008A67E6">
        <w:rPr>
          <w:sz w:val="24"/>
          <w:lang w:val="bg-BG"/>
        </w:rPr>
        <w:t xml:space="preserve">, R., </w:t>
      </w:r>
      <w:proofErr w:type="spellStart"/>
      <w:r w:rsidRPr="008A67E6">
        <w:rPr>
          <w:sz w:val="24"/>
          <w:lang w:val="bg-BG"/>
        </w:rPr>
        <w:t>Chapela</w:t>
      </w:r>
      <w:proofErr w:type="spellEnd"/>
      <w:r w:rsidRPr="008A67E6">
        <w:rPr>
          <w:sz w:val="24"/>
          <w:lang w:val="bg-BG"/>
        </w:rPr>
        <w:t xml:space="preserve">, I., </w:t>
      </w:r>
      <w:proofErr w:type="spellStart"/>
      <w:r w:rsidRPr="008A67E6">
        <w:rPr>
          <w:sz w:val="24"/>
          <w:lang w:val="bg-BG"/>
        </w:rPr>
        <w:t>Oehen</w:t>
      </w:r>
      <w:proofErr w:type="spellEnd"/>
      <w:r w:rsidRPr="008A67E6">
        <w:rPr>
          <w:sz w:val="24"/>
          <w:lang w:val="bg-BG"/>
        </w:rPr>
        <w:t xml:space="preserve">, B., </w:t>
      </w:r>
      <w:proofErr w:type="spellStart"/>
      <w:r w:rsidRPr="008A67E6">
        <w:rPr>
          <w:sz w:val="24"/>
          <w:lang w:val="bg-BG"/>
        </w:rPr>
        <w:t>Zemp</w:t>
      </w:r>
      <w:proofErr w:type="spellEnd"/>
      <w:r w:rsidRPr="008A67E6">
        <w:rPr>
          <w:sz w:val="24"/>
          <w:lang w:val="bg-BG"/>
        </w:rPr>
        <w:t xml:space="preserve">, N., </w:t>
      </w:r>
      <w:proofErr w:type="spellStart"/>
      <w:r w:rsidRPr="008A67E6">
        <w:rPr>
          <w:sz w:val="24"/>
          <w:lang w:val="bg-BG"/>
        </w:rPr>
        <w:t>Widmer</w:t>
      </w:r>
      <w:proofErr w:type="spellEnd"/>
      <w:r w:rsidRPr="008A67E6">
        <w:rPr>
          <w:sz w:val="24"/>
          <w:lang w:val="bg-BG"/>
        </w:rPr>
        <w:t xml:space="preserve">, A., </w:t>
      </w:r>
      <w:proofErr w:type="spellStart"/>
      <w:r w:rsidRPr="008A67E6">
        <w:rPr>
          <w:sz w:val="24"/>
          <w:lang w:val="bg-BG"/>
        </w:rPr>
        <w:t>Hilbeck</w:t>
      </w:r>
      <w:proofErr w:type="spellEnd"/>
      <w:r w:rsidRPr="008A67E6">
        <w:rPr>
          <w:sz w:val="24"/>
          <w:lang w:val="bg-BG"/>
        </w:rPr>
        <w:t>, A., (2017), „</w:t>
      </w:r>
      <w:proofErr w:type="spellStart"/>
      <w:r w:rsidRPr="008A67E6">
        <w:rPr>
          <w:sz w:val="24"/>
          <w:lang w:val="bg-BG"/>
        </w:rPr>
        <w:t>Teosinte</w:t>
      </w:r>
      <w:proofErr w:type="spellEnd"/>
      <w:r w:rsidRPr="008A67E6">
        <w:rPr>
          <w:sz w:val="24"/>
          <w:lang w:val="bg-BG"/>
        </w:rPr>
        <w:t xml:space="preserve"> </w:t>
      </w:r>
      <w:proofErr w:type="spellStart"/>
      <w:r w:rsidRPr="008A67E6">
        <w:rPr>
          <w:sz w:val="24"/>
          <w:lang w:val="bg-BG"/>
        </w:rPr>
        <w:t>in</w:t>
      </w:r>
      <w:proofErr w:type="spellEnd"/>
      <w:r w:rsidRPr="008A67E6">
        <w:rPr>
          <w:sz w:val="24"/>
          <w:lang w:val="bg-BG"/>
        </w:rPr>
        <w:t xml:space="preserve"> </w:t>
      </w:r>
      <w:proofErr w:type="spellStart"/>
      <w:r w:rsidRPr="008A67E6">
        <w:rPr>
          <w:sz w:val="24"/>
          <w:lang w:val="bg-BG"/>
        </w:rPr>
        <w:t>Europe</w:t>
      </w:r>
      <w:proofErr w:type="spellEnd"/>
      <w:r w:rsidRPr="008A67E6">
        <w:rPr>
          <w:sz w:val="24"/>
          <w:lang w:val="bg-BG"/>
        </w:rPr>
        <w:t xml:space="preserve"> — </w:t>
      </w:r>
      <w:proofErr w:type="spellStart"/>
      <w:r w:rsidRPr="008A67E6">
        <w:rPr>
          <w:sz w:val="24"/>
          <w:lang w:val="bg-BG"/>
        </w:rPr>
        <w:t>Searching</w:t>
      </w:r>
      <w:proofErr w:type="spellEnd"/>
      <w:r w:rsidRPr="008A67E6">
        <w:rPr>
          <w:sz w:val="24"/>
          <w:lang w:val="bg-BG"/>
        </w:rPr>
        <w:t xml:space="preserve"> </w:t>
      </w:r>
      <w:proofErr w:type="spellStart"/>
      <w:r w:rsidRPr="008A67E6">
        <w:rPr>
          <w:sz w:val="24"/>
          <w:lang w:val="bg-BG"/>
        </w:rPr>
        <w:t>for</w:t>
      </w:r>
      <w:proofErr w:type="spellEnd"/>
      <w:r w:rsidRPr="008A67E6">
        <w:rPr>
          <w:sz w:val="24"/>
          <w:lang w:val="bg-BG"/>
        </w:rPr>
        <w:t xml:space="preserve"> </w:t>
      </w:r>
      <w:proofErr w:type="spellStart"/>
      <w:r w:rsidRPr="008A67E6">
        <w:rPr>
          <w:sz w:val="24"/>
          <w:lang w:val="bg-BG"/>
        </w:rPr>
        <w:t>the</w:t>
      </w:r>
      <w:proofErr w:type="spellEnd"/>
      <w:r w:rsidRPr="008A67E6">
        <w:rPr>
          <w:sz w:val="24"/>
          <w:lang w:val="bg-BG"/>
        </w:rPr>
        <w:t xml:space="preserve"> </w:t>
      </w:r>
      <w:proofErr w:type="spellStart"/>
      <w:r w:rsidRPr="008A67E6">
        <w:rPr>
          <w:sz w:val="24"/>
          <w:lang w:val="bg-BG"/>
        </w:rPr>
        <w:t>Origin</w:t>
      </w:r>
      <w:proofErr w:type="spellEnd"/>
      <w:r w:rsidRPr="008A67E6">
        <w:rPr>
          <w:sz w:val="24"/>
          <w:lang w:val="bg-BG"/>
        </w:rPr>
        <w:t xml:space="preserve"> </w:t>
      </w:r>
      <w:proofErr w:type="spellStart"/>
      <w:r w:rsidRPr="008A67E6">
        <w:rPr>
          <w:sz w:val="24"/>
          <w:lang w:val="bg-BG"/>
        </w:rPr>
        <w:t>of</w:t>
      </w:r>
      <w:proofErr w:type="spellEnd"/>
      <w:r w:rsidRPr="008A67E6">
        <w:rPr>
          <w:sz w:val="24"/>
          <w:lang w:val="bg-BG"/>
        </w:rPr>
        <w:t xml:space="preserve"> a </w:t>
      </w:r>
      <w:proofErr w:type="spellStart"/>
      <w:r w:rsidRPr="008A67E6">
        <w:rPr>
          <w:sz w:val="24"/>
          <w:lang w:val="bg-BG"/>
        </w:rPr>
        <w:t>Novel</w:t>
      </w:r>
      <w:proofErr w:type="spellEnd"/>
      <w:r w:rsidRPr="008A67E6">
        <w:rPr>
          <w:sz w:val="24"/>
          <w:lang w:val="bg-BG"/>
        </w:rPr>
        <w:t xml:space="preserve"> </w:t>
      </w:r>
      <w:proofErr w:type="spellStart"/>
      <w:r w:rsidRPr="008A67E6">
        <w:rPr>
          <w:sz w:val="24"/>
          <w:lang w:val="bg-BG"/>
        </w:rPr>
        <w:t>Weed</w:t>
      </w:r>
      <w:proofErr w:type="spellEnd"/>
      <w:r w:rsidRPr="008A67E6">
        <w:rPr>
          <w:sz w:val="24"/>
          <w:lang w:val="bg-BG"/>
        </w:rPr>
        <w:t>“ („</w:t>
      </w:r>
      <w:proofErr w:type="spellStart"/>
      <w:r w:rsidRPr="008A67E6">
        <w:rPr>
          <w:sz w:val="24"/>
          <w:lang w:val="bg-BG"/>
        </w:rPr>
        <w:t>Теосинт</w:t>
      </w:r>
      <w:proofErr w:type="spellEnd"/>
      <w:r w:rsidRPr="008A67E6">
        <w:rPr>
          <w:sz w:val="24"/>
          <w:lang w:val="bg-BG"/>
        </w:rPr>
        <w:t xml:space="preserve"> в Европа — В търсене на произхода на едни нов плевел“), Научни доклади, 7 : 1560, </w:t>
      </w:r>
      <w:hyperlink r:id="rId23" w:history="1">
        <w:r w:rsidRPr="008A67E6">
          <w:rPr>
            <w:rStyle w:val="Hyperlink"/>
            <w:sz w:val="24"/>
            <w:lang w:val="bg-BG"/>
          </w:rPr>
          <w:t>https://doi.org/10.1038/s41598-017-01478-w</w:t>
        </w:r>
      </w:hyperlink>
      <w:r w:rsidRPr="008A67E6">
        <w:rPr>
          <w:sz w:val="24"/>
          <w:lang w:val="bg-BG"/>
        </w:rPr>
        <w:t>.</w:t>
      </w:r>
    </w:p>
  </w:footnote>
  <w:footnote w:id="14">
    <w:p w14:paraId="59C5D24D" w14:textId="229EC960"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proofErr w:type="spellStart"/>
      <w:r w:rsidRPr="008A67E6">
        <w:rPr>
          <w:sz w:val="24"/>
          <w:lang w:val="bg-BG"/>
        </w:rPr>
        <w:t>Strategic</w:t>
      </w:r>
      <w:proofErr w:type="spellEnd"/>
      <w:r w:rsidRPr="008A67E6">
        <w:rPr>
          <w:sz w:val="24"/>
          <w:lang w:val="bg-BG"/>
        </w:rPr>
        <w:t xml:space="preserve"> </w:t>
      </w:r>
      <w:proofErr w:type="spellStart"/>
      <w:r w:rsidRPr="008A67E6">
        <w:rPr>
          <w:sz w:val="24"/>
          <w:lang w:val="bg-BG"/>
        </w:rPr>
        <w:t>Dialogue</w:t>
      </w:r>
      <w:proofErr w:type="spellEnd"/>
      <w:r w:rsidRPr="008A67E6">
        <w:rPr>
          <w:sz w:val="24"/>
          <w:lang w:val="bg-BG"/>
        </w:rPr>
        <w:t xml:space="preserve"> </w:t>
      </w:r>
      <w:proofErr w:type="spellStart"/>
      <w:r w:rsidRPr="008A67E6">
        <w:rPr>
          <w:sz w:val="24"/>
          <w:lang w:val="bg-BG"/>
        </w:rPr>
        <w:t>on</w:t>
      </w:r>
      <w:proofErr w:type="spellEnd"/>
      <w:r w:rsidRPr="008A67E6">
        <w:rPr>
          <w:sz w:val="24"/>
          <w:lang w:val="bg-BG"/>
        </w:rPr>
        <w:t xml:space="preserve"> </w:t>
      </w:r>
      <w:proofErr w:type="spellStart"/>
      <w:r w:rsidRPr="008A67E6">
        <w:rPr>
          <w:sz w:val="24"/>
          <w:lang w:val="bg-BG"/>
        </w:rPr>
        <w:t>the</w:t>
      </w:r>
      <w:proofErr w:type="spellEnd"/>
      <w:r w:rsidRPr="008A67E6">
        <w:rPr>
          <w:sz w:val="24"/>
          <w:lang w:val="bg-BG"/>
        </w:rPr>
        <w:t xml:space="preserve"> </w:t>
      </w:r>
      <w:proofErr w:type="spellStart"/>
      <w:r w:rsidRPr="008A67E6">
        <w:rPr>
          <w:sz w:val="24"/>
          <w:lang w:val="bg-BG"/>
        </w:rPr>
        <w:t>Future</w:t>
      </w:r>
      <w:proofErr w:type="spellEnd"/>
      <w:r w:rsidRPr="008A67E6">
        <w:rPr>
          <w:sz w:val="24"/>
          <w:lang w:val="bg-BG"/>
        </w:rPr>
        <w:t xml:space="preserve"> </w:t>
      </w:r>
      <w:proofErr w:type="spellStart"/>
      <w:r w:rsidRPr="008A67E6">
        <w:rPr>
          <w:sz w:val="24"/>
          <w:lang w:val="bg-BG"/>
        </w:rPr>
        <w:t>of</w:t>
      </w:r>
      <w:proofErr w:type="spellEnd"/>
      <w:r w:rsidRPr="008A67E6">
        <w:rPr>
          <w:sz w:val="24"/>
          <w:lang w:val="bg-BG"/>
        </w:rPr>
        <w:t xml:space="preserve"> EU </w:t>
      </w:r>
      <w:proofErr w:type="spellStart"/>
      <w:r w:rsidRPr="008A67E6">
        <w:rPr>
          <w:sz w:val="24"/>
          <w:lang w:val="bg-BG"/>
        </w:rPr>
        <w:t>Agriculture</w:t>
      </w:r>
      <w:proofErr w:type="spellEnd"/>
      <w:r w:rsidRPr="008A67E6">
        <w:rPr>
          <w:sz w:val="24"/>
          <w:lang w:val="bg-BG"/>
        </w:rPr>
        <w:t xml:space="preserve"> — A </w:t>
      </w:r>
      <w:proofErr w:type="spellStart"/>
      <w:r w:rsidRPr="008A67E6">
        <w:rPr>
          <w:sz w:val="24"/>
          <w:lang w:val="bg-BG"/>
        </w:rPr>
        <w:t>shared</w:t>
      </w:r>
      <w:proofErr w:type="spellEnd"/>
      <w:r w:rsidRPr="008A67E6">
        <w:rPr>
          <w:sz w:val="24"/>
          <w:lang w:val="bg-BG"/>
        </w:rPr>
        <w:t xml:space="preserve"> </w:t>
      </w:r>
      <w:proofErr w:type="spellStart"/>
      <w:r w:rsidRPr="008A67E6">
        <w:rPr>
          <w:sz w:val="24"/>
          <w:lang w:val="bg-BG"/>
        </w:rPr>
        <w:t>prospect</w:t>
      </w:r>
      <w:proofErr w:type="spellEnd"/>
      <w:r w:rsidRPr="008A67E6">
        <w:rPr>
          <w:sz w:val="24"/>
          <w:lang w:val="bg-BG"/>
        </w:rPr>
        <w:t xml:space="preserve"> </w:t>
      </w:r>
      <w:proofErr w:type="spellStart"/>
      <w:r w:rsidRPr="008A67E6">
        <w:rPr>
          <w:sz w:val="24"/>
          <w:lang w:val="bg-BG"/>
        </w:rPr>
        <w:t>for</w:t>
      </w:r>
      <w:proofErr w:type="spellEnd"/>
      <w:r w:rsidRPr="008A67E6">
        <w:rPr>
          <w:sz w:val="24"/>
          <w:lang w:val="bg-BG"/>
        </w:rPr>
        <w:t xml:space="preserve"> </w:t>
      </w:r>
      <w:proofErr w:type="spellStart"/>
      <w:r w:rsidRPr="008A67E6">
        <w:rPr>
          <w:sz w:val="24"/>
          <w:lang w:val="bg-BG"/>
        </w:rPr>
        <w:t>farming</w:t>
      </w:r>
      <w:proofErr w:type="spellEnd"/>
      <w:r w:rsidRPr="008A67E6">
        <w:rPr>
          <w:sz w:val="24"/>
          <w:lang w:val="bg-BG"/>
        </w:rPr>
        <w:t xml:space="preserve"> </w:t>
      </w:r>
      <w:proofErr w:type="spellStart"/>
      <w:r w:rsidRPr="008A67E6">
        <w:rPr>
          <w:sz w:val="24"/>
          <w:lang w:val="bg-BG"/>
        </w:rPr>
        <w:t>and</w:t>
      </w:r>
      <w:proofErr w:type="spellEnd"/>
      <w:r w:rsidRPr="008A67E6">
        <w:rPr>
          <w:sz w:val="24"/>
          <w:lang w:val="bg-BG"/>
        </w:rPr>
        <w:t xml:space="preserve"> </w:t>
      </w:r>
      <w:proofErr w:type="spellStart"/>
      <w:r w:rsidRPr="008A67E6">
        <w:rPr>
          <w:sz w:val="24"/>
          <w:lang w:val="bg-BG"/>
        </w:rPr>
        <w:t>food</w:t>
      </w:r>
      <w:proofErr w:type="spellEnd"/>
      <w:r w:rsidRPr="008A67E6">
        <w:rPr>
          <w:sz w:val="24"/>
          <w:lang w:val="bg-BG"/>
        </w:rPr>
        <w:t xml:space="preserve"> </w:t>
      </w:r>
      <w:proofErr w:type="spellStart"/>
      <w:r w:rsidRPr="008A67E6">
        <w:rPr>
          <w:sz w:val="24"/>
          <w:lang w:val="bg-BG"/>
        </w:rPr>
        <w:t>in</w:t>
      </w:r>
      <w:proofErr w:type="spellEnd"/>
      <w:r w:rsidRPr="008A67E6">
        <w:rPr>
          <w:sz w:val="24"/>
          <w:lang w:val="bg-BG"/>
        </w:rPr>
        <w:t xml:space="preserve"> </w:t>
      </w:r>
      <w:proofErr w:type="spellStart"/>
      <w:r w:rsidRPr="008A67E6">
        <w:rPr>
          <w:sz w:val="24"/>
          <w:lang w:val="bg-BG"/>
        </w:rPr>
        <w:t>Europe</w:t>
      </w:r>
      <w:proofErr w:type="spellEnd"/>
      <w:r w:rsidRPr="008A67E6">
        <w:rPr>
          <w:sz w:val="24"/>
          <w:lang w:val="bg-BG"/>
        </w:rPr>
        <w:t xml:space="preserve">’ (Стратегически диалог относно бъдещето на селското стопанство в ЕС — споделена перспектива за земеделието и храните в Европа), септември 2024 г., </w:t>
      </w:r>
      <w:hyperlink r:id="rId24" w:history="1">
        <w:r w:rsidRPr="008A67E6">
          <w:rPr>
            <w:rStyle w:val="Hyperlink"/>
            <w:sz w:val="24"/>
            <w:lang w:val="bg-BG"/>
          </w:rPr>
          <w:t>https://agriculture.ec.europa.eu/document/download/171329ff-0f50-4fa5-946f-aea11032172e_en?filename=strategic-dialogue-report-2024_en.pdf</w:t>
        </w:r>
      </w:hyperlink>
      <w:r w:rsidRPr="008A67E6">
        <w:rPr>
          <w:sz w:val="24"/>
          <w:lang w:val="bg-BG"/>
        </w:rPr>
        <w:t xml:space="preserve">. </w:t>
      </w:r>
    </w:p>
  </w:footnote>
  <w:footnote w:id="15">
    <w:p w14:paraId="1521CBB6" w14:textId="5AC46C2A"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hyperlink r:id="rId25" w:history="1">
        <w:r w:rsidRPr="008A67E6">
          <w:rPr>
            <w:rStyle w:val="Hyperlink"/>
            <w:sz w:val="24"/>
            <w:lang w:val="bg-BG"/>
          </w:rPr>
          <w:t>https://www.ohchr.org/en/documents/thematic-reports/ahrc3448-report-special-rapporteur-right-food</w:t>
        </w:r>
      </w:hyperlink>
      <w:r w:rsidRPr="008A67E6">
        <w:rPr>
          <w:sz w:val="24"/>
          <w:lang w:val="bg-BG"/>
        </w:rPr>
        <w:t xml:space="preserve">. </w:t>
      </w:r>
    </w:p>
  </w:footnote>
  <w:footnote w:id="16">
    <w:p w14:paraId="4C90C2A2" w14:textId="287FBF54"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hyperlink r:id="rId26" w:history="1">
        <w:r w:rsidRPr="008A67E6">
          <w:rPr>
            <w:rStyle w:val="Hyperlink"/>
            <w:sz w:val="24"/>
            <w:lang w:val="bg-BG"/>
          </w:rPr>
          <w:t>https://www.un.org/sustainabledevelopment/health/</w:t>
        </w:r>
      </w:hyperlink>
      <w:r w:rsidRPr="008A67E6">
        <w:rPr>
          <w:sz w:val="24"/>
          <w:lang w:val="bg-BG"/>
        </w:rPr>
        <w:t xml:space="preserve">. </w:t>
      </w:r>
    </w:p>
  </w:footnote>
  <w:footnote w:id="17">
    <w:p w14:paraId="68879F8F" w14:textId="53F821E1"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hyperlink r:id="rId27" w:history="1">
        <w:r w:rsidRPr="008A67E6">
          <w:rPr>
            <w:rStyle w:val="Hyperlink"/>
            <w:sz w:val="24"/>
            <w:lang w:val="bg-BG"/>
          </w:rPr>
          <w:t>https://ec.europa.eu/commission/presscorner/detail/bg/ip_22_7834</w:t>
        </w:r>
      </w:hyperlink>
      <w:r w:rsidRPr="008A67E6">
        <w:rPr>
          <w:sz w:val="24"/>
          <w:lang w:val="bg-BG"/>
        </w:rPr>
        <w:t xml:space="preserve">. </w:t>
      </w:r>
    </w:p>
  </w:footnote>
  <w:footnote w:id="18">
    <w:p w14:paraId="36012191" w14:textId="25A80890"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hyperlink r:id="rId28" w:history="1">
        <w:r w:rsidRPr="008A67E6">
          <w:rPr>
            <w:rStyle w:val="Hyperlink"/>
            <w:sz w:val="24"/>
            <w:lang w:val="bg-BG"/>
          </w:rPr>
          <w:t>https://commission.europa.eu/document/2c64e540-c07a-4376-a1da-368d289f4afe_en</w:t>
        </w:r>
      </w:hyperlink>
      <w:r w:rsidRPr="008A67E6">
        <w:rPr>
          <w:sz w:val="24"/>
          <w:lang w:val="bg-BG"/>
        </w:rPr>
        <w:t>.</w:t>
      </w:r>
    </w:p>
  </w:footnote>
  <w:footnote w:id="19">
    <w:p w14:paraId="647191BD" w14:textId="281B3AB9"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Комисията „може“, а не „трябва“ да предоставя разрешение, ако не е постигнато квалифицирано мнозинство от държавите членки в подкрепа при гласуването в Апелативния комитет, в съответствие с член 6, параграф 3 от Регламент (ЕС) № 182/2011.</w:t>
      </w:r>
    </w:p>
  </w:footnote>
  <w:footnote w:id="20">
    <w:p w14:paraId="73F0E63C" w14:textId="59EDA4C2"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hyperlink r:id="rId29" w:history="1">
        <w:r w:rsidRPr="008A67E6">
          <w:rPr>
            <w:rStyle w:val="Hyperlink"/>
            <w:sz w:val="24"/>
            <w:lang w:val="bg-BG"/>
          </w:rPr>
          <w:t>https://food.ec.europa.eu/document/download/ee1a5aed-5303-4c32-bb59-813143a1df47_en?filename=sc_modif-genet_20250613_sum.pdf</w:t>
        </w:r>
      </w:hyperlink>
      <w:r w:rsidRPr="008A67E6">
        <w:rPr>
          <w:sz w:val="24"/>
          <w:lang w:val="bg-BG"/>
        </w:rPr>
        <w:t>.</w:t>
      </w:r>
    </w:p>
  </w:footnote>
  <w:footnote w:id="21">
    <w:p w14:paraId="7BBD7F2F" w14:textId="1C3932C6"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30" w:history="1">
        <w:r w:rsidRPr="008A67E6">
          <w:rPr>
            <w:rStyle w:val="Hyperlink"/>
            <w:sz w:val="24"/>
            <w:lang w:val="bg-BG"/>
          </w:rPr>
          <w:t>http://data.europa.eu/eli/reg/2002/178/oj</w:t>
        </w:r>
      </w:hyperlink>
      <w:r w:rsidRPr="008A67E6">
        <w:rPr>
          <w:sz w:val="24"/>
          <w:lang w:val="bg-BG"/>
        </w:rPr>
        <w:t>).</w:t>
      </w:r>
    </w:p>
  </w:footnote>
  <w:footnote w:id="22">
    <w:p w14:paraId="2FC523CA" w14:textId="74BDA8D4"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 xml:space="preserve">Както е посочено в приложението към съобщението на Комисията от 14 октомври 2020 г., озаглавено „ Стратегия за устойчивост в областта на химикалите Към нетоксична околна среда“ (COM(2020)0667), </w:t>
      </w:r>
      <w:hyperlink r:id="rId31" w:anchor="document2" w:history="1">
        <w:r w:rsidRPr="008A67E6">
          <w:rPr>
            <w:rStyle w:val="Hyperlink"/>
            <w:sz w:val="24"/>
            <w:lang w:val="bg-BG"/>
          </w:rPr>
          <w:t>https://eur-lex.europa.eu/legal-content/BG/TXT/?uri=COM%3A2020%3A667%3AFIN#document2</w:t>
        </w:r>
      </w:hyperlink>
      <w:r w:rsidRPr="008A67E6">
        <w:rPr>
          <w:sz w:val="24"/>
          <w:lang w:val="bg-BG"/>
        </w:rPr>
        <w:t>.</w:t>
      </w:r>
    </w:p>
  </w:footnote>
  <w:footnote w:id="23">
    <w:p w14:paraId="38FABDA5" w14:textId="1294C2CF"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hyperlink r:id="rId32" w:history="1">
        <w:r w:rsidRPr="008A67E6">
          <w:rPr>
            <w:rStyle w:val="Hyperlink"/>
            <w:sz w:val="24"/>
            <w:lang w:val="bg-BG"/>
          </w:rPr>
          <w:t>https://tillymetz.lu/wp-content/uploads/2020/09/Co-signed-letter-MEP-Metz.pdf</w:t>
        </w:r>
      </w:hyperlink>
      <w:r w:rsidRPr="008A67E6">
        <w:rPr>
          <w:sz w:val="24"/>
          <w:lang w:val="bg-BG"/>
        </w:rPr>
        <w:t xml:space="preserve">. </w:t>
      </w:r>
    </w:p>
  </w:footnote>
  <w:footnote w:id="24">
    <w:p w14:paraId="064A44CD" w14:textId="223347EE" w:rsidR="008E367A" w:rsidRPr="008A67E6" w:rsidRDefault="008E367A" w:rsidP="008A67E6">
      <w:pPr>
        <w:pStyle w:val="FootnoteText"/>
        <w:ind w:left="567" w:hanging="567"/>
        <w:rPr>
          <w:sz w:val="24"/>
          <w:lang w:val="bg-BG"/>
        </w:rPr>
      </w:pPr>
      <w:r w:rsidRPr="008A67E6">
        <w:rPr>
          <w:rStyle w:val="FootnoteReference"/>
          <w:sz w:val="24"/>
          <w:lang w:val="bg-BG"/>
        </w:rPr>
        <w:footnoteRef/>
      </w:r>
      <w:r w:rsidR="008A67E6" w:rsidRPr="008A67E6">
        <w:rPr>
          <w:sz w:val="24"/>
          <w:lang w:val="bg-BG"/>
        </w:rPr>
        <w:t xml:space="preserve"> </w:t>
      </w:r>
      <w:r w:rsidR="008A67E6" w:rsidRPr="008A67E6">
        <w:rPr>
          <w:sz w:val="24"/>
          <w:lang w:val="bg-BG"/>
        </w:rPr>
        <w:tab/>
      </w:r>
      <w:r w:rsidRPr="008A67E6">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0662688">
    <w:abstractNumId w:val="9"/>
  </w:num>
  <w:num w:numId="2" w16cid:durableId="958027985">
    <w:abstractNumId w:val="9"/>
  </w:num>
  <w:num w:numId="3" w16cid:durableId="1310524610">
    <w:abstractNumId w:val="7"/>
  </w:num>
  <w:num w:numId="4" w16cid:durableId="1644238380">
    <w:abstractNumId w:val="7"/>
  </w:num>
  <w:num w:numId="5" w16cid:durableId="1655794005">
    <w:abstractNumId w:val="6"/>
  </w:num>
  <w:num w:numId="6" w16cid:durableId="1053657">
    <w:abstractNumId w:val="6"/>
  </w:num>
  <w:num w:numId="7" w16cid:durableId="1117792676">
    <w:abstractNumId w:val="5"/>
  </w:num>
  <w:num w:numId="8" w16cid:durableId="160631521">
    <w:abstractNumId w:val="5"/>
  </w:num>
  <w:num w:numId="9" w16cid:durableId="1455515629">
    <w:abstractNumId w:val="4"/>
  </w:num>
  <w:num w:numId="10" w16cid:durableId="14695796">
    <w:abstractNumId w:val="4"/>
  </w:num>
  <w:num w:numId="11" w16cid:durableId="1098062313">
    <w:abstractNumId w:val="8"/>
  </w:num>
  <w:num w:numId="12" w16cid:durableId="515384552">
    <w:abstractNumId w:val="8"/>
  </w:num>
  <w:num w:numId="13" w16cid:durableId="1920023571">
    <w:abstractNumId w:val="3"/>
  </w:num>
  <w:num w:numId="14" w16cid:durableId="1528176921">
    <w:abstractNumId w:val="3"/>
  </w:num>
  <w:num w:numId="15" w16cid:durableId="287249002">
    <w:abstractNumId w:val="2"/>
  </w:num>
  <w:num w:numId="16" w16cid:durableId="132411578">
    <w:abstractNumId w:val="2"/>
  </w:num>
  <w:num w:numId="17" w16cid:durableId="2105759948">
    <w:abstractNumId w:val="1"/>
  </w:num>
  <w:num w:numId="18" w16cid:durableId="580259569">
    <w:abstractNumId w:val="1"/>
  </w:num>
  <w:num w:numId="19" w16cid:durableId="954361696">
    <w:abstractNumId w:val="0"/>
  </w:num>
  <w:num w:numId="20" w16cid:durableId="1376733535">
    <w:abstractNumId w:val="0"/>
  </w:num>
  <w:num w:numId="21" w16cid:durableId="1806391235">
    <w:abstractNumId w:val="9"/>
  </w:num>
  <w:num w:numId="22" w16cid:durableId="1850216353">
    <w:abstractNumId w:val="7"/>
  </w:num>
  <w:num w:numId="23" w16cid:durableId="645091808">
    <w:abstractNumId w:val="6"/>
  </w:num>
  <w:num w:numId="24" w16cid:durableId="1844271848">
    <w:abstractNumId w:val="5"/>
  </w:num>
  <w:num w:numId="25" w16cid:durableId="1083572503">
    <w:abstractNumId w:val="4"/>
  </w:num>
  <w:num w:numId="26" w16cid:durableId="1074812217">
    <w:abstractNumId w:val="8"/>
  </w:num>
  <w:num w:numId="27" w16cid:durableId="1439594216">
    <w:abstractNumId w:val="3"/>
  </w:num>
  <w:num w:numId="28" w16cid:durableId="1550798437">
    <w:abstractNumId w:val="2"/>
  </w:num>
  <w:num w:numId="29" w16cid:durableId="1677879250">
    <w:abstractNumId w:val="1"/>
  </w:num>
  <w:num w:numId="30" w16cid:durableId="303585267">
    <w:abstractNumId w:val="0"/>
  </w:num>
  <w:num w:numId="31" w16cid:durableId="32076327">
    <w:abstractNumId w:val="9"/>
  </w:num>
  <w:num w:numId="32" w16cid:durableId="395468698">
    <w:abstractNumId w:val="7"/>
  </w:num>
  <w:num w:numId="33" w16cid:durableId="1162308510">
    <w:abstractNumId w:val="6"/>
  </w:num>
  <w:num w:numId="34" w16cid:durableId="2111853079">
    <w:abstractNumId w:val="5"/>
  </w:num>
  <w:num w:numId="35" w16cid:durableId="438795971">
    <w:abstractNumId w:val="4"/>
  </w:num>
  <w:num w:numId="36" w16cid:durableId="1636333502">
    <w:abstractNumId w:val="8"/>
  </w:num>
  <w:num w:numId="37" w16cid:durableId="12195084">
    <w:abstractNumId w:val="3"/>
  </w:num>
  <w:num w:numId="38" w16cid:durableId="771903743">
    <w:abstractNumId w:val="2"/>
  </w:num>
  <w:num w:numId="39" w16cid:durableId="24867401">
    <w:abstractNumId w:val="1"/>
  </w:num>
  <w:num w:numId="40" w16cid:durableId="566576768">
    <w:abstractNumId w:val="0"/>
  </w:num>
  <w:num w:numId="41" w16cid:durableId="1109473189">
    <w:abstractNumId w:val="10"/>
  </w:num>
  <w:num w:numId="42" w16cid:durableId="184901317">
    <w:abstractNumId w:val="10"/>
  </w:num>
  <w:num w:numId="43" w16cid:durableId="611399417">
    <w:abstractNumId w:val="10"/>
  </w:num>
  <w:num w:numId="44" w16cid:durableId="279915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BG"/>
    <w:docVar w:name="dvnumam" w:val="0"/>
    <w:docVar w:name="dvpe" w:val="775.588"/>
    <w:docVar w:name="dvtitre" w:val="Резолюция на Европейския парламент от ...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D108064/03 – 2025/2807(RSP))"/>
  </w:docVars>
  <w:rsids>
    <w:rsidRoot w:val="00AF7F1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1A36"/>
    <w:rsid w:val="003E15D4"/>
    <w:rsid w:val="00411CCE"/>
    <w:rsid w:val="0041666E"/>
    <w:rsid w:val="00421060"/>
    <w:rsid w:val="00471C19"/>
    <w:rsid w:val="004867E3"/>
    <w:rsid w:val="00494A28"/>
    <w:rsid w:val="004C0004"/>
    <w:rsid w:val="004C5D52"/>
    <w:rsid w:val="0050519A"/>
    <w:rsid w:val="005072A1"/>
    <w:rsid w:val="00514517"/>
    <w:rsid w:val="005353D4"/>
    <w:rsid w:val="00545827"/>
    <w:rsid w:val="00560270"/>
    <w:rsid w:val="005C2568"/>
    <w:rsid w:val="005F1B17"/>
    <w:rsid w:val="006037C0"/>
    <w:rsid w:val="00650E1A"/>
    <w:rsid w:val="006631B6"/>
    <w:rsid w:val="00680577"/>
    <w:rsid w:val="006F74FA"/>
    <w:rsid w:val="00731ADD"/>
    <w:rsid w:val="00734777"/>
    <w:rsid w:val="00747932"/>
    <w:rsid w:val="00751A4A"/>
    <w:rsid w:val="00756632"/>
    <w:rsid w:val="00762C74"/>
    <w:rsid w:val="00786EC0"/>
    <w:rsid w:val="007D1690"/>
    <w:rsid w:val="007E22AD"/>
    <w:rsid w:val="007F29AE"/>
    <w:rsid w:val="00817416"/>
    <w:rsid w:val="00842779"/>
    <w:rsid w:val="00865F67"/>
    <w:rsid w:val="00881A7B"/>
    <w:rsid w:val="008840E5"/>
    <w:rsid w:val="00887B3E"/>
    <w:rsid w:val="008A67E6"/>
    <w:rsid w:val="008C2AC6"/>
    <w:rsid w:val="008E367A"/>
    <w:rsid w:val="00930C23"/>
    <w:rsid w:val="0093193B"/>
    <w:rsid w:val="009509D8"/>
    <w:rsid w:val="00950B64"/>
    <w:rsid w:val="00981893"/>
    <w:rsid w:val="00A1687D"/>
    <w:rsid w:val="00A43E52"/>
    <w:rsid w:val="00A4678D"/>
    <w:rsid w:val="00A778C7"/>
    <w:rsid w:val="00AB441E"/>
    <w:rsid w:val="00AB6293"/>
    <w:rsid w:val="00AE0928"/>
    <w:rsid w:val="00AF3B82"/>
    <w:rsid w:val="00AF7F1A"/>
    <w:rsid w:val="00B12E95"/>
    <w:rsid w:val="00B22876"/>
    <w:rsid w:val="00B558F0"/>
    <w:rsid w:val="00B915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C34"/>
    <w:rsid w:val="00EE43F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AF421"/>
  <w15:chartTrackingRefBased/>
  <w15:docId w15:val="{FFB06D88-87EF-4874-87B6-E6E9C7DD1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367A"/>
    <w:pPr>
      <w:spacing w:before="480" w:after="240"/>
    </w:pPr>
  </w:style>
  <w:style w:type="paragraph" w:customStyle="1" w:styleId="NormalHanging12a">
    <w:name w:val="NormalHanging12a"/>
    <w:basedOn w:val="Normal"/>
    <w:rsid w:val="008E367A"/>
    <w:pPr>
      <w:spacing w:after="240"/>
      <w:ind w:left="567" w:hanging="567"/>
    </w:pPr>
  </w:style>
  <w:style w:type="paragraph" w:customStyle="1" w:styleId="NormalBold">
    <w:name w:val="NormalBold"/>
    <w:basedOn w:val="Normal"/>
    <w:rsid w:val="008E367A"/>
    <w:rPr>
      <w:b/>
    </w:rPr>
  </w:style>
  <w:style w:type="character" w:styleId="Hyperlink">
    <w:name w:val="Hyperlink"/>
    <w:basedOn w:val="DefaultParagraphFont"/>
    <w:uiPriority w:val="99"/>
    <w:rsid w:val="008E367A"/>
    <w:rPr>
      <w:color w:val="0563C1" w:themeColor="hyperlink"/>
      <w:u w:val="single"/>
    </w:rPr>
  </w:style>
  <w:style w:type="character" w:customStyle="1" w:styleId="Funotenzeichen">
    <w:name w:val="Fußnotenzeichen"/>
    <w:qFormat/>
    <w:rsid w:val="008E367A"/>
    <w:rPr>
      <w:vertAlign w:val="superscript"/>
    </w:rPr>
  </w:style>
  <w:style w:type="paragraph" w:styleId="Revision">
    <w:name w:val="Revision"/>
    <w:hidden/>
    <w:uiPriority w:val="99"/>
    <w:semiHidden/>
    <w:rsid w:val="00EE43F2"/>
    <w:rPr>
      <w:sz w:val="24"/>
      <w:lang w:val="bg-BG"/>
    </w:rPr>
  </w:style>
  <w:style w:type="character" w:styleId="FollowedHyperlink">
    <w:name w:val="FollowedHyperlink"/>
    <w:basedOn w:val="DefaultParagraphFont"/>
    <w:rsid w:val="00B915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126/science.abe1148" TargetMode="External"/><Relationship Id="rId26" Type="http://schemas.openxmlformats.org/officeDocument/2006/relationships/hyperlink" Target="https://www.un.org/sustainabledevelopment/health/" TargetMode="External"/><Relationship Id="rId3" Type="http://schemas.openxmlformats.org/officeDocument/2006/relationships/hyperlink" Target="https://doi.org/10.2903/j.efsa.2024.9059" TargetMode="External"/><Relationship Id="rId21" Type="http://schemas.openxmlformats.org/officeDocument/2006/relationships/hyperlink" Target="https://onlinelibrary.wiley.com/doi/full/10.1002/jat.325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371/journal.pone.0123011" TargetMode="External"/><Relationship Id="rId25"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_impl/2013/503/oj" TargetMode="External"/><Relationship Id="rId20" Type="http://schemas.openxmlformats.org/officeDocument/2006/relationships/hyperlink" Target="https://doi.org/10.1186/2190-4715-24-24" TargetMode="External"/><Relationship Id="rId29" Type="http://schemas.openxmlformats.org/officeDocument/2006/relationships/hyperlink" Target="https://food.ec.europa.eu/document/download/ee1a5aed-5303-4c32-bb59-813143a1df47_en?filename=sc_modif-genet_20250613_sum.pdf"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agriculture.ec.europa.eu/document/download/171329ff-0f50-4fa5-946f-aea11032172e_en?filename=strategic-dialogue-report-2024_en.pdf" TargetMode="External"/><Relationship Id="rId32"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www.testbiotech.org/wp-content/uploads/2024/12/Testbiotech_comment_&#8204;maize_DP51291.pdf" TargetMode="External"/><Relationship Id="rId23" Type="http://schemas.openxmlformats.org/officeDocument/2006/relationships/hyperlink" Target="https://doi.org/10.1038/s41598-017-01478-w" TargetMode="External"/><Relationship Id="rId28" Type="http://schemas.openxmlformats.org/officeDocument/2006/relationships/hyperlink" Target="https://commission.europa.eu/document/2c64e540-c07a-4376-a1da-368d289f4afe_en" TargetMode="External"/><Relationship Id="rId10" Type="http://schemas.openxmlformats.org/officeDocument/2006/relationships/hyperlink" Target="http://data.europa.eu/eli/C/2025/1803/oj" TargetMode="External"/><Relationship Id="rId19" Type="http://schemas.openxmlformats.org/officeDocument/2006/relationships/hyperlink" Target="https://www.ncbi.nlm.nih.gov/pubmed/26296738" TargetMode="External"/><Relationship Id="rId31" Type="http://schemas.openxmlformats.org/officeDocument/2006/relationships/hyperlink" Target="https://eur-lex.europa.eu/legal-content/BG/TXT/?uri=COM%3A2020%3A667%3AFIN"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reg/2009/1107/oj" TargetMode="External"/><Relationship Id="rId22" Type="http://schemas.openxmlformats.org/officeDocument/2006/relationships/hyperlink" Target="https://doi.org/10.1016/j.fct.2016.03.009" TargetMode="External"/><Relationship Id="rId27" Type="http://schemas.openxmlformats.org/officeDocument/2006/relationships/hyperlink" Target="https://ec.europa.eu/commission/presscorner/detail/bg/ip_22_7834" TargetMode="External"/><Relationship Id="rId30"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2656</Words>
  <Characters>15217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2025-10-08T12:36:00Z</dcterms:created>
  <dcterms:modified xsi:type="dcterms:W3CDTF">2025-10-08T12:36:00Z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B10-0407/2025</vt:lpwstr>
  </property>
  <property fmtid="{D5CDD505-2E9C-101B-9397-08002B2CF9AE}" pid="4" name="&lt;Type&gt;">
    <vt:lpwstr>RR</vt:lpwstr>
  </property>
</Properties>
</file>