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179D" w14:paraId="7C730F96" w14:textId="77777777" w:rsidTr="0010095E">
        <w:trPr>
          <w:trHeight w:hRule="exact" w:val="1418"/>
        </w:trPr>
        <w:tc>
          <w:tcPr>
            <w:tcW w:w="6804" w:type="dxa"/>
            <w:shd w:val="clear" w:color="auto" w:fill="auto"/>
            <w:vAlign w:val="center"/>
          </w:tcPr>
          <w:p w14:paraId="6E8FBEF9" w14:textId="77777777" w:rsidR="00751A4A" w:rsidRPr="00CD179D" w:rsidRDefault="00EA2149" w:rsidP="0010095E">
            <w:pPr>
              <w:pStyle w:val="EPName"/>
            </w:pPr>
            <w:r w:rsidRPr="00CD179D">
              <w:t>Evropský parlament</w:t>
            </w:r>
          </w:p>
          <w:p w14:paraId="1B9E3D1D" w14:textId="77777777" w:rsidR="00751A4A" w:rsidRPr="00CD179D" w:rsidRDefault="005F1B17" w:rsidP="005F1B17">
            <w:pPr>
              <w:pStyle w:val="EPTerm"/>
              <w:rPr>
                <w:rStyle w:val="HideTWBExt"/>
                <w:noProof w:val="0"/>
                <w:vanish w:val="0"/>
                <w:color w:val="auto"/>
              </w:rPr>
            </w:pPr>
            <w:r w:rsidRPr="00CD179D">
              <w:t>2024</w:t>
            </w:r>
            <w:r w:rsidR="00817416" w:rsidRPr="00CD179D">
              <w:t>-202</w:t>
            </w:r>
            <w:r w:rsidRPr="00CD179D">
              <w:t>9</w:t>
            </w:r>
          </w:p>
        </w:tc>
        <w:tc>
          <w:tcPr>
            <w:tcW w:w="2268" w:type="dxa"/>
            <w:shd w:val="clear" w:color="auto" w:fill="auto"/>
          </w:tcPr>
          <w:p w14:paraId="209B2F52" w14:textId="77777777" w:rsidR="00751A4A" w:rsidRPr="00CD179D" w:rsidRDefault="00187494" w:rsidP="0010095E">
            <w:pPr>
              <w:pStyle w:val="EPLogo"/>
            </w:pPr>
            <w:r w:rsidRPr="00CD179D">
              <w:rPr>
                <w:noProof/>
                <w:lang w:eastAsia="ja-JP"/>
              </w:rPr>
              <w:drawing>
                <wp:inline distT="0" distB="0" distL="0" distR="0" wp14:anchorId="27B3965A" wp14:editId="2F9BB4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9F389" w14:textId="77777777" w:rsidR="00D058B8" w:rsidRPr="00CD179D" w:rsidRDefault="00D058B8" w:rsidP="004C5D52">
      <w:pPr>
        <w:pStyle w:val="LineTop"/>
      </w:pPr>
    </w:p>
    <w:p w14:paraId="1570CD54" w14:textId="77777777" w:rsidR="00680577" w:rsidRPr="00CD179D" w:rsidRDefault="00EA2149" w:rsidP="00680577">
      <w:pPr>
        <w:pStyle w:val="EPBodyTA1"/>
      </w:pPr>
      <w:r w:rsidRPr="00CD179D">
        <w:t>PŘIJATÉ TEXTY</w:t>
      </w:r>
    </w:p>
    <w:p w14:paraId="2381BAFA" w14:textId="77777777" w:rsidR="00D058B8" w:rsidRPr="00CD179D" w:rsidRDefault="00D058B8" w:rsidP="00D058B8">
      <w:pPr>
        <w:pStyle w:val="LineBottom"/>
      </w:pPr>
    </w:p>
    <w:p w14:paraId="42EEC9C9" w14:textId="475A5FA1" w:rsidR="00EA2149" w:rsidRPr="00CD179D" w:rsidRDefault="00EA2149" w:rsidP="00EA2149">
      <w:pPr>
        <w:pStyle w:val="ATHeading1"/>
      </w:pPr>
      <w:bookmarkStart w:id="0" w:name="TANumber"/>
      <w:r w:rsidRPr="00CD179D">
        <w:t>P10_TA(2025)0</w:t>
      </w:r>
      <w:r w:rsidR="00480DBA">
        <w:t>222</w:t>
      </w:r>
      <w:bookmarkEnd w:id="0"/>
    </w:p>
    <w:p w14:paraId="5DBFEA00" w14:textId="517EEAE3" w:rsidR="00EA2149" w:rsidRPr="00CD179D" w:rsidRDefault="001B409A" w:rsidP="00EA2149">
      <w:pPr>
        <w:pStyle w:val="ATHeading2"/>
      </w:pPr>
      <w:bookmarkStart w:id="1" w:name="title"/>
      <w:r>
        <w:t>G</w:t>
      </w:r>
      <w:r w:rsidR="00EA2149" w:rsidRPr="00CD179D">
        <w:t>eneticky modifikovaná kukuřice DP51291</w:t>
      </w:r>
      <w:bookmarkEnd w:id="1"/>
    </w:p>
    <w:p w14:paraId="2680F4DE" w14:textId="77777777" w:rsidR="00EA2149" w:rsidRPr="00CD179D" w:rsidRDefault="00EA2149" w:rsidP="00EA2149">
      <w:pPr>
        <w:rPr>
          <w:i/>
          <w:vanish/>
        </w:rPr>
      </w:pPr>
      <w:r w:rsidRPr="00CD179D">
        <w:rPr>
          <w:i/>
        </w:rPr>
        <w:fldChar w:fldCharType="begin"/>
      </w:r>
      <w:r w:rsidRPr="00CD179D">
        <w:rPr>
          <w:i/>
        </w:rPr>
        <w:instrText xml:space="preserve"> TC"(</w:instrText>
      </w:r>
      <w:bookmarkStart w:id="2" w:name="DocNumber"/>
      <w:r w:rsidRPr="00CD179D">
        <w:rPr>
          <w:i/>
        </w:rPr>
        <w:instrText>B10-0407/2025</w:instrText>
      </w:r>
      <w:bookmarkEnd w:id="2"/>
      <w:r w:rsidRPr="00CD179D">
        <w:rPr>
          <w:i/>
        </w:rPr>
        <w:instrText xml:space="preserve">)"\l3 \n&gt; \* MERGEFORMAT </w:instrText>
      </w:r>
      <w:r w:rsidRPr="00CD179D">
        <w:rPr>
          <w:i/>
        </w:rPr>
        <w:fldChar w:fldCharType="end"/>
      </w:r>
    </w:p>
    <w:p w14:paraId="3C3EAD95" w14:textId="77777777" w:rsidR="00EA2149" w:rsidRPr="00CD179D" w:rsidRDefault="00EA2149" w:rsidP="00EA2149">
      <w:pPr>
        <w:rPr>
          <w:vanish/>
        </w:rPr>
      </w:pPr>
      <w:bookmarkStart w:id="3" w:name="PE"/>
      <w:r w:rsidRPr="00CD179D">
        <w:rPr>
          <w:vanish/>
        </w:rPr>
        <w:t>PE775.588</w:t>
      </w:r>
      <w:bookmarkEnd w:id="3"/>
    </w:p>
    <w:p w14:paraId="4B960B2A" w14:textId="7136282A" w:rsidR="00EA2149" w:rsidRPr="00CD179D" w:rsidRDefault="00EA2149" w:rsidP="00EA2149">
      <w:pPr>
        <w:pStyle w:val="ATHeading3"/>
      </w:pPr>
      <w:bookmarkStart w:id="4" w:name="Sujet"/>
      <w:r w:rsidRPr="00CD179D">
        <w:t>Usnesení Evropského parlamentu ze dne 8. října 2025 o prováděcí</w:t>
      </w:r>
      <w:r w:rsidR="00A35EAE">
        <w:t>m</w:t>
      </w:r>
      <w:r w:rsidRPr="00CD179D">
        <w:t xml:space="preserve"> rozhodnutí </w:t>
      </w:r>
      <w:r w:rsidRPr="00A35EAE">
        <w:t xml:space="preserve">Komise </w:t>
      </w:r>
      <w:r w:rsidR="00A35EAE" w:rsidRPr="008A7AA1">
        <w:rPr>
          <w:szCs w:val="24"/>
        </w:rPr>
        <w:t xml:space="preserve">(EU) 2025/1898 </w:t>
      </w:r>
      <w:r w:rsidR="00A35EAE">
        <w:rPr>
          <w:szCs w:val="24"/>
        </w:rPr>
        <w:t>ze dne 22. září</w:t>
      </w:r>
      <w:r w:rsidR="00A35EAE" w:rsidRPr="008A7AA1">
        <w:rPr>
          <w:szCs w:val="24"/>
        </w:rPr>
        <w:t xml:space="preserve"> 2025</w:t>
      </w:r>
      <w:r w:rsidR="00A35EAE" w:rsidRPr="00A35EAE">
        <w:rPr>
          <w:szCs w:val="24"/>
        </w:rPr>
        <w:t xml:space="preserve"> </w:t>
      </w:r>
      <w:r w:rsidRPr="00A35EAE">
        <w:t>o</w:t>
      </w:r>
      <w:r w:rsidRPr="00CD179D">
        <w:t> povolení uvedení produktů, které obsahují geneticky modifikovanou kukuřici DP51291, sestávají z ní nebo jsou z ní vyrobeny, na trh podle nařízení Evropského parlamentu a Rady (ES) č. 1829/2003</w:t>
      </w:r>
      <w:bookmarkEnd w:id="4"/>
      <w:r w:rsidRPr="00CD179D">
        <w:t xml:space="preserve"> </w:t>
      </w:r>
      <w:bookmarkStart w:id="5" w:name="References"/>
      <w:r w:rsidRPr="00CD179D">
        <w:t>(2025/2807(RSP))</w:t>
      </w:r>
      <w:bookmarkEnd w:id="5"/>
    </w:p>
    <w:p w14:paraId="33C2BECB" w14:textId="77777777" w:rsidR="00F94AD4" w:rsidRPr="00CD179D" w:rsidRDefault="00F94AD4" w:rsidP="00F94AD4">
      <w:pPr>
        <w:pStyle w:val="EPComma"/>
        <w:jc w:val="both"/>
      </w:pPr>
      <w:bookmarkStart w:id="6" w:name="TextBodyBegin"/>
      <w:bookmarkEnd w:id="6"/>
      <w:r w:rsidRPr="00CD179D">
        <w:rPr>
          <w:i/>
          <w:iCs/>
        </w:rPr>
        <w:t>Evropský parlament</w:t>
      </w:r>
      <w:r w:rsidRPr="00CD179D">
        <w:t>,</w:t>
      </w:r>
    </w:p>
    <w:p w14:paraId="511E4105" w14:textId="63956BE7" w:rsidR="00F94AD4" w:rsidRPr="000D4CA2" w:rsidRDefault="00F94AD4" w:rsidP="000D4CA2">
      <w:pPr>
        <w:pStyle w:val="NormalHanging12a"/>
        <w:widowControl/>
      </w:pPr>
      <w:r w:rsidRPr="00CD179D">
        <w:t>–</w:t>
      </w:r>
      <w:r w:rsidRPr="00CD179D">
        <w:tab/>
        <w:t xml:space="preserve">s ohledem na návrh prováděcího rozhodnutí Komise </w:t>
      </w:r>
      <w:r w:rsidR="000D4CA2">
        <w:t>(EU) 2025/1898</w:t>
      </w:r>
      <w:r w:rsidR="000D4CA2">
        <w:t xml:space="preserve"> </w:t>
      </w:r>
      <w:r w:rsidR="000D4CA2">
        <w:t>ze dne 22. září 2025</w:t>
      </w:r>
      <w:r w:rsidR="000D4CA2">
        <w:t xml:space="preserve"> </w:t>
      </w:r>
      <w:r w:rsidRPr="00CD179D">
        <w:t>o povolení uvedení produktů, které obsahují geneticky modifikovanou kukuřici DP51291, sestávají z ní nebo jsou z ní vyrobeny, na trh podle nařízení Evropského parlamentu a Rady (ES) č. 1829/</w:t>
      </w:r>
      <w:r w:rsidRPr="00BE2F6C">
        <w:t>2003</w:t>
      </w:r>
      <w:r w:rsidR="00BE2F6C" w:rsidRPr="008A7AA1">
        <w:rPr>
          <w:rStyle w:val="FootnoteReference"/>
          <w:szCs w:val="24"/>
        </w:rPr>
        <w:footnoteReference w:id="1"/>
      </w:r>
      <w:r w:rsidRPr="00CD179D">
        <w:t>,</w:t>
      </w:r>
    </w:p>
    <w:p w14:paraId="10B13D67" w14:textId="77777777" w:rsidR="00F94AD4" w:rsidRPr="00CD179D" w:rsidRDefault="00F94AD4" w:rsidP="00CD179D">
      <w:pPr>
        <w:pStyle w:val="NormalHanging12a"/>
        <w:widowControl/>
        <w:rPr>
          <w:szCs w:val="24"/>
        </w:rPr>
      </w:pPr>
      <w:r w:rsidRPr="00CD179D">
        <w:t>–</w:t>
      </w:r>
      <w:r w:rsidRPr="00CD179D">
        <w:tab/>
        <w:t>s ohledem na nařízení Evropského parlamentu a Rady (ES) č. 1829/2003 ze dne 22. září 2003 o geneticky modifikovaných potravinách a krmivech</w:t>
      </w:r>
      <w:r w:rsidRPr="00CD179D">
        <w:rPr>
          <w:rStyle w:val="FootnoteReference"/>
          <w:szCs w:val="24"/>
        </w:rPr>
        <w:footnoteReference w:id="2"/>
      </w:r>
      <w:r w:rsidRPr="00CD179D">
        <w:t>, a zejména na čl. 7 odst. 3 a čl. 19 odst. 3 uvedeného nařízení,</w:t>
      </w:r>
    </w:p>
    <w:p w14:paraId="7A8D510F" w14:textId="77777777" w:rsidR="00F94AD4" w:rsidRPr="00CD179D" w:rsidRDefault="00F94AD4" w:rsidP="00CD179D">
      <w:pPr>
        <w:pStyle w:val="NormalHanging12a"/>
        <w:widowControl/>
        <w:rPr>
          <w:szCs w:val="24"/>
        </w:rPr>
      </w:pPr>
      <w:r w:rsidRPr="00CD179D">
        <w:t>–</w:t>
      </w:r>
      <w:r w:rsidRPr="00CD179D">
        <w:tab/>
        <w:t>s ohledem na hlasování</w:t>
      </w:r>
      <w:r w:rsidRPr="00CD179D">
        <w:rPr>
          <w:shd w:val="clear" w:color="auto" w:fill="FFFFFF"/>
        </w:rPr>
        <w:t xml:space="preserve"> Stálého výboru pro rostliny, zvířata, potraviny a krmiva podle článku 35 nařízení (ES) č. 1829/2003 ze dne 13. června 2025, kdy nebylo vydáno žádné stanovisko, a na hlasování odvolacího výboru ze dne 15. července 2025, kdy opět nebylo </w:t>
      </w:r>
      <w:r w:rsidRPr="00CD179D">
        <w:t>vydáno žádné stanovisko,</w:t>
      </w:r>
    </w:p>
    <w:p w14:paraId="1A6BB8F1" w14:textId="485E7F06" w:rsidR="00F94AD4" w:rsidRPr="00CD179D" w:rsidRDefault="00F94AD4" w:rsidP="00CD179D">
      <w:pPr>
        <w:pStyle w:val="NormalHanging12a"/>
        <w:widowControl/>
        <w:rPr>
          <w:szCs w:val="24"/>
        </w:rPr>
      </w:pPr>
      <w:r w:rsidRPr="00CD179D">
        <w:t>–</w:t>
      </w:r>
      <w:r w:rsidRPr="00CD179D">
        <w:tab/>
        <w:t>s ohledem na článek 11 nařízení Evropského parlamentu a Rady (EU) č. 182/2011 ze</w:t>
      </w:r>
      <w:r w:rsidR="001C5C8E" w:rsidRPr="00CD179D">
        <w:t> </w:t>
      </w:r>
      <w:r w:rsidRPr="00CD179D">
        <w:t>dne 16. února 2011, kterým se stanoví pravidla a obecné zásady způsobu, jakým členské státy kontrolují Komisi při výkonu prováděcích pravomocí</w:t>
      </w:r>
      <w:r w:rsidRPr="00CD179D">
        <w:rPr>
          <w:rStyle w:val="FootnoteReference"/>
          <w:szCs w:val="24"/>
        </w:rPr>
        <w:footnoteReference w:id="3"/>
      </w:r>
      <w:r w:rsidRPr="00CD179D">
        <w:t>,</w:t>
      </w:r>
    </w:p>
    <w:p w14:paraId="31A2BF35" w14:textId="3311B242" w:rsidR="00F94AD4" w:rsidRPr="00CD179D" w:rsidRDefault="00F94AD4" w:rsidP="00CD179D">
      <w:pPr>
        <w:pStyle w:val="NormalHanging12a"/>
        <w:widowControl/>
        <w:rPr>
          <w:szCs w:val="24"/>
        </w:rPr>
      </w:pPr>
      <w:r w:rsidRPr="00CD179D">
        <w:t>–</w:t>
      </w:r>
      <w:r w:rsidRPr="00CD179D">
        <w:tab/>
        <w:t>s ohledem na stanovisko Evropského úřadu pro bezpečnost potravin (EFSA) ze dne 2.</w:t>
      </w:r>
      <w:r w:rsidR="001C5C8E" w:rsidRPr="00CD179D">
        <w:t> </w:t>
      </w:r>
      <w:r w:rsidRPr="00CD179D">
        <w:t>října 2024, které bylo zveřejněno dne 11. listopadu 2024</w:t>
      </w:r>
      <w:r w:rsidRPr="00CD179D">
        <w:rPr>
          <w:rStyle w:val="FootnoteReference"/>
          <w:szCs w:val="24"/>
        </w:rPr>
        <w:footnoteReference w:id="4"/>
      </w:r>
      <w:r w:rsidRPr="00CD179D">
        <w:t>,</w:t>
      </w:r>
    </w:p>
    <w:p w14:paraId="4B8E1CEF" w14:textId="77777777" w:rsidR="00F94AD4" w:rsidRPr="00CD179D" w:rsidRDefault="00F94AD4" w:rsidP="00CD179D">
      <w:pPr>
        <w:pStyle w:val="NormalHanging12a"/>
        <w:widowControl/>
        <w:rPr>
          <w:szCs w:val="24"/>
          <w:shd w:val="clear" w:color="auto" w:fill="FFFFFF"/>
        </w:rPr>
      </w:pPr>
      <w:r w:rsidRPr="00CD179D">
        <w:lastRenderedPageBreak/>
        <w:t>–</w:t>
      </w:r>
      <w:r w:rsidRPr="00CD179D">
        <w:tab/>
      </w:r>
      <w:r w:rsidRPr="00CD179D">
        <w:rPr>
          <w:shd w:val="clear" w:color="auto" w:fill="FFFFFF"/>
        </w:rPr>
        <w:t>s ohledem na svá předchozí usnesení, v nichž vyslovil námitku vůči povolení geneticky modifikovaných organismů (dále jen „GMO“)</w:t>
      </w:r>
      <w:r w:rsidRPr="00CD179D">
        <w:rPr>
          <w:rStyle w:val="FootnoteReference"/>
          <w:szCs w:val="24"/>
          <w:shd w:val="clear" w:color="auto" w:fill="FFFFFF"/>
        </w:rPr>
        <w:footnoteReference w:id="5"/>
      </w:r>
      <w:r w:rsidRPr="00CD179D">
        <w:rPr>
          <w:shd w:val="clear" w:color="auto" w:fill="FFFFFF"/>
        </w:rPr>
        <w:t>,</w:t>
      </w:r>
    </w:p>
    <w:p w14:paraId="25F8DE02" w14:textId="77777777" w:rsidR="00F94AD4" w:rsidRPr="00CD179D" w:rsidRDefault="00F94AD4" w:rsidP="00CD179D">
      <w:pPr>
        <w:pStyle w:val="NormalHanging12a"/>
        <w:widowControl/>
        <w:rPr>
          <w:szCs w:val="24"/>
        </w:rPr>
      </w:pPr>
      <w:r w:rsidRPr="00CD179D">
        <w:lastRenderedPageBreak/>
        <w:t>–</w:t>
      </w:r>
      <w:r w:rsidRPr="00CD179D">
        <w:tab/>
        <w:t>s ohledem na čl. 115 odst. 2 a 3 jednacího řádu,</w:t>
      </w:r>
    </w:p>
    <w:p w14:paraId="5769BCC1" w14:textId="77777777" w:rsidR="00F94AD4" w:rsidRPr="00CD179D" w:rsidRDefault="00F94AD4" w:rsidP="00CD179D">
      <w:pPr>
        <w:pStyle w:val="NormalHanging12a"/>
        <w:widowControl/>
        <w:rPr>
          <w:szCs w:val="24"/>
        </w:rPr>
      </w:pPr>
      <w:r w:rsidRPr="00CD179D">
        <w:t>–</w:t>
      </w:r>
      <w:r w:rsidRPr="00CD179D">
        <w:tab/>
        <w:t>s ohledem na návrh usnesení Výboru pro životní prostředí, klima a bezpečnost potravin,</w:t>
      </w:r>
    </w:p>
    <w:p w14:paraId="0E7B23A4" w14:textId="77777777" w:rsidR="00F94AD4" w:rsidRPr="00CD179D" w:rsidRDefault="00F94AD4" w:rsidP="00CD179D">
      <w:pPr>
        <w:pStyle w:val="NormalHanging12a"/>
        <w:widowControl/>
        <w:rPr>
          <w:szCs w:val="24"/>
        </w:rPr>
      </w:pPr>
      <w:r w:rsidRPr="00CD179D">
        <w:t>A.</w:t>
      </w:r>
      <w:r w:rsidRPr="00CD179D">
        <w:tab/>
        <w:t xml:space="preserve">vzhledem k tomu, že dne 27. ledna 2023 předložila společnost </w:t>
      </w:r>
      <w:proofErr w:type="spellStart"/>
      <w:r w:rsidRPr="00CD179D">
        <w:t>Corteva</w:t>
      </w:r>
      <w:proofErr w:type="spellEnd"/>
      <w:r w:rsidRPr="00CD179D">
        <w:t xml:space="preserve"> </w:t>
      </w:r>
      <w:proofErr w:type="spellStart"/>
      <w:r w:rsidRPr="00CD179D">
        <w:t>Agriscience</w:t>
      </w:r>
      <w:proofErr w:type="spellEnd"/>
      <w:r w:rsidRPr="00CD179D">
        <w:t xml:space="preserve"> </w:t>
      </w:r>
      <w:proofErr w:type="spellStart"/>
      <w:r w:rsidRPr="00CD179D">
        <w:t>Belgium</w:t>
      </w:r>
      <w:proofErr w:type="spellEnd"/>
      <w:r w:rsidRPr="00CD179D">
        <w:t xml:space="preserve"> B.V. se sídlem v Belgii jménem společnosti </w:t>
      </w:r>
      <w:proofErr w:type="spellStart"/>
      <w:r w:rsidRPr="00CD179D">
        <w:t>Corteva</w:t>
      </w:r>
      <w:proofErr w:type="spellEnd"/>
      <w:r w:rsidRPr="00CD179D">
        <w:t xml:space="preserve"> </w:t>
      </w:r>
      <w:proofErr w:type="spellStart"/>
      <w:r w:rsidRPr="00CD179D">
        <w:t>Agriscience</w:t>
      </w:r>
      <w:proofErr w:type="spellEnd"/>
      <w:r w:rsidRPr="00CD179D">
        <w:t xml:space="preserve"> LLC se sídlem ve Spojených státech příslušnému vnitrostátnímu orgánu Nizozemska žádost o uvedení potravin, složek potravin a krmiv, které obsahují geneticky modifikovanou kukuřici DP51291 (dále jen „geneticky modifikovaná kukuřice“), sestávají z ní nebo jsou z ní vyrobeny, na trh;</w:t>
      </w:r>
    </w:p>
    <w:p w14:paraId="2512F0CB" w14:textId="77777777" w:rsidR="00F94AD4" w:rsidRPr="00CD179D" w:rsidRDefault="00F94AD4" w:rsidP="00CD179D">
      <w:pPr>
        <w:pStyle w:val="NormalHanging12a"/>
        <w:widowControl/>
        <w:rPr>
          <w:szCs w:val="24"/>
        </w:rPr>
      </w:pPr>
      <w:r w:rsidRPr="00CD179D">
        <w:t>B.</w:t>
      </w:r>
      <w:r w:rsidRPr="00CD179D">
        <w:tab/>
        <w:t xml:space="preserve">vzhledem k tomu, že geneticky modifikovaná kukuřice produkuje toxin IPD072Aa, který působí proti bázlivci kukuřičnému, protein </w:t>
      </w:r>
      <w:proofErr w:type="spellStart"/>
      <w:r w:rsidRPr="00CD179D">
        <w:t>fosfinotricinacetyltransferázu</w:t>
      </w:r>
      <w:proofErr w:type="spellEnd"/>
      <w:r w:rsidRPr="00CD179D">
        <w:t xml:space="preserve"> (PAT), který zajišťuje toleranci vůči herbicidům obsahujícím </w:t>
      </w:r>
      <w:proofErr w:type="spellStart"/>
      <w:r w:rsidRPr="00CD179D">
        <w:t>glufosinát</w:t>
      </w:r>
      <w:proofErr w:type="spellEnd"/>
      <w:r w:rsidRPr="00CD179D">
        <w:t>, a protein PMI jako selekční marker;</w:t>
      </w:r>
    </w:p>
    <w:p w14:paraId="62AC67A6" w14:textId="77777777" w:rsidR="00F94AD4" w:rsidRPr="00CD179D" w:rsidRDefault="00F94AD4" w:rsidP="00CD179D">
      <w:pPr>
        <w:pStyle w:val="NormalHanging12a"/>
        <w:widowControl/>
        <w:rPr>
          <w:szCs w:val="24"/>
        </w:rPr>
      </w:pPr>
      <w:r w:rsidRPr="00CD179D">
        <w:t>C.</w:t>
      </w:r>
      <w:r w:rsidRPr="00CD179D">
        <w:tab/>
        <w:t xml:space="preserve">vzhledem k tomu, že </w:t>
      </w:r>
      <w:proofErr w:type="spellStart"/>
      <w:r w:rsidRPr="00CD179D">
        <w:t>glufosinát</w:t>
      </w:r>
      <w:proofErr w:type="spellEnd"/>
      <w:r w:rsidRPr="00CD179D">
        <w:t>, který je považován za doplňkový herbicid, je klasifikován jako látka toxická pro reprodukci v kategorii 1B, a proto splňuje „mezní kritéria“ stanovená v nařízení Evropského parlamentu a Rady (ES) č. 1107/2009</w:t>
      </w:r>
      <w:r w:rsidRPr="00CD179D">
        <w:rPr>
          <w:rStyle w:val="FootnoteReference"/>
          <w:szCs w:val="24"/>
        </w:rPr>
        <w:footnoteReference w:id="6"/>
      </w:r>
      <w:r w:rsidRPr="00CD179D">
        <w:t xml:space="preserve">; vzhledem k tomu, že platnost povolení pro používání </w:t>
      </w:r>
      <w:proofErr w:type="spellStart"/>
      <w:r w:rsidRPr="00CD179D">
        <w:t>glufosinátu</w:t>
      </w:r>
      <w:proofErr w:type="spellEnd"/>
      <w:r w:rsidRPr="00CD179D">
        <w:t xml:space="preserve"> v Unii skončila dne 31. července 2018;</w:t>
      </w:r>
    </w:p>
    <w:p w14:paraId="0B112539" w14:textId="77777777" w:rsidR="00F94AD4" w:rsidRPr="00CD179D" w:rsidRDefault="00F94AD4" w:rsidP="00CD179D">
      <w:pPr>
        <w:pStyle w:val="NormalHanging12a"/>
        <w:widowControl/>
        <w:rPr>
          <w:szCs w:val="24"/>
        </w:rPr>
      </w:pPr>
      <w:r w:rsidRPr="00CD179D">
        <w:t>D.</w:t>
      </w:r>
      <w:r w:rsidRPr="00CD179D">
        <w:tab/>
        <w:t xml:space="preserve">vzhledem k tomu, že IPD072Aa je insekticidní toxin produkovaný bakterií </w:t>
      </w:r>
      <w:proofErr w:type="spellStart"/>
      <w:r w:rsidRPr="00CD179D">
        <w:t>Pseudomonas</w:t>
      </w:r>
      <w:proofErr w:type="spellEnd"/>
      <w:r w:rsidRPr="00CD179D">
        <w:t xml:space="preserve"> </w:t>
      </w:r>
      <w:proofErr w:type="spellStart"/>
      <w:r w:rsidRPr="00CD179D">
        <w:t>chlororaphis</w:t>
      </w:r>
      <w:proofErr w:type="spellEnd"/>
      <w:r w:rsidRPr="00CD179D">
        <w:t xml:space="preserve">, který byl vyvinut tak, aby působil proti bázlivci kukuřičnému; </w:t>
      </w:r>
    </w:p>
    <w:p w14:paraId="2BCDADFC" w14:textId="77777777" w:rsidR="00F94AD4" w:rsidRPr="00CD179D" w:rsidRDefault="00F94AD4" w:rsidP="00CD179D">
      <w:pPr>
        <w:pStyle w:val="NormalHanging12a"/>
        <w:widowControl/>
        <w:rPr>
          <w:b/>
          <w:i/>
          <w:iCs/>
          <w:szCs w:val="24"/>
        </w:rPr>
      </w:pPr>
      <w:r w:rsidRPr="00CD179D">
        <w:rPr>
          <w:b/>
          <w:i/>
        </w:rPr>
        <w:t>Komplexní genetické inženýrství</w:t>
      </w:r>
    </w:p>
    <w:p w14:paraId="0C9871D2" w14:textId="77777777" w:rsidR="00F94AD4" w:rsidRPr="00CD179D" w:rsidRDefault="00F94AD4" w:rsidP="00CD179D">
      <w:pPr>
        <w:pStyle w:val="NormalHanging12a"/>
        <w:widowControl/>
        <w:rPr>
          <w:szCs w:val="24"/>
        </w:rPr>
      </w:pPr>
      <w:r w:rsidRPr="00CD179D">
        <w:t>E.</w:t>
      </w:r>
      <w:r w:rsidRPr="00CD179D">
        <w:tab/>
        <w:t xml:space="preserve">vzhledem k tomu, že kukuřice DP51291 byla vyvinuta složitým, vícestupňovým procesem genetického inženýrství, který zahrnoval vytvoření genomové „přistávací podušky“, po kterém následovalo společné bombardování </w:t>
      </w:r>
      <w:proofErr w:type="spellStart"/>
      <w:r w:rsidRPr="00CD179D">
        <w:t>mikroprojektily</w:t>
      </w:r>
      <w:proofErr w:type="spellEnd"/>
      <w:r w:rsidRPr="00CD179D">
        <w:t xml:space="preserve"> pomocí pěti </w:t>
      </w:r>
      <w:proofErr w:type="spellStart"/>
      <w:r w:rsidRPr="00CD179D">
        <w:lastRenderedPageBreak/>
        <w:t>plasmidů</w:t>
      </w:r>
      <w:proofErr w:type="spellEnd"/>
      <w:r w:rsidRPr="00CD179D">
        <w:t xml:space="preserve"> a následné vložení kazet s genovou expresí do přistávací podušky pomocí baktérií </w:t>
      </w:r>
      <w:proofErr w:type="spellStart"/>
      <w:r w:rsidRPr="00CD179D">
        <w:t>Agrobacterium</w:t>
      </w:r>
      <w:proofErr w:type="spellEnd"/>
      <w:r w:rsidRPr="00CD179D">
        <w:t xml:space="preserve"> </w:t>
      </w:r>
      <w:proofErr w:type="spellStart"/>
      <w:r w:rsidRPr="00CD179D">
        <w:t>tumefaciens</w:t>
      </w:r>
      <w:proofErr w:type="spellEnd"/>
      <w:r w:rsidRPr="00CD179D">
        <w:t>;</w:t>
      </w:r>
    </w:p>
    <w:p w14:paraId="4F532D86" w14:textId="77777777" w:rsidR="00F94AD4" w:rsidRPr="00CD179D" w:rsidRDefault="00F94AD4" w:rsidP="00CD179D">
      <w:pPr>
        <w:pStyle w:val="NormalHanging12a"/>
        <w:widowControl/>
        <w:rPr>
          <w:szCs w:val="24"/>
        </w:rPr>
      </w:pPr>
      <w:r w:rsidRPr="00CD179D">
        <w:t>F.</w:t>
      </w:r>
      <w:r w:rsidRPr="00CD179D">
        <w:tab/>
        <w:t xml:space="preserve">vzhledem k tomu, že tento proces genetické modifikace vedl k odstranění 113 párů bází genomové DNA kukuřice, jak bylo zjištěno </w:t>
      </w:r>
      <w:proofErr w:type="spellStart"/>
      <w:r w:rsidRPr="00CD179D">
        <w:t>bioinformatickou</w:t>
      </w:r>
      <w:proofErr w:type="spellEnd"/>
      <w:r w:rsidRPr="00CD179D">
        <w:t xml:space="preserve"> analýzou, a ke vzniku několika nových otevřených čtecích rámců (ORF), což naznačuje možná genomová narušení vzniklá v důsledku transformačního postupu; vzhledem k tomu, že pět z těchto ORF vykazovalo více než 35% totožnost sekvence se známými alergeny, čímž překročily hranici běžně používanou při posuzování </w:t>
      </w:r>
      <w:proofErr w:type="spellStart"/>
      <w:r w:rsidRPr="00CD179D">
        <w:t>alergenicity</w:t>
      </w:r>
      <w:proofErr w:type="spellEnd"/>
      <w:r w:rsidRPr="00CD179D">
        <w:rPr>
          <w:rStyle w:val="FootnoteReference"/>
          <w:szCs w:val="24"/>
        </w:rPr>
        <w:footnoteReference w:id="7"/>
      </w:r>
      <w:r w:rsidRPr="00CD179D">
        <w:t xml:space="preserve">; </w:t>
      </w:r>
    </w:p>
    <w:p w14:paraId="45065C46" w14:textId="77777777" w:rsidR="00F94AD4" w:rsidRPr="00CD179D" w:rsidRDefault="00F94AD4" w:rsidP="00CD179D">
      <w:pPr>
        <w:pStyle w:val="NormalHanging12a"/>
        <w:widowControl/>
        <w:rPr>
          <w:b/>
          <w:i/>
          <w:iCs/>
          <w:szCs w:val="24"/>
        </w:rPr>
      </w:pPr>
      <w:r w:rsidRPr="00CD179D">
        <w:rPr>
          <w:b/>
          <w:i/>
        </w:rPr>
        <w:t>Nedostatek údajů o zemědělských postupech a environmentálních faktorech</w:t>
      </w:r>
    </w:p>
    <w:p w14:paraId="200EC72B" w14:textId="77777777" w:rsidR="00F94AD4" w:rsidRPr="00CD179D" w:rsidRDefault="00F94AD4" w:rsidP="00CD179D">
      <w:pPr>
        <w:pStyle w:val="NormalHanging12a"/>
        <w:widowControl/>
        <w:rPr>
          <w:szCs w:val="24"/>
        </w:rPr>
      </w:pPr>
      <w:r w:rsidRPr="00CD179D">
        <w:t>G.</w:t>
      </w:r>
      <w:r w:rsidRPr="00CD179D">
        <w:tab/>
        <w:t>vzhledem k tomu, že prováděcí nařízení Komise (EU) č. 503/2013</w:t>
      </w:r>
      <w:r w:rsidRPr="00CD179D">
        <w:rPr>
          <w:rStyle w:val="FootnoteReference"/>
          <w:szCs w:val="24"/>
        </w:rPr>
        <w:footnoteReference w:id="8"/>
      </w:r>
      <w:r w:rsidRPr="00CD179D">
        <w:t xml:space="preserve"> vyžaduje vyhodnocení, zda předpokládané zemědělské postupy ovlivňují expresi sledovaných vlastností; vzhledem k tomu, že podle uvedeného prováděcího nařízení je toto vyhodnocení obzvláště důležité pro rostliny tolerantní vůči herbicidům;</w:t>
      </w:r>
    </w:p>
    <w:p w14:paraId="71FB7903" w14:textId="77777777" w:rsidR="00F94AD4" w:rsidRPr="00CD179D" w:rsidRDefault="00F94AD4" w:rsidP="00CD179D">
      <w:pPr>
        <w:pStyle w:val="NormalHanging12a"/>
        <w:widowControl/>
        <w:rPr>
          <w:szCs w:val="24"/>
        </w:rPr>
      </w:pPr>
      <w:r w:rsidRPr="00CD179D">
        <w:t>H.</w:t>
      </w:r>
      <w:r w:rsidRPr="00CD179D">
        <w:tab/>
        <w:t>vzhledem k tomu, že environmentální stresory, jako je sucho nebo extrémní teploty, mohou vyvolat neočekávané vzorce genové exprese v nově vložených sekvencích DNA</w:t>
      </w:r>
      <w:r w:rsidRPr="00CD179D">
        <w:rPr>
          <w:rStyle w:val="FootnoteReference"/>
          <w:szCs w:val="24"/>
        </w:rPr>
        <w:footnoteReference w:id="9"/>
      </w:r>
      <w:r w:rsidRPr="00CD179D">
        <w:t xml:space="preserve">; </w:t>
      </w:r>
    </w:p>
    <w:p w14:paraId="575E515D" w14:textId="77777777" w:rsidR="00F94AD4" w:rsidRPr="00CD179D" w:rsidRDefault="00F94AD4" w:rsidP="00CD179D">
      <w:pPr>
        <w:pStyle w:val="NormalHanging12a"/>
        <w:widowControl/>
        <w:rPr>
          <w:szCs w:val="24"/>
        </w:rPr>
      </w:pPr>
      <w:r w:rsidRPr="00CD179D">
        <w:t>I.</w:t>
      </w:r>
      <w:r w:rsidRPr="00CD179D">
        <w:tab/>
        <w:t>vzhledem k tomu, že hodnocení v terénních podmínkách prováděná za účelem analýzy složení a fenotypu geneticky modifikované kukuřice se uskutečnila během jediného vegetačního období (2021) ve Spojených státech a Kanadě za povětrnostních podmínek, které dostatečně nereprezentují rozmanitost oblastí pěstování kukuřice, zejména v zemích, jako je Brazílie;</w:t>
      </w:r>
    </w:p>
    <w:p w14:paraId="58643E91" w14:textId="77777777" w:rsidR="00F94AD4" w:rsidRPr="00CD179D" w:rsidRDefault="00F94AD4" w:rsidP="00CD179D">
      <w:pPr>
        <w:pStyle w:val="NormalHanging12a"/>
        <w:widowControl/>
        <w:rPr>
          <w:szCs w:val="24"/>
        </w:rPr>
      </w:pPr>
      <w:r w:rsidRPr="00CD179D">
        <w:t>J.</w:t>
      </w:r>
      <w:r w:rsidRPr="00CD179D">
        <w:tab/>
        <w:t>vzhledem k tomu, že v některých lokalitách, kde byla hodnocení provedena, byly zaznamenány extrémní povětrnostní jevy; vzhledem k tomu, že nebyla provedena žádná zvláštní šetření za účelem posouzení budoucích podmínek ovlivněných probíhající změnou klimatu;</w:t>
      </w:r>
    </w:p>
    <w:p w14:paraId="18C11C17" w14:textId="77777777" w:rsidR="00F94AD4" w:rsidRPr="00CD179D" w:rsidRDefault="00F94AD4" w:rsidP="00CD179D">
      <w:pPr>
        <w:pStyle w:val="NormalHanging12a"/>
        <w:widowControl/>
        <w:rPr>
          <w:szCs w:val="24"/>
        </w:rPr>
      </w:pPr>
      <w:r w:rsidRPr="00CD179D">
        <w:t>K.</w:t>
      </w:r>
      <w:r w:rsidRPr="00CD179D">
        <w:tab/>
        <w:t xml:space="preserve">vzhledem k tomu, že </w:t>
      </w:r>
      <w:proofErr w:type="spellStart"/>
      <w:r w:rsidRPr="00CD179D">
        <w:t>glufosinát</w:t>
      </w:r>
      <w:proofErr w:type="spellEnd"/>
      <w:r w:rsidRPr="00CD179D">
        <w:t xml:space="preserve"> byl během hodnocení v terénních podmínkách aplikován pouze jednou, a to v souladu s doporučením úřadu EFSA ohledně dávkování; vzhledem k tomu, že v reálné zemědělské praxi se však dávkování a frekvence aplikace herbicidů často výrazně liší podle regionu a mohou zahrnovat vyšší nebo opakované použití, což znamená, že údaje z hodnocení v terénních podmínkách nemusí dostatečně odrážet celou škálu environmentálních a zemědělských podmínek, za kterých bude geneticky modifikovaná kukuřice pravděpodobně pěstována nebo dovážena;</w:t>
      </w:r>
    </w:p>
    <w:p w14:paraId="435F68E9" w14:textId="77777777" w:rsidR="00F94AD4" w:rsidRPr="00CD179D" w:rsidRDefault="00F94AD4" w:rsidP="00CD179D">
      <w:pPr>
        <w:pStyle w:val="NormalHanging12a"/>
        <w:widowControl/>
        <w:rPr>
          <w:b/>
          <w:i/>
          <w:iCs/>
          <w:szCs w:val="24"/>
        </w:rPr>
      </w:pPr>
      <w:r w:rsidRPr="00CD179D">
        <w:rPr>
          <w:b/>
          <w:i/>
        </w:rPr>
        <w:lastRenderedPageBreak/>
        <w:t xml:space="preserve">Nedostatečné posouzení </w:t>
      </w:r>
      <w:proofErr w:type="spellStart"/>
      <w:r w:rsidRPr="00CD179D">
        <w:rPr>
          <w:b/>
          <w:i/>
        </w:rPr>
        <w:t>glufosinátu</w:t>
      </w:r>
      <w:proofErr w:type="spellEnd"/>
      <w:r w:rsidRPr="00CD179D">
        <w:rPr>
          <w:b/>
          <w:i/>
        </w:rPr>
        <w:t xml:space="preserve"> </w:t>
      </w:r>
    </w:p>
    <w:p w14:paraId="3E488238" w14:textId="77777777" w:rsidR="00F94AD4" w:rsidRPr="00CD179D" w:rsidRDefault="00F94AD4" w:rsidP="00CD179D">
      <w:pPr>
        <w:pStyle w:val="NormalHanging12a"/>
        <w:widowControl/>
        <w:rPr>
          <w:szCs w:val="24"/>
        </w:rPr>
      </w:pPr>
      <w:r w:rsidRPr="00CD179D">
        <w:t>L.</w:t>
      </w:r>
      <w:r w:rsidRPr="00CD179D">
        <w:tab/>
        <w:t xml:space="preserve">vzhledem k tomu, že </w:t>
      </w:r>
      <w:proofErr w:type="spellStart"/>
      <w:r w:rsidRPr="00CD179D">
        <w:t>glufosinát</w:t>
      </w:r>
      <w:proofErr w:type="spellEnd"/>
      <w:r w:rsidRPr="00CD179D">
        <w:t xml:space="preserve"> je spojen s významnými riziky pro biologickou rozmanitost, toxicitu a dlouhodobé zdraví ekosystému;</w:t>
      </w:r>
    </w:p>
    <w:p w14:paraId="7EB8746F" w14:textId="77777777" w:rsidR="00F94AD4" w:rsidRPr="00CD179D" w:rsidRDefault="00F94AD4" w:rsidP="00CD179D">
      <w:pPr>
        <w:pStyle w:val="NormalHanging12a"/>
        <w:widowControl/>
        <w:rPr>
          <w:szCs w:val="24"/>
        </w:rPr>
      </w:pPr>
      <w:r w:rsidRPr="00CD179D">
        <w:t>M.</w:t>
      </w:r>
      <w:r w:rsidRPr="00CD179D">
        <w:tab/>
        <w:t>vzhledem k tomu, že naprostá většina geneticky modifikovaných plodin je geneticky upravena tak, aby byla tolerantní vůči jednomu či více „doplňkovým“ herbicidům, které lze použít po celou dobu jejich pěstování, aniž by plodiny uhynuly, jak by tomu bylo v případě, kdyby nebyly vůči herbicidům tolerantní; vzhledem k tomu, že řada studií ukazuje, že geneticky modifikované plodiny, které jsou tolerantní vůči herbicidům, vedou k vyššímu používání doplňkových herbicidů, zejména kvůli častějšímu výskytu plevele odolného vůči herbicidům</w:t>
      </w:r>
      <w:r w:rsidRPr="00CD179D">
        <w:rPr>
          <w:rStyle w:val="FootnoteReference"/>
          <w:szCs w:val="24"/>
        </w:rPr>
        <w:footnoteReference w:id="10"/>
      </w:r>
      <w:r w:rsidRPr="00CD179D">
        <w:t>;</w:t>
      </w:r>
    </w:p>
    <w:p w14:paraId="0557BB37" w14:textId="77777777" w:rsidR="00F94AD4" w:rsidRPr="00CD179D" w:rsidRDefault="00F94AD4" w:rsidP="00CD179D">
      <w:pPr>
        <w:pStyle w:val="NormalHanging12a"/>
        <w:widowControl/>
        <w:rPr>
          <w:szCs w:val="24"/>
        </w:rPr>
      </w:pPr>
      <w:r w:rsidRPr="00CD179D">
        <w:t>N.</w:t>
      </w:r>
      <w:r w:rsidRPr="00CD179D">
        <w:tab/>
        <w:t>vzhledem k tomu, že pěstitelé geneticky modifikovaných plodin, které jsou tolerantní vůči herbicidům, se dostávají do patové situace, neboť při jejich ochraně před plevelem jsou z velké části nebo zcela závislí na herbicidech, což je dáno tím, že za geneticky modifikované osivo je účtována přirážka, která dává smysl pouze tehdy, pokud pěstitelé na tato osiva současně používají doplňkové herbicidy; vzhledem k tomu, že větší závislost zemědělských podniků, které pěstují geneticky modifikované plodiny, na doplňkových herbicidech vede k tomu, že se rychleji objevuje a šíří plevel odolný vůči těmto herbicidům, takže se zemědělci ocitají v začarovaném kruhu, neboť musí používat stále větší množství herbicidů;</w:t>
      </w:r>
    </w:p>
    <w:p w14:paraId="11B5EE3F" w14:textId="77777777" w:rsidR="00F94AD4" w:rsidRPr="00CD179D" w:rsidRDefault="00F94AD4" w:rsidP="00CD179D">
      <w:pPr>
        <w:pStyle w:val="NormalHanging12a"/>
        <w:widowControl/>
        <w:rPr>
          <w:szCs w:val="24"/>
        </w:rPr>
      </w:pPr>
      <w:r w:rsidRPr="00CD179D">
        <w:t>O.</w:t>
      </w:r>
      <w:r w:rsidRPr="00CD179D">
        <w:tab/>
        <w:t>vzhledem k tomu, že nadměrné používání herbicidů má negativní dopad na zdraví půdy, kvalitu vody a biologickou rozmanitost půdní i nadzemní fauny a flóry a zvyšuje expozici lidí i zvířat, potenciálně také v důsledku většího obsahu reziduí herbicidů v potravinách a krmivech;</w:t>
      </w:r>
    </w:p>
    <w:p w14:paraId="0B81A262" w14:textId="77777777" w:rsidR="00F94AD4" w:rsidRPr="00CD179D" w:rsidRDefault="00F94AD4" w:rsidP="00CD179D">
      <w:pPr>
        <w:pStyle w:val="NormalHanging12a"/>
        <w:widowControl/>
        <w:rPr>
          <w:szCs w:val="24"/>
        </w:rPr>
      </w:pPr>
      <w:r w:rsidRPr="00CD179D">
        <w:t>P.</w:t>
      </w:r>
      <w:r w:rsidRPr="00CD179D">
        <w:tab/>
        <w:t>vzhledem k tomu, že se má za to, že posuzování reziduí herbicidů a metabolitů nalezených v geneticky modifikovaných rostlinách nespadá do působnosti vědecké komise úřadu EFSA pro geneticky modifikované organismy (komise EFSA pro GMO), a v rámci postupu povolování geneticky modifikovaných organismů se proto neprovádí;</w:t>
      </w:r>
    </w:p>
    <w:p w14:paraId="073F459F" w14:textId="77777777" w:rsidR="00F94AD4" w:rsidRPr="00CD179D" w:rsidRDefault="00F94AD4" w:rsidP="00CD179D">
      <w:pPr>
        <w:pStyle w:val="NormalHanging12a"/>
        <w:widowControl/>
        <w:rPr>
          <w:b/>
          <w:i/>
          <w:iCs/>
          <w:szCs w:val="24"/>
        </w:rPr>
      </w:pPr>
      <w:r w:rsidRPr="00CD179D">
        <w:rPr>
          <w:b/>
          <w:i/>
        </w:rPr>
        <w:t>Nedořešené otázky týkající se toxinu IPD072Aa</w:t>
      </w:r>
    </w:p>
    <w:p w14:paraId="215EAB32" w14:textId="77777777" w:rsidR="00F94AD4" w:rsidRPr="00CD179D" w:rsidRDefault="00F94AD4" w:rsidP="00CD179D">
      <w:pPr>
        <w:pStyle w:val="NormalHanging12a"/>
        <w:widowControl/>
        <w:rPr>
          <w:szCs w:val="24"/>
        </w:rPr>
      </w:pPr>
      <w:r w:rsidRPr="00CD179D">
        <w:t>Q.</w:t>
      </w:r>
      <w:r w:rsidRPr="00CD179D">
        <w:tab/>
        <w:t>vzhledem k tomu, že prováděcí nařízení (EU) č. 503/2013 vyžaduje toxikologické posouzení, které má prokázat, že zamýšlené účinky genetické modifikace nemají nepříznivé účinky na zdraví lidí a zvířat;</w:t>
      </w:r>
    </w:p>
    <w:p w14:paraId="47DA6D1D" w14:textId="77777777" w:rsidR="00F94AD4" w:rsidRPr="00CD179D" w:rsidRDefault="00F94AD4" w:rsidP="00CD179D">
      <w:pPr>
        <w:pStyle w:val="NormalHanging12a"/>
        <w:widowControl/>
        <w:rPr>
          <w:szCs w:val="24"/>
        </w:rPr>
      </w:pPr>
      <w:r w:rsidRPr="00CD179D">
        <w:lastRenderedPageBreak/>
        <w:t>R.</w:t>
      </w:r>
      <w:r w:rsidRPr="00CD179D">
        <w:tab/>
        <w:t xml:space="preserve">vzhledem k tomu, že IPD072Aa je nový protein, což znamená, že se jeho použití v zemědělství a zavedení do potravinového řetězce nemůže plně opírat o dříve získané zkušenosti; </w:t>
      </w:r>
    </w:p>
    <w:p w14:paraId="2198C41C" w14:textId="77777777" w:rsidR="00F94AD4" w:rsidRPr="00CD179D" w:rsidRDefault="00F94AD4" w:rsidP="00CD179D">
      <w:pPr>
        <w:pStyle w:val="NormalHanging12a"/>
        <w:widowControl/>
        <w:rPr>
          <w:szCs w:val="24"/>
        </w:rPr>
      </w:pPr>
      <w:r w:rsidRPr="00CD179D">
        <w:t>S.</w:t>
      </w:r>
      <w:r w:rsidRPr="00CD179D">
        <w:tab/>
        <w:t>vzhledem k tomu, že navzdory rozdílům je kvůli zaznamenaným podobnostem mezi IPD072Aa a </w:t>
      </w:r>
      <w:proofErr w:type="spellStart"/>
      <w:r w:rsidRPr="00CD179D">
        <w:t>Bt</w:t>
      </w:r>
      <w:proofErr w:type="spellEnd"/>
      <w:r w:rsidRPr="00CD179D">
        <w:t xml:space="preserve"> toxiny nutné jej pečlivě zvážit při posuzování rizik; vzhledem k tomu, že několik studií naznačilo, že </w:t>
      </w:r>
      <w:proofErr w:type="spellStart"/>
      <w:r w:rsidRPr="00CD179D">
        <w:t>Bt</w:t>
      </w:r>
      <w:proofErr w:type="spellEnd"/>
      <w:r w:rsidRPr="00CD179D">
        <w:t xml:space="preserve"> toxiny mohou vyvolávat vedlejší účinky související s imunitou, včetně možných adjuvantních vlastností</w:t>
      </w:r>
      <w:r w:rsidRPr="00CD179D">
        <w:rPr>
          <w:rStyle w:val="FootnoteReference"/>
          <w:szCs w:val="24"/>
        </w:rPr>
        <w:footnoteReference w:id="11"/>
      </w:r>
      <w:r w:rsidRPr="00CD179D">
        <w:t xml:space="preserve">, což znamená, že mohou zvyšovat </w:t>
      </w:r>
      <w:proofErr w:type="spellStart"/>
      <w:r w:rsidRPr="00CD179D">
        <w:t>alergenicitu</w:t>
      </w:r>
      <w:proofErr w:type="spellEnd"/>
      <w:r w:rsidRPr="00CD179D">
        <w:t xml:space="preserve"> jiných proteinů, s nimiž přijdou do styku;</w:t>
      </w:r>
    </w:p>
    <w:p w14:paraId="7CA82017" w14:textId="77777777" w:rsidR="00F94AD4" w:rsidRPr="00CD179D" w:rsidRDefault="00F94AD4" w:rsidP="00CD179D">
      <w:pPr>
        <w:pStyle w:val="NormalHanging12a"/>
        <w:widowControl/>
        <w:rPr>
          <w:szCs w:val="24"/>
        </w:rPr>
      </w:pPr>
      <w:r w:rsidRPr="00CD179D">
        <w:t>T.</w:t>
      </w:r>
      <w:r w:rsidRPr="00CD179D">
        <w:tab/>
        <w:t xml:space="preserve">vzhledem k tomu, že jistá vědecká studie zjistila, že toxicita </w:t>
      </w:r>
      <w:proofErr w:type="spellStart"/>
      <w:r w:rsidRPr="00CD179D">
        <w:t>Bt</w:t>
      </w:r>
      <w:proofErr w:type="spellEnd"/>
      <w:r w:rsidRPr="00CD179D">
        <w:t xml:space="preserve"> toxinů se může zvýšit rovněž v důsledku interakce s rezidui z herbicidních postřiků a že je nutné provést další studie o kombinovaných účincích vícenásobných genetických modifikací (geneticky modifikované plodiny, které byly upraveny, aby byly tolerantní vůči herbicidům a produkovaly insekticidy ve formě </w:t>
      </w:r>
      <w:proofErr w:type="spellStart"/>
      <w:r w:rsidRPr="00CD179D">
        <w:t>Bt</w:t>
      </w:r>
      <w:proofErr w:type="spellEnd"/>
      <w:r w:rsidRPr="00CD179D">
        <w:t xml:space="preserve"> toxinů)</w:t>
      </w:r>
      <w:r w:rsidRPr="00CD179D">
        <w:rPr>
          <w:rStyle w:val="FootnoteReference"/>
          <w:szCs w:val="24"/>
        </w:rPr>
        <w:footnoteReference w:id="12"/>
      </w:r>
      <w:r w:rsidRPr="00CD179D">
        <w:t>; vzhledem k tomu, že posuzování potenciální interakce reziduí herbicidů a jejich metabolitů s </w:t>
      </w:r>
      <w:proofErr w:type="spellStart"/>
      <w:r w:rsidRPr="00CD179D">
        <w:t>Bt</w:t>
      </w:r>
      <w:proofErr w:type="spellEnd"/>
      <w:r w:rsidRPr="00CD179D">
        <w:t xml:space="preserve"> toxiny do působnosti komise EFSA pro GMO nespadá, a při posuzování rizik se tedy neprovádí;</w:t>
      </w:r>
    </w:p>
    <w:p w14:paraId="58E3FBDA" w14:textId="77777777" w:rsidR="00F94AD4" w:rsidRPr="00CD179D" w:rsidRDefault="00F94AD4" w:rsidP="00CD179D">
      <w:pPr>
        <w:pStyle w:val="NormalHanging12a"/>
        <w:widowControl/>
        <w:rPr>
          <w:szCs w:val="24"/>
        </w:rPr>
      </w:pPr>
      <w:r w:rsidRPr="00CD179D">
        <w:t>U.</w:t>
      </w:r>
      <w:r w:rsidRPr="00CD179D">
        <w:tab/>
        <w:t>vzhledem k tomu, že hodnocení toxicity IPD072Aa nezohledňuje možné synergické nebo kumulativní účinky vyplývající z interakcí s rostlinnými metabolity nebo rezidui herbicidů;</w:t>
      </w:r>
    </w:p>
    <w:p w14:paraId="3D41D0CF" w14:textId="77777777" w:rsidR="00F94AD4" w:rsidRPr="00CD179D" w:rsidRDefault="00F94AD4" w:rsidP="00CD179D">
      <w:pPr>
        <w:pStyle w:val="NormalHanging12a"/>
        <w:widowControl/>
        <w:rPr>
          <w:szCs w:val="24"/>
        </w:rPr>
      </w:pPr>
      <w:r w:rsidRPr="00CD179D">
        <w:t>V.</w:t>
      </w:r>
      <w:r w:rsidRPr="00CD179D">
        <w:tab/>
        <w:t>vzhledem k tomu, že nebyly poskytnuty žádné údaje o kumulaci IPD072Aa v potravních sítích, o jeho šíření v životním prostředí, zejména prostřednictvím odpadních vod a hnoje do půdy a vodních ekosystémů, ani o jeho účincích na necílové organismy;</w:t>
      </w:r>
    </w:p>
    <w:p w14:paraId="20F45D48" w14:textId="77777777" w:rsidR="00F94AD4" w:rsidRPr="00CD179D" w:rsidRDefault="00F94AD4" w:rsidP="00CD179D">
      <w:pPr>
        <w:pStyle w:val="NormalHanging12a"/>
        <w:widowControl/>
        <w:rPr>
          <w:szCs w:val="24"/>
        </w:rPr>
      </w:pPr>
      <w:r w:rsidRPr="00CD179D">
        <w:t>W.</w:t>
      </w:r>
      <w:r w:rsidRPr="00CD179D">
        <w:tab/>
        <w:t xml:space="preserve">vzhledem k tomu, že možnost genového toku, tedy přenosu genů do volně žijících příbuzných druhů, jako je </w:t>
      </w:r>
      <w:proofErr w:type="spellStart"/>
      <w:r w:rsidRPr="00CD179D">
        <w:t>teosinte</w:t>
      </w:r>
      <w:proofErr w:type="spellEnd"/>
      <w:r w:rsidRPr="00CD179D">
        <w:t xml:space="preserve">, které bylo pozorováno ve Španělsku a Francii, vyvolává obavy ohledně přetrvávání </w:t>
      </w:r>
      <w:proofErr w:type="spellStart"/>
      <w:r w:rsidRPr="00CD179D">
        <w:t>transgenu</w:t>
      </w:r>
      <w:proofErr w:type="spellEnd"/>
      <w:r w:rsidRPr="00CD179D">
        <w:t xml:space="preserve"> v životním prostředí a jeho možných ekologických důsledků</w:t>
      </w:r>
      <w:r w:rsidRPr="00CD179D">
        <w:rPr>
          <w:rStyle w:val="FootnoteReference"/>
          <w:szCs w:val="24"/>
        </w:rPr>
        <w:footnoteReference w:id="13"/>
      </w:r>
      <w:r w:rsidRPr="00CD179D">
        <w:t>;</w:t>
      </w:r>
    </w:p>
    <w:p w14:paraId="59AB62F4" w14:textId="77777777" w:rsidR="00F94AD4" w:rsidRPr="00CD179D" w:rsidRDefault="00F94AD4" w:rsidP="00CD179D">
      <w:pPr>
        <w:pStyle w:val="NormalHanging12a"/>
        <w:widowControl/>
        <w:rPr>
          <w:szCs w:val="24"/>
        </w:rPr>
      </w:pPr>
      <w:r w:rsidRPr="00CD179D">
        <w:t>X.</w:t>
      </w:r>
      <w:r w:rsidRPr="00CD179D">
        <w:tab/>
        <w:t xml:space="preserve">vzhledem k tomu, že požadavky na monitorování stanovené v prováděcím nařízení (EU) č. 503/2013 nejsou dostatečně vymáhány a údaje předložené společností </w:t>
      </w:r>
      <w:proofErr w:type="spellStart"/>
      <w:r w:rsidRPr="00CD179D">
        <w:t>Corteva</w:t>
      </w:r>
      <w:proofErr w:type="spellEnd"/>
      <w:r w:rsidRPr="00CD179D">
        <w:t xml:space="preserve"> </w:t>
      </w:r>
      <w:proofErr w:type="spellStart"/>
      <w:r w:rsidRPr="00CD179D">
        <w:t>Agriscience</w:t>
      </w:r>
      <w:proofErr w:type="spellEnd"/>
      <w:r w:rsidRPr="00CD179D">
        <w:t xml:space="preserve"> LLC nejsou nezávisle ověřeny;</w:t>
      </w:r>
    </w:p>
    <w:p w14:paraId="1F0015A4" w14:textId="77777777" w:rsidR="00F94AD4" w:rsidRPr="00CD179D" w:rsidRDefault="00F94AD4" w:rsidP="00CD179D">
      <w:pPr>
        <w:pStyle w:val="NormalHanging12a"/>
        <w:widowControl/>
        <w:rPr>
          <w:b/>
          <w:i/>
          <w:iCs/>
          <w:szCs w:val="24"/>
        </w:rPr>
      </w:pPr>
      <w:r w:rsidRPr="00CD179D">
        <w:rPr>
          <w:b/>
          <w:i/>
        </w:rPr>
        <w:t>Zajištění celosvětově rovných podmínek a dodržování mezinárodních povinností Unie</w:t>
      </w:r>
    </w:p>
    <w:p w14:paraId="614AF6BD" w14:textId="6A1EE5D6" w:rsidR="00F94AD4" w:rsidRPr="00CD179D" w:rsidRDefault="00F94AD4" w:rsidP="00CD179D">
      <w:pPr>
        <w:pStyle w:val="NormalHanging12a"/>
        <w:widowControl/>
        <w:rPr>
          <w:b/>
          <w:szCs w:val="24"/>
        </w:rPr>
      </w:pPr>
      <w:r w:rsidRPr="00CD179D">
        <w:t>Y.</w:t>
      </w:r>
      <w:r w:rsidRPr="00CD179D">
        <w:rPr>
          <w:b/>
        </w:rPr>
        <w:tab/>
      </w:r>
      <w:r w:rsidRPr="00CD179D">
        <w:t xml:space="preserve">vzhledem k tomu, že pěstování geneticky modifikované kukuřice není v Unii povoleno; vzhledem k tomu, že přijetí rozhodnutí </w:t>
      </w:r>
      <w:r w:rsidRPr="00BE2F6C">
        <w:t>Komise</w:t>
      </w:r>
      <w:r w:rsidR="00BE2F6C" w:rsidRPr="00BE2F6C">
        <w:t xml:space="preserve"> </w:t>
      </w:r>
      <w:r w:rsidR="00BE2F6C" w:rsidRPr="008A7AA1">
        <w:rPr>
          <w:bCs/>
          <w:szCs w:val="24"/>
        </w:rPr>
        <w:t>(EU) 2025/1898</w:t>
      </w:r>
      <w:r w:rsidRPr="00BE2F6C">
        <w:t xml:space="preserve"> umož</w:t>
      </w:r>
      <w:r w:rsidR="006D14A9">
        <w:t>ňuje</w:t>
      </w:r>
      <w:r w:rsidRPr="00CD179D">
        <w:t xml:space="preserve"> dovoz do </w:t>
      </w:r>
      <w:r w:rsidRPr="00CD179D">
        <w:lastRenderedPageBreak/>
        <w:t>Unie, který by nesplňoval normy dodržované zemědělci v Unii, což by je znevýhodnilo v hospodářské soutěži;</w:t>
      </w:r>
    </w:p>
    <w:p w14:paraId="13E8996A" w14:textId="77777777" w:rsidR="00F94AD4" w:rsidRPr="00CD179D" w:rsidRDefault="00F94AD4" w:rsidP="00CD179D">
      <w:pPr>
        <w:pStyle w:val="NormalHanging12a"/>
        <w:widowControl/>
        <w:rPr>
          <w:b/>
          <w:szCs w:val="24"/>
        </w:rPr>
      </w:pPr>
      <w:r w:rsidRPr="00CD179D">
        <w:t>Z.</w:t>
      </w:r>
      <w:r w:rsidRPr="00CD179D">
        <w:tab/>
        <w:t>vzhledem k tomu, že v závěrech strategického dialogu o budoucnosti zemědělství v EU</w:t>
      </w:r>
      <w:r w:rsidRPr="00CD179D">
        <w:rPr>
          <w:rStyle w:val="FootnoteReference"/>
          <w:szCs w:val="24"/>
        </w:rPr>
        <w:footnoteReference w:id="14"/>
      </w:r>
      <w:r w:rsidRPr="00CD179D">
        <w:t xml:space="preserve"> se Komise vyzývá, aby přehodnotila svůj postoj k uvádění dovážených zemědělsko-potravinářských produktů na trh vzhledem k problémům plynoucím z rozdílných norem Unie a jejích obchodních partnerů; vzhledem k tomu, že spravedlivější obchodní vztahy na celosvětové úrovni v souladu s cíli pro zdravé životní prostředí byly jedním z hlavních požadavků zemědělců během demonstrací v letech 2023 a 2024;</w:t>
      </w:r>
    </w:p>
    <w:p w14:paraId="5D52286F" w14:textId="77777777" w:rsidR="00F94AD4" w:rsidRPr="00CD179D" w:rsidRDefault="00F94AD4" w:rsidP="00CD179D">
      <w:pPr>
        <w:pStyle w:val="NormalHanging12a"/>
        <w:widowControl/>
        <w:rPr>
          <w:szCs w:val="24"/>
        </w:rPr>
      </w:pPr>
      <w:r w:rsidRPr="00CD179D">
        <w:t>AA.</w:t>
      </w:r>
      <w:r w:rsidRPr="00CD179D">
        <w:tab/>
        <w:t>vzhledem k tomu, že zvláštní zpravodaj OSN pro právo na potraviny ve zprávě z roku 2017 dospěl k závěru, že nebezpečné pesticidy mají katastrofické dopady na zdraví, zejména v rozvojových zemích</w:t>
      </w:r>
      <w:r w:rsidRPr="00CD179D">
        <w:rPr>
          <w:rStyle w:val="FootnoteReference"/>
          <w:szCs w:val="24"/>
        </w:rPr>
        <w:footnoteReference w:id="15"/>
      </w:r>
      <w:r w:rsidRPr="00CD179D">
        <w:t>; vzhledem k tomu, že podle cíle udržitelného rozvoje OSN č. 3.9 má být do roku 2030 podstatně snížen počet úmrtí a onemocnění způsobených nebezpečnými chemickými látkami, znečištěním ovzduší a kontaminací vody a půdy</w:t>
      </w:r>
      <w:r w:rsidRPr="00CD179D">
        <w:rPr>
          <w:rStyle w:val="FootnoteReference"/>
          <w:szCs w:val="24"/>
        </w:rPr>
        <w:footnoteReference w:id="16"/>
      </w:r>
      <w:r w:rsidRPr="00CD179D">
        <w:t>;</w:t>
      </w:r>
    </w:p>
    <w:p w14:paraId="33E61B9E" w14:textId="77777777" w:rsidR="00F94AD4" w:rsidRPr="00CD179D" w:rsidRDefault="00F94AD4" w:rsidP="00CD179D">
      <w:pPr>
        <w:pStyle w:val="NormalHanging12a"/>
        <w:widowControl/>
        <w:rPr>
          <w:szCs w:val="24"/>
        </w:rPr>
      </w:pPr>
      <w:r w:rsidRPr="00CD179D">
        <w:t>AB.</w:t>
      </w:r>
      <w:r w:rsidRPr="00CD179D">
        <w:tab/>
        <w:t>vzhledem k tomu, že celosvětový rámec pro biologickou rozmanitost z </w:t>
      </w:r>
      <w:proofErr w:type="spellStart"/>
      <w:r w:rsidRPr="00CD179D">
        <w:t>Kchun-mingu</w:t>
      </w:r>
      <w:proofErr w:type="spellEnd"/>
      <w:r w:rsidRPr="00CD179D">
        <w:t xml:space="preserve"> a Montrealu, který byl dohodnut v prosinci 2022 na konferenci COP15 Úmluvy OSN o biologické rozmanitosti, obsahuje globální cíl snížit do roku 2030 rizika spojená s pesticidy alespoň o 50 %</w:t>
      </w:r>
      <w:r w:rsidRPr="00CD179D">
        <w:rPr>
          <w:rStyle w:val="FootnoteReference"/>
          <w:szCs w:val="24"/>
        </w:rPr>
        <w:footnoteReference w:id="17"/>
      </w:r>
      <w:r w:rsidRPr="00CD179D">
        <w:t>;</w:t>
      </w:r>
    </w:p>
    <w:p w14:paraId="1DBE4874" w14:textId="77777777" w:rsidR="00F94AD4" w:rsidRPr="00CD179D" w:rsidRDefault="00F94AD4" w:rsidP="00CD179D">
      <w:pPr>
        <w:pStyle w:val="NormalHanging12a"/>
        <w:widowControl/>
        <w:rPr>
          <w:szCs w:val="24"/>
        </w:rPr>
      </w:pPr>
      <w:r w:rsidRPr="00CD179D">
        <w:t>AC.</w:t>
      </w:r>
      <w:r w:rsidRPr="00CD179D">
        <w:tab/>
        <w:t>vzhledem k tomu, že nařízení (ES) č. 1829/2003 stanoví, že geneticky modifikované potraviny a krmiva nesmí mít nepříznivé účinky na lidské zdraví, zdraví zvířat nebo na životní prostředí, a požaduje, aby Komise při přípravě návrhu rozhodnutí vzala v úvahu všechny související právní předpisy Unie a jiné oprávněné faktory významné pro projednávanou záležitost; vzhledem k tomu, že mezi tyto oprávněné faktory by měly patřit závazky Unie v rámci cílů udržitelného rozvoje OSN a Úmluvy OSN o biologické rozmanitosti;</w:t>
      </w:r>
    </w:p>
    <w:p w14:paraId="27EE4BA1" w14:textId="77777777" w:rsidR="00F94AD4" w:rsidRPr="00CD179D" w:rsidRDefault="00F94AD4" w:rsidP="00CD179D">
      <w:pPr>
        <w:pStyle w:val="NormalHanging12a"/>
        <w:widowControl/>
        <w:rPr>
          <w:b/>
          <w:i/>
          <w:iCs/>
          <w:szCs w:val="24"/>
        </w:rPr>
      </w:pPr>
      <w:r w:rsidRPr="00CD179D">
        <w:rPr>
          <w:b/>
          <w:i/>
        </w:rPr>
        <w:t>Snížení závislosti na dovážených krmivech</w:t>
      </w:r>
    </w:p>
    <w:p w14:paraId="7BD82FE2" w14:textId="2C164C08" w:rsidR="00F94AD4" w:rsidRPr="00CD179D" w:rsidRDefault="00F94AD4" w:rsidP="00CD179D">
      <w:pPr>
        <w:pStyle w:val="NormalHanging12a"/>
        <w:widowControl/>
        <w:rPr>
          <w:szCs w:val="24"/>
        </w:rPr>
      </w:pPr>
      <w:r w:rsidRPr="00CD179D">
        <w:t>AD.</w:t>
      </w:r>
      <w:r w:rsidRPr="00CD179D">
        <w:tab/>
        <w:t xml:space="preserve">vzhledem k tomu, že z krize </w:t>
      </w:r>
      <w:r w:rsidR="00A407CA">
        <w:t xml:space="preserve">způsobené onemocněním </w:t>
      </w:r>
      <w:r w:rsidRPr="00CD179D">
        <w:t xml:space="preserve">COVID-19 a probíhající války na Ukrajině jsme si odnesli mimo jiné ponaučení, že Unie musí ukončit závislost na některých kritických materiálech; vzhledem k tomu, že předsedkyně Komise Ursula von der </w:t>
      </w:r>
      <w:proofErr w:type="spellStart"/>
      <w:r w:rsidRPr="00CD179D">
        <w:t>Leyenová</w:t>
      </w:r>
      <w:proofErr w:type="spellEnd"/>
      <w:r w:rsidRPr="00CD179D">
        <w:t xml:space="preserve"> v pověřovacím dopise požádala komisaře Christophe </w:t>
      </w:r>
      <w:proofErr w:type="spellStart"/>
      <w:r w:rsidRPr="00CD179D">
        <w:t>Hansena</w:t>
      </w:r>
      <w:proofErr w:type="spellEnd"/>
      <w:r w:rsidRPr="00CD179D">
        <w:t>, aby prozkoumal způsoby, jak snížit dovoz kritických komodit</w:t>
      </w:r>
      <w:r w:rsidRPr="00CD179D">
        <w:rPr>
          <w:rStyle w:val="FootnoteReference"/>
          <w:szCs w:val="24"/>
        </w:rPr>
        <w:footnoteReference w:id="18"/>
      </w:r>
      <w:r w:rsidRPr="00CD179D">
        <w:t>;</w:t>
      </w:r>
    </w:p>
    <w:p w14:paraId="2FB1ED7C" w14:textId="77777777" w:rsidR="00F94AD4" w:rsidRPr="00CD179D" w:rsidRDefault="00F94AD4" w:rsidP="00CD179D">
      <w:pPr>
        <w:pStyle w:val="NormalHanging12a"/>
        <w:widowControl/>
        <w:rPr>
          <w:b/>
          <w:i/>
          <w:iCs/>
          <w:szCs w:val="24"/>
        </w:rPr>
      </w:pPr>
      <w:r w:rsidRPr="00CD179D">
        <w:rPr>
          <w:b/>
          <w:i/>
        </w:rPr>
        <w:t>Nedemokratické rozhodování</w:t>
      </w:r>
    </w:p>
    <w:p w14:paraId="57F0759A" w14:textId="77777777" w:rsidR="00F94AD4" w:rsidRPr="00CD179D" w:rsidRDefault="00F94AD4" w:rsidP="00CD179D">
      <w:pPr>
        <w:pStyle w:val="NormalHanging12a"/>
        <w:widowControl/>
        <w:rPr>
          <w:szCs w:val="24"/>
        </w:rPr>
      </w:pPr>
      <w:r w:rsidRPr="00CD179D">
        <w:lastRenderedPageBreak/>
        <w:t>AE.</w:t>
      </w:r>
      <w:r w:rsidRPr="00CD179D">
        <w:tab/>
        <w:t>vzhledem k tomu, že Parlament v osmém volebním období přijal celkem 36 usnesení, v nichž vyslovuje námitku vůči uvádění geneticky modifikovaných organismů na trh k výrobě potravin a krmiv (33 usnesení) a vůči pěstování geneticky modifikovaných plodin v Unii (tři usnesení); vzhledem k tomu, že Parlament v devátém funkčním období přijal 38 usnesení, v nichž vyslovuje námitku vůči uvádění geneticky modifikovaných organismů na trh, a v současném desátém funkčním období již přijal dalších 11 usnesení, v nichž vyslovuje námitku proti uvádění geneticky modifikovaných organismů na trh;</w:t>
      </w:r>
    </w:p>
    <w:p w14:paraId="3EDC80B1" w14:textId="77777777" w:rsidR="00F94AD4" w:rsidRPr="00CD179D" w:rsidRDefault="00F94AD4" w:rsidP="00CD179D">
      <w:pPr>
        <w:pStyle w:val="NormalHanging12a"/>
        <w:widowControl/>
        <w:rPr>
          <w:szCs w:val="24"/>
        </w:rPr>
      </w:pPr>
      <w:r w:rsidRPr="00CD179D">
        <w:t>AF.</w:t>
      </w:r>
      <w:r w:rsidRPr="00CD179D">
        <w:tab/>
        <w:t>vzhledem k tomu, že Komise geneticky modifikované organismy nadále povoluje, ačkoli sama uznává, že v této oblasti existuje demokratický deficit, absenci podpory členských států a námitky Parlamentu;</w:t>
      </w:r>
    </w:p>
    <w:p w14:paraId="2C41E7C9" w14:textId="77777777" w:rsidR="00F94AD4" w:rsidRPr="00CD179D" w:rsidRDefault="00F94AD4" w:rsidP="00CD179D">
      <w:pPr>
        <w:pStyle w:val="NormalHanging12a"/>
        <w:widowControl/>
        <w:rPr>
          <w:szCs w:val="24"/>
        </w:rPr>
      </w:pPr>
      <w:r w:rsidRPr="00CD179D">
        <w:t>AG.</w:t>
      </w:r>
      <w:r w:rsidRPr="00CD179D">
        <w:tab/>
        <w:t>vzhledem k tomu, že není nutné provést žádné legislativní změny, aby Komise mohla neudělit povolení geneticky modifikovaným organismům, pokud se pro udělení povolení v odvolacím výboru nevysloví kvalifikovaná většina členských států</w:t>
      </w:r>
      <w:r w:rsidRPr="00CD179D">
        <w:rPr>
          <w:rStyle w:val="FootnoteReference"/>
          <w:szCs w:val="24"/>
        </w:rPr>
        <w:footnoteReference w:id="19"/>
      </w:r>
      <w:r w:rsidRPr="00CD179D">
        <w:t>;</w:t>
      </w:r>
    </w:p>
    <w:p w14:paraId="7765C98E" w14:textId="77777777" w:rsidR="00F94AD4" w:rsidRPr="00CD179D" w:rsidRDefault="00F94AD4" w:rsidP="00CD179D">
      <w:pPr>
        <w:pStyle w:val="NormalHanging12a"/>
        <w:widowControl/>
        <w:rPr>
          <w:szCs w:val="24"/>
        </w:rPr>
      </w:pPr>
      <w:r w:rsidRPr="00CD179D">
        <w:t>AH.</w:t>
      </w:r>
      <w:r w:rsidRPr="00CD179D">
        <w:tab/>
        <w:t>vzhledem k tomu, že hlasování Stálého výboru pro rostliny, zvířata, potraviny a krmiva dne 13. června 2025 podle článku 35 nařízení (ES) č. 1829/2003 nevedlo k vydání žádného stanoviska, což znamená, že kvalifikovaná většina členských států dané povolení nepodpořila</w:t>
      </w:r>
      <w:r w:rsidRPr="00CD179D">
        <w:rPr>
          <w:rStyle w:val="FootnoteReference"/>
          <w:szCs w:val="24"/>
        </w:rPr>
        <w:footnoteReference w:id="20"/>
      </w:r>
      <w:r w:rsidRPr="00CD179D">
        <w:t xml:space="preserve">; </w:t>
      </w:r>
      <w:r w:rsidRPr="00CD179D">
        <w:rPr>
          <w:shd w:val="clear" w:color="auto" w:fill="FFFFFF"/>
        </w:rPr>
        <w:t>vzhledem k tomu, že odvolací výbor znovu hlasoval dne 15. července 2025, ale ani tehdy nebylo stanovisko vydáno;</w:t>
      </w:r>
    </w:p>
    <w:p w14:paraId="16F24DFD" w14:textId="246F51DC" w:rsidR="00F94AD4" w:rsidRPr="00CD179D" w:rsidRDefault="00F94AD4" w:rsidP="00CD179D">
      <w:pPr>
        <w:pStyle w:val="NormalBold"/>
        <w:widowControl/>
        <w:spacing w:after="240"/>
        <w:ind w:left="567" w:hanging="567"/>
        <w:rPr>
          <w:b w:val="0"/>
          <w:szCs w:val="24"/>
        </w:rPr>
      </w:pPr>
      <w:r w:rsidRPr="00CD179D">
        <w:rPr>
          <w:b w:val="0"/>
        </w:rPr>
        <w:t>1.</w:t>
      </w:r>
      <w:r w:rsidRPr="00CD179D">
        <w:rPr>
          <w:b w:val="0"/>
        </w:rPr>
        <w:tab/>
        <w:t>domnívá se, že prováděcí rozhodnutí Komise</w:t>
      </w:r>
      <w:r w:rsidR="006D14A9" w:rsidRPr="006D14A9">
        <w:rPr>
          <w:b w:val="0"/>
        </w:rPr>
        <w:t xml:space="preserve"> (EU) 2025/1898</w:t>
      </w:r>
      <w:r w:rsidRPr="00CD179D">
        <w:rPr>
          <w:b w:val="0"/>
        </w:rPr>
        <w:t xml:space="preserve"> překračuje prováděcí pravomoci stanovené v nařízení (ES) č. 1829/2003;</w:t>
      </w:r>
    </w:p>
    <w:p w14:paraId="68A6B10F" w14:textId="7DE69497" w:rsidR="00F94AD4" w:rsidRPr="00CD179D" w:rsidRDefault="00F94AD4" w:rsidP="00CD179D">
      <w:pPr>
        <w:pStyle w:val="NormalBold"/>
        <w:widowControl/>
        <w:spacing w:after="240"/>
        <w:ind w:left="567" w:hanging="567"/>
        <w:rPr>
          <w:b w:val="0"/>
          <w:szCs w:val="24"/>
        </w:rPr>
      </w:pPr>
      <w:r w:rsidRPr="00CD179D">
        <w:rPr>
          <w:b w:val="0"/>
        </w:rPr>
        <w:t>2.</w:t>
      </w:r>
      <w:r w:rsidRPr="00CD179D">
        <w:rPr>
          <w:b w:val="0"/>
        </w:rPr>
        <w:tab/>
        <w:t xml:space="preserve">domnívá se, že prováděcí rozhodnutí Komise </w:t>
      </w:r>
      <w:r w:rsidR="006D14A9" w:rsidRPr="006D14A9">
        <w:rPr>
          <w:b w:val="0"/>
        </w:rPr>
        <w:t>(EU) 2025/1898</w:t>
      </w:r>
      <w:r w:rsidR="006D14A9" w:rsidRPr="00CD179D">
        <w:rPr>
          <w:b w:val="0"/>
        </w:rPr>
        <w:t xml:space="preserve"> </w:t>
      </w:r>
      <w:r w:rsidRPr="00CD179D">
        <w:rPr>
          <w:b w:val="0"/>
        </w:rPr>
        <w:t>není v souladu s právními předpisy Unie, neboť není slučitelný s cílem nařízení (ES) č. 1829/2003, který podle obecných zásad, jež jsou stanoveny v nařízení Evropského parlamentu a Rady (ES) č. 178/2002</w:t>
      </w:r>
      <w:r w:rsidRPr="00CD179D">
        <w:rPr>
          <w:rStyle w:val="FootnoteReference"/>
          <w:b w:val="0"/>
          <w:szCs w:val="24"/>
        </w:rPr>
        <w:footnoteReference w:id="21"/>
      </w:r>
      <w:r w:rsidRPr="00CD179D">
        <w:rPr>
          <w:b w:val="0"/>
        </w:rPr>
        <w:t>, spočívá ve vytvoření základních ustanovení pro zajištění vysoké úrovně ochrany lidského života a zdraví, zdraví a dobrých životních podmínek zvířat, zájmů v oblasti životního prostředí a zájmů spotřebitele v souvislosti s geneticky modifikovanými potravinami a krmivy při současném zajištění účinného fungování vnitřního trhu;</w:t>
      </w:r>
    </w:p>
    <w:p w14:paraId="5DE37798" w14:textId="4D252C6A" w:rsidR="00F94AD4" w:rsidRPr="00CD179D" w:rsidRDefault="00F94AD4" w:rsidP="00CD179D">
      <w:pPr>
        <w:pStyle w:val="NormalBold"/>
        <w:widowControl/>
        <w:spacing w:after="240"/>
        <w:ind w:left="567" w:hanging="567"/>
        <w:rPr>
          <w:b w:val="0"/>
          <w:szCs w:val="24"/>
        </w:rPr>
      </w:pPr>
      <w:r w:rsidRPr="00CD179D">
        <w:rPr>
          <w:b w:val="0"/>
        </w:rPr>
        <w:t>3.</w:t>
      </w:r>
      <w:r w:rsidRPr="00CD179D">
        <w:rPr>
          <w:b w:val="0"/>
        </w:rPr>
        <w:tab/>
        <w:t xml:space="preserve">vyzývá Komisi, aby </w:t>
      </w:r>
      <w:r w:rsidR="006D14A9">
        <w:rPr>
          <w:b w:val="0"/>
        </w:rPr>
        <w:t>zrušila</w:t>
      </w:r>
      <w:r w:rsidRPr="00CD179D">
        <w:rPr>
          <w:b w:val="0"/>
        </w:rPr>
        <w:t xml:space="preserve"> prováděcí rozhodnutí </w:t>
      </w:r>
      <w:r w:rsidR="006D14A9" w:rsidRPr="006D14A9">
        <w:rPr>
          <w:b w:val="0"/>
        </w:rPr>
        <w:t>(EU) 2025/1898</w:t>
      </w:r>
      <w:r w:rsidRPr="00CD179D">
        <w:rPr>
          <w:b w:val="0"/>
        </w:rPr>
        <w:t xml:space="preserve"> a předložila výboru nový návrh;</w:t>
      </w:r>
    </w:p>
    <w:p w14:paraId="7A6FF8AD" w14:textId="77777777" w:rsidR="00F94AD4" w:rsidRPr="00CD179D" w:rsidRDefault="00F94AD4" w:rsidP="00CD179D">
      <w:pPr>
        <w:pStyle w:val="NormalBold"/>
        <w:widowControl/>
        <w:spacing w:after="240"/>
        <w:ind w:left="567" w:hanging="567"/>
        <w:rPr>
          <w:b w:val="0"/>
          <w:szCs w:val="24"/>
        </w:rPr>
      </w:pPr>
      <w:r w:rsidRPr="00CD179D">
        <w:rPr>
          <w:b w:val="0"/>
        </w:rPr>
        <w:t>4.</w:t>
      </w:r>
      <w:r w:rsidRPr="00CD179D">
        <w:rPr>
          <w:b w:val="0"/>
        </w:rPr>
        <w:tab/>
        <w:t>vyzývá Komisi, aby za účelem splnění bezpečnostních norem Unie zajistila při jednáních o dohodách o volném obchodu sblížení norem mezi Unií a jejími partnery;</w:t>
      </w:r>
    </w:p>
    <w:p w14:paraId="34A40BB8" w14:textId="77777777" w:rsidR="00F94AD4" w:rsidRPr="00CD179D" w:rsidRDefault="00F94AD4" w:rsidP="00CD179D">
      <w:pPr>
        <w:pStyle w:val="NormalBold"/>
        <w:widowControl/>
        <w:spacing w:after="240"/>
        <w:ind w:left="567" w:hanging="567"/>
        <w:rPr>
          <w:b w:val="0"/>
          <w:szCs w:val="24"/>
        </w:rPr>
      </w:pPr>
      <w:r w:rsidRPr="00CD179D">
        <w:rPr>
          <w:b w:val="0"/>
        </w:rPr>
        <w:lastRenderedPageBreak/>
        <w:t>5.</w:t>
      </w:r>
      <w:r w:rsidRPr="00CD179D">
        <w:rPr>
          <w:b w:val="0"/>
        </w:rPr>
        <w:tab/>
        <w:t>vyzývá Komisi, aby v souladu s přístupem „jedno zdraví“ nepovolila geneticky modifikovanou kukuřici kvůli zvýšeným rizikům pro biologickou rozmanitost, bezpečnost potravin a zdraví pracovníků;</w:t>
      </w:r>
    </w:p>
    <w:p w14:paraId="146269E3" w14:textId="77777777" w:rsidR="00F94AD4" w:rsidRPr="00CD179D" w:rsidRDefault="00F94AD4" w:rsidP="00CD179D">
      <w:pPr>
        <w:pStyle w:val="NormalBold"/>
        <w:widowControl/>
        <w:spacing w:after="240"/>
        <w:ind w:left="567" w:hanging="567"/>
        <w:rPr>
          <w:b w:val="0"/>
          <w:szCs w:val="24"/>
        </w:rPr>
      </w:pPr>
      <w:r w:rsidRPr="00CD179D">
        <w:rPr>
          <w:b w:val="0"/>
        </w:rPr>
        <w:t>6.</w:t>
      </w:r>
      <w:r w:rsidRPr="00CD179D">
        <w:rPr>
          <w:b w:val="0"/>
        </w:rPr>
        <w:tab/>
        <w:t>očekává, že Komise bezodkladně dostojí svému závazku</w:t>
      </w:r>
      <w:r w:rsidRPr="00CD179D">
        <w:rPr>
          <w:rStyle w:val="FootnoteReference"/>
          <w:b w:val="0"/>
          <w:szCs w:val="24"/>
        </w:rPr>
        <w:footnoteReference w:id="22"/>
      </w:r>
      <w:r w:rsidRPr="00CD179D">
        <w:rPr>
          <w:b w:val="0"/>
        </w:rPr>
        <w:t xml:space="preserve"> a předloží návrh, kterým zajistí, aby nebezpečné chemické látky, které jsou v Unii zakázány, nebyly vyráběny pro vývoz;</w:t>
      </w:r>
    </w:p>
    <w:p w14:paraId="1E84ED5A" w14:textId="77777777" w:rsidR="00F94AD4" w:rsidRPr="00CD179D" w:rsidRDefault="00F94AD4" w:rsidP="00CD179D">
      <w:pPr>
        <w:pStyle w:val="NormalBold"/>
        <w:widowControl/>
        <w:spacing w:after="240"/>
        <w:ind w:left="567" w:hanging="567"/>
        <w:rPr>
          <w:b w:val="0"/>
          <w:szCs w:val="24"/>
        </w:rPr>
      </w:pPr>
      <w:r w:rsidRPr="00CD179D">
        <w:rPr>
          <w:b w:val="0"/>
        </w:rPr>
        <w:t>7.</w:t>
      </w:r>
      <w:r w:rsidRPr="00CD179D">
        <w:rPr>
          <w:b w:val="0"/>
        </w:rPr>
        <w:tab/>
        <w:t>vítá skutečnost, že Komise v dopise poslancům ze dne 11. září 2020 konečně uznala, že při rozhodování o povolení geneticky modifikovaných organismů je třeba zohledňovat otázku udržitelnosti</w:t>
      </w:r>
      <w:r w:rsidRPr="00CD179D">
        <w:rPr>
          <w:rStyle w:val="FootnoteReference"/>
          <w:b w:val="0"/>
          <w:szCs w:val="24"/>
        </w:rPr>
        <w:footnoteReference w:id="23"/>
      </w:r>
      <w:r w:rsidRPr="00CD179D">
        <w:rPr>
          <w:b w:val="0"/>
        </w:rPr>
        <w:t>; vyjadřuje však hluboké zklamání nad tím, že Komise nadále povoluje dovoz geneticky modifikovaných organismů do Unie, a to navzdory neustálým námitkám Parlamentu a nehledě na to, že většina členských států hlasuje proti;</w:t>
      </w:r>
    </w:p>
    <w:p w14:paraId="6C925EE6" w14:textId="77777777" w:rsidR="00F94AD4" w:rsidRPr="00CD179D" w:rsidRDefault="00F94AD4" w:rsidP="00CD179D">
      <w:pPr>
        <w:pStyle w:val="NormalBold"/>
        <w:widowControl/>
        <w:spacing w:after="240"/>
        <w:ind w:left="567" w:hanging="567"/>
        <w:rPr>
          <w:b w:val="0"/>
          <w:szCs w:val="24"/>
        </w:rPr>
      </w:pPr>
      <w:r w:rsidRPr="00CD179D">
        <w:rPr>
          <w:b w:val="0"/>
        </w:rPr>
        <w:t>8.</w:t>
      </w:r>
      <w:r w:rsidRPr="00CD179D">
        <w:rPr>
          <w:b w:val="0"/>
        </w:rPr>
        <w:tab/>
        <w:t>znovu naléhavě vyzývá Komisi, aby zohlednila závazky Unie vyplývající z mezinárodních dohod, jako jsou Pařížská klimatická dohoda, Úmluva OSN o biologické rozmanitosti a cíle udržitelného rozvoje OSN; opětovně žádá, aby k návrhům prováděcích aktů byla přiložena důvodová zpráva, v níž bude vysvětleno, jakým způsobem se v nich zajistí dodržování zásady „neškodit“</w:t>
      </w:r>
      <w:r w:rsidRPr="00CD179D">
        <w:rPr>
          <w:rStyle w:val="FootnoteReference"/>
          <w:b w:val="0"/>
          <w:szCs w:val="24"/>
        </w:rPr>
        <w:footnoteReference w:id="24"/>
      </w:r>
      <w:r w:rsidRPr="00CD179D">
        <w:rPr>
          <w:b w:val="0"/>
        </w:rPr>
        <w:t>;</w:t>
      </w:r>
    </w:p>
    <w:p w14:paraId="464F8927" w14:textId="4358F515" w:rsidR="00681AEA" w:rsidRPr="00CD179D" w:rsidRDefault="00F94AD4" w:rsidP="00CD179D">
      <w:pPr>
        <w:pStyle w:val="NormalBold"/>
        <w:widowControl/>
        <w:spacing w:after="240"/>
        <w:ind w:left="567" w:hanging="567"/>
      </w:pPr>
      <w:r w:rsidRPr="00CD179D">
        <w:rPr>
          <w:b w:val="0"/>
        </w:rPr>
        <w:t>9.</w:t>
      </w:r>
      <w:r w:rsidRPr="00CD179D">
        <w:rPr>
          <w:b w:val="0"/>
        </w:rPr>
        <w:tab/>
        <w:t>pověřuje svou předsedkyni, aby předala toto usnesení Radě a Komisi, jakož i vládám a parlamentům členských států.</w:t>
      </w:r>
    </w:p>
    <w:p w14:paraId="1CA6A9CD" w14:textId="2F07D89E" w:rsidR="00E365E1" w:rsidRPr="00CD179D" w:rsidRDefault="00E365E1" w:rsidP="00CD179D">
      <w:pPr>
        <w:spacing w:after="240"/>
        <w:ind w:left="567" w:hanging="567"/>
      </w:pPr>
    </w:p>
    <w:sectPr w:rsidR="00E365E1" w:rsidRPr="00CD179D" w:rsidSect="00681A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C5735" w14:textId="77777777" w:rsidR="00EA2149" w:rsidRPr="00681AEA" w:rsidRDefault="00EA2149">
      <w:r w:rsidRPr="00681AEA">
        <w:separator/>
      </w:r>
    </w:p>
  </w:endnote>
  <w:endnote w:type="continuationSeparator" w:id="0">
    <w:p w14:paraId="68F62085" w14:textId="77777777" w:rsidR="00EA2149" w:rsidRPr="00681AEA" w:rsidRDefault="00EA2149">
      <w:r w:rsidRPr="00681A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12F3" w14:textId="77777777" w:rsidR="00064002" w:rsidRPr="00681A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CDD00" w14:textId="77777777" w:rsidR="00064002" w:rsidRPr="00681A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25DB" w14:textId="77777777" w:rsidR="00064002" w:rsidRPr="00681A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8B474" w14:textId="77777777" w:rsidR="00EA2149" w:rsidRPr="00681AEA" w:rsidRDefault="00EA2149">
      <w:r w:rsidRPr="00681AEA">
        <w:separator/>
      </w:r>
    </w:p>
  </w:footnote>
  <w:footnote w:type="continuationSeparator" w:id="0">
    <w:p w14:paraId="3C8630E1" w14:textId="77777777" w:rsidR="00EA2149" w:rsidRPr="00681AEA" w:rsidRDefault="00EA2149">
      <w:r w:rsidRPr="00681AEA">
        <w:continuationSeparator/>
      </w:r>
    </w:p>
  </w:footnote>
  <w:footnote w:id="1">
    <w:p w14:paraId="08C05658" w14:textId="0D24A5EE" w:rsidR="00BE2F6C" w:rsidRPr="008A7AA1" w:rsidRDefault="00BE2F6C" w:rsidP="00BE2F6C">
      <w:pPr>
        <w:pStyle w:val="FootnoteText"/>
        <w:ind w:left="567" w:hanging="567"/>
        <w:rPr>
          <w:sz w:val="24"/>
          <w:szCs w:val="24"/>
          <w:lang w:val="fi-FI"/>
        </w:rPr>
      </w:pPr>
      <w:r w:rsidRPr="008A7AA1">
        <w:rPr>
          <w:rStyle w:val="FootnoteReference"/>
          <w:sz w:val="24"/>
          <w:szCs w:val="24"/>
        </w:rPr>
        <w:footnoteRef/>
      </w:r>
      <w:r w:rsidRPr="008A7AA1">
        <w:rPr>
          <w:sz w:val="24"/>
          <w:szCs w:val="24"/>
          <w:lang w:val="fi-FI"/>
        </w:rPr>
        <w:t xml:space="preserve"> </w:t>
      </w:r>
      <w:r w:rsidRPr="008A7AA1">
        <w:rPr>
          <w:sz w:val="24"/>
          <w:szCs w:val="24"/>
          <w:lang w:val="fi-FI"/>
        </w:rPr>
        <w:tab/>
      </w:r>
      <w:proofErr w:type="spellStart"/>
      <w:r w:rsidRPr="00BE2F6C">
        <w:rPr>
          <w:sz w:val="24"/>
          <w:szCs w:val="24"/>
          <w:lang w:val="cs-CZ"/>
        </w:rPr>
        <w:t>Úř</w:t>
      </w:r>
      <w:proofErr w:type="spellEnd"/>
      <w:r w:rsidRPr="00BE2F6C">
        <w:rPr>
          <w:sz w:val="24"/>
          <w:szCs w:val="24"/>
          <w:lang w:val="cs-CZ"/>
        </w:rPr>
        <w:t xml:space="preserve">. </w:t>
      </w:r>
      <w:proofErr w:type="spellStart"/>
      <w:r w:rsidRPr="00BE2F6C">
        <w:rPr>
          <w:sz w:val="24"/>
          <w:szCs w:val="24"/>
          <w:lang w:val="cs-CZ"/>
        </w:rPr>
        <w:t>věst</w:t>
      </w:r>
      <w:proofErr w:type="spellEnd"/>
      <w:r w:rsidRPr="00BE2F6C">
        <w:rPr>
          <w:sz w:val="24"/>
          <w:szCs w:val="24"/>
          <w:lang w:val="cs-CZ"/>
        </w:rPr>
        <w:t xml:space="preserve">. </w:t>
      </w:r>
      <w:r w:rsidRPr="008A7AA1">
        <w:rPr>
          <w:sz w:val="24"/>
          <w:szCs w:val="24"/>
          <w:lang w:val="fi-FI"/>
        </w:rPr>
        <w:t xml:space="preserve">L, 2025/1898, 23.9.2025, ELI: </w:t>
      </w:r>
      <w:hyperlink r:id="rId1" w:history="1">
        <w:r w:rsidRPr="008A7AA1">
          <w:rPr>
            <w:rStyle w:val="Hyperlink"/>
            <w:sz w:val="24"/>
            <w:szCs w:val="24"/>
            <w:lang w:val="fi-FI"/>
          </w:rPr>
          <w:t>http://data.europa.eu/eli/dec_impl/2025/</w:t>
        </w:r>
        <w:r w:rsidRPr="00BE2F6C">
          <w:rPr>
            <w:rStyle w:val="Hyperlink"/>
            <w:sz w:val="24"/>
            <w:szCs w:val="24"/>
            <w:lang w:val="fi-FI"/>
          </w:rPr>
          <w:br/>
        </w:r>
        <w:r w:rsidRPr="008A7AA1">
          <w:rPr>
            <w:rStyle w:val="Hyperlink"/>
            <w:sz w:val="24"/>
            <w:szCs w:val="24"/>
            <w:lang w:val="fi-FI"/>
          </w:rPr>
          <w:t>1898/</w:t>
        </w:r>
        <w:proofErr w:type="spellStart"/>
        <w:r w:rsidRPr="008A7AA1">
          <w:rPr>
            <w:rStyle w:val="Hyperlink"/>
            <w:sz w:val="24"/>
            <w:szCs w:val="24"/>
            <w:lang w:val="fi-FI"/>
          </w:rPr>
          <w:t>oj</w:t>
        </w:r>
        <w:proofErr w:type="spellEnd"/>
      </w:hyperlink>
      <w:r w:rsidRPr="00BE2F6C">
        <w:rPr>
          <w:sz w:val="24"/>
          <w:szCs w:val="24"/>
          <w:lang w:val="fi-FI"/>
        </w:rPr>
        <w:t>.</w:t>
      </w:r>
    </w:p>
  </w:footnote>
  <w:footnote w:id="2">
    <w:p w14:paraId="59E9E443" w14:textId="374D48FC" w:rsidR="00F94AD4" w:rsidRPr="00681AEA" w:rsidRDefault="00F94AD4" w:rsidP="00681AEA">
      <w:pPr>
        <w:pStyle w:val="FootnoteText"/>
        <w:ind w:left="567" w:hanging="567"/>
        <w:rPr>
          <w:b/>
          <w:bCs/>
          <w:sz w:val="24"/>
          <w:lang w:val="cs-CZ"/>
        </w:rPr>
      </w:pPr>
      <w:r w:rsidRPr="00BE2F6C">
        <w:rPr>
          <w:rStyle w:val="FootnoteReference"/>
          <w:sz w:val="24"/>
          <w:szCs w:val="24"/>
          <w:lang w:val="cs-CZ"/>
        </w:rPr>
        <w:footnoteRef/>
      </w:r>
      <w:r w:rsidR="00681AEA" w:rsidRPr="00BE2F6C">
        <w:rPr>
          <w:sz w:val="24"/>
          <w:szCs w:val="24"/>
          <w:lang w:val="cs-CZ"/>
        </w:rPr>
        <w:t xml:space="preserve"> </w:t>
      </w:r>
      <w:r w:rsidR="00681AEA" w:rsidRPr="00BE2F6C">
        <w:rPr>
          <w:sz w:val="24"/>
          <w:szCs w:val="24"/>
          <w:lang w:val="cs-CZ"/>
        </w:rPr>
        <w:tab/>
      </w:r>
      <w:proofErr w:type="spellStart"/>
      <w:r w:rsidRPr="00BE2F6C">
        <w:rPr>
          <w:sz w:val="24"/>
          <w:szCs w:val="24"/>
          <w:lang w:val="cs-CZ"/>
        </w:rPr>
        <w:t>Úř</w:t>
      </w:r>
      <w:proofErr w:type="spellEnd"/>
      <w:r w:rsidRPr="00BE2F6C">
        <w:rPr>
          <w:sz w:val="24"/>
          <w:szCs w:val="24"/>
          <w:lang w:val="cs-CZ"/>
        </w:rPr>
        <w:t xml:space="preserve">. </w:t>
      </w:r>
      <w:proofErr w:type="spellStart"/>
      <w:r w:rsidRPr="00BE2F6C">
        <w:rPr>
          <w:sz w:val="24"/>
          <w:szCs w:val="24"/>
          <w:lang w:val="cs-CZ"/>
        </w:rPr>
        <w:t>věst</w:t>
      </w:r>
      <w:proofErr w:type="spellEnd"/>
      <w:r w:rsidRPr="00BE2F6C">
        <w:rPr>
          <w:sz w:val="24"/>
          <w:szCs w:val="24"/>
          <w:lang w:val="cs-CZ"/>
        </w:rPr>
        <w:t>. L 268, 18.10.2003, s. 1, ELI: </w:t>
      </w:r>
      <w:hyperlink r:id="rId2" w:history="1">
        <w:r w:rsidRPr="00BE2F6C">
          <w:rPr>
            <w:rStyle w:val="Hyperlink"/>
            <w:sz w:val="24"/>
            <w:szCs w:val="24"/>
            <w:lang w:val="cs-CZ"/>
          </w:rPr>
          <w:t>http://data.europa.eu/eli/reg/2003/1829/oj</w:t>
        </w:r>
      </w:hyperlink>
      <w:r w:rsidRPr="00681AEA">
        <w:rPr>
          <w:sz w:val="24"/>
          <w:u w:val="single"/>
          <w:lang w:val="cs-CZ"/>
        </w:rPr>
        <w:t>.</w:t>
      </w:r>
    </w:p>
  </w:footnote>
  <w:footnote w:id="3">
    <w:p w14:paraId="7CE6B8C6" w14:textId="45CBE103"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proofErr w:type="spellStart"/>
      <w:r w:rsidRPr="00681AEA">
        <w:rPr>
          <w:sz w:val="24"/>
          <w:lang w:val="cs-CZ"/>
        </w:rPr>
        <w:t>Úř</w:t>
      </w:r>
      <w:proofErr w:type="spellEnd"/>
      <w:r w:rsidRPr="00681AEA">
        <w:rPr>
          <w:sz w:val="24"/>
          <w:lang w:val="cs-CZ"/>
        </w:rPr>
        <w:t xml:space="preserve">. </w:t>
      </w:r>
      <w:proofErr w:type="spellStart"/>
      <w:r w:rsidRPr="00681AEA">
        <w:rPr>
          <w:sz w:val="24"/>
          <w:lang w:val="cs-CZ"/>
        </w:rPr>
        <w:t>věst</w:t>
      </w:r>
      <w:proofErr w:type="spellEnd"/>
      <w:r w:rsidRPr="00681AEA">
        <w:rPr>
          <w:sz w:val="24"/>
          <w:lang w:val="cs-CZ"/>
        </w:rPr>
        <w:t xml:space="preserve">. L 55, 28.2.2011, s. 13, ELI: </w:t>
      </w:r>
      <w:hyperlink r:id="rId3" w:history="1">
        <w:r w:rsidRPr="00681AEA">
          <w:rPr>
            <w:rStyle w:val="Hyperlink"/>
            <w:sz w:val="24"/>
            <w:lang w:val="cs-CZ"/>
          </w:rPr>
          <w:t>http://data.europa.eu/eli/reg/2011/182/oj</w:t>
        </w:r>
      </w:hyperlink>
      <w:r w:rsidRPr="00681AEA">
        <w:rPr>
          <w:sz w:val="24"/>
          <w:lang w:val="cs-CZ"/>
        </w:rPr>
        <w:t>.</w:t>
      </w:r>
    </w:p>
  </w:footnote>
  <w:footnote w:id="4">
    <w:p w14:paraId="3A4B8D59" w14:textId="50317A7A" w:rsidR="00F94AD4" w:rsidRPr="00681AEA" w:rsidRDefault="00F94AD4" w:rsidP="00681AEA">
      <w:pPr>
        <w:pStyle w:val="FootnoteText"/>
        <w:ind w:left="567" w:hanging="567"/>
        <w:rPr>
          <w:sz w:val="24"/>
          <w:lang w:val="cs-CZ"/>
        </w:rPr>
      </w:pPr>
      <w:r w:rsidRPr="00681AEA">
        <w:rPr>
          <w:rStyle w:val="Funotenzeichen"/>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 xml:space="preserve">Vědecké stanovisko panelu úřadu EFSA pro geneticky modifikované organismy k „posouzení geneticky modifikované kukuřice DP51291 (žádost GMFF-2021-0071)“. EFSA </w:t>
      </w:r>
      <w:proofErr w:type="spellStart"/>
      <w:r w:rsidRPr="00681AEA">
        <w:rPr>
          <w:sz w:val="24"/>
          <w:lang w:val="cs-CZ"/>
        </w:rPr>
        <w:t>Journal</w:t>
      </w:r>
      <w:proofErr w:type="spellEnd"/>
      <w:r w:rsidRPr="00681AEA">
        <w:rPr>
          <w:sz w:val="24"/>
          <w:lang w:val="cs-CZ"/>
        </w:rPr>
        <w:t xml:space="preserve"> 2024;22(11):9059; </w:t>
      </w:r>
      <w:hyperlink r:id="rId4" w:history="1">
        <w:r w:rsidRPr="00681AEA">
          <w:rPr>
            <w:rStyle w:val="Hyperlink"/>
            <w:sz w:val="24"/>
            <w:lang w:val="cs-CZ"/>
          </w:rPr>
          <w:t>https://doi.org/10.2903/j.efsa.2024.9059</w:t>
        </w:r>
      </w:hyperlink>
      <w:r w:rsidRPr="00681AEA">
        <w:rPr>
          <w:sz w:val="24"/>
          <w:lang w:val="cs-CZ"/>
        </w:rPr>
        <w:t>.</w:t>
      </w:r>
    </w:p>
  </w:footnote>
  <w:footnote w:id="5">
    <w:p w14:paraId="7F7A6E43" w14:textId="00EA83B5" w:rsidR="00F94AD4" w:rsidRPr="00681AEA" w:rsidRDefault="00F94AD4" w:rsidP="00681AEA">
      <w:pPr>
        <w:pStyle w:val="FootnoteText"/>
        <w:ind w:left="567" w:hanging="567"/>
        <w:rPr>
          <w:color w:val="000000" w:themeColor="text1"/>
          <w:sz w:val="24"/>
          <w:vertAlign w:val="superscript"/>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Ve svém osmém volebním období přijal Parlament 36 usnesení a ve svém devátém volebním období 38 usnesení obsahujících námitky proti povolení GMO.</w:t>
      </w:r>
      <w:r w:rsidRPr="00681AEA">
        <w:rPr>
          <w:color w:val="000000" w:themeColor="text1"/>
          <w:sz w:val="24"/>
          <w:lang w:val="cs-CZ"/>
        </w:rPr>
        <w:t xml:space="preserve"> V desátém volebním období pak přijal tato usnesení:</w:t>
      </w:r>
    </w:p>
    <w:p w14:paraId="16E505DD" w14:textId="3FCB7266" w:rsidR="00F94AD4" w:rsidRPr="00681AEA" w:rsidRDefault="00681AEA" w:rsidP="00681AEA">
      <w:pPr>
        <w:pStyle w:val="FootnoteText"/>
        <w:ind w:left="567" w:hanging="567"/>
        <w:rPr>
          <w:color w:val="000000" w:themeColor="text1"/>
          <w:sz w:val="24"/>
          <w:vertAlign w:val="superscript"/>
          <w:lang w:val="cs-CZ"/>
        </w:rPr>
      </w:pPr>
      <w:r w:rsidRPr="00681AEA">
        <w:rPr>
          <w:color w:val="000000" w:themeColor="text1"/>
          <w:sz w:val="24"/>
          <w:lang w:val="cs-CZ"/>
        </w:rPr>
        <w:t xml:space="preserve"> </w:t>
      </w:r>
      <w:r w:rsidRPr="00681AEA">
        <w:rPr>
          <w:color w:val="000000" w:themeColor="text1"/>
          <w:sz w:val="24"/>
          <w:lang w:val="cs-CZ"/>
        </w:rPr>
        <w:tab/>
      </w:r>
      <w:r w:rsidR="00F94AD4" w:rsidRPr="00681AEA">
        <w:rPr>
          <w:color w:val="000000" w:themeColor="text1"/>
          <w:sz w:val="24"/>
          <w:lang w:val="cs-CZ"/>
        </w:rPr>
        <w:t>–</w:t>
      </w:r>
      <w:r w:rsidR="00F94AD4" w:rsidRPr="00681AEA">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w:t>
      </w:r>
      <w:proofErr w:type="spellStart"/>
      <w:r w:rsidR="00F94AD4" w:rsidRPr="00681AEA">
        <w:rPr>
          <w:color w:val="000000" w:themeColor="text1"/>
          <w:sz w:val="24"/>
          <w:lang w:val="cs-CZ"/>
        </w:rPr>
        <w:t>Úř</w:t>
      </w:r>
      <w:proofErr w:type="spellEnd"/>
      <w:r w:rsidR="00F94AD4" w:rsidRPr="00681AEA">
        <w:rPr>
          <w:color w:val="000000" w:themeColor="text1"/>
          <w:sz w:val="24"/>
          <w:lang w:val="cs-CZ"/>
        </w:rPr>
        <w:t xml:space="preserve">. </w:t>
      </w:r>
      <w:proofErr w:type="spellStart"/>
      <w:r w:rsidR="00F94AD4" w:rsidRPr="00681AEA">
        <w:rPr>
          <w:color w:val="000000" w:themeColor="text1"/>
          <w:sz w:val="24"/>
          <w:lang w:val="cs-CZ"/>
        </w:rPr>
        <w:t>věst</w:t>
      </w:r>
      <w:proofErr w:type="spellEnd"/>
      <w:r w:rsidR="00F94AD4" w:rsidRPr="00681AEA">
        <w:rPr>
          <w:color w:val="000000" w:themeColor="text1"/>
          <w:sz w:val="24"/>
          <w:lang w:val="cs-CZ"/>
        </w:rPr>
        <w:t xml:space="preserve">. C, C/2025/1797, 4.4.2025, ELI: </w:t>
      </w:r>
      <w:hyperlink r:id="rId5" w:history="1">
        <w:r w:rsidR="00F94AD4" w:rsidRPr="00681AEA">
          <w:rPr>
            <w:rStyle w:val="Hyperlink"/>
            <w:sz w:val="24"/>
            <w:lang w:val="cs-CZ"/>
          </w:rPr>
          <w:t>http://data.europa.eu/eli/C/2025/1797/oj</w:t>
        </w:r>
      </w:hyperlink>
      <w:r w:rsidR="00F94AD4" w:rsidRPr="00681AEA">
        <w:rPr>
          <w:color w:val="000000" w:themeColor="text1"/>
          <w:sz w:val="24"/>
          <w:lang w:val="cs-CZ"/>
        </w:rPr>
        <w:t>).</w:t>
      </w:r>
    </w:p>
    <w:p w14:paraId="6B1EBD22" w14:textId="7AF07D02" w:rsidR="00F94AD4" w:rsidRPr="00681AEA" w:rsidRDefault="00681AEA" w:rsidP="00681AEA">
      <w:pPr>
        <w:pStyle w:val="FootnoteText"/>
        <w:ind w:left="567" w:hanging="567"/>
        <w:rPr>
          <w:color w:val="000000" w:themeColor="text1"/>
          <w:sz w:val="24"/>
          <w:vertAlign w:val="superscript"/>
          <w:lang w:val="cs-CZ"/>
        </w:rPr>
      </w:pPr>
      <w:r w:rsidRPr="00681AEA">
        <w:rPr>
          <w:color w:val="000000" w:themeColor="text1"/>
          <w:sz w:val="24"/>
          <w:lang w:val="cs-CZ"/>
        </w:rPr>
        <w:t xml:space="preserve"> </w:t>
      </w:r>
      <w:r w:rsidRPr="00681AEA">
        <w:rPr>
          <w:color w:val="000000" w:themeColor="text1"/>
          <w:sz w:val="24"/>
          <w:lang w:val="cs-CZ"/>
        </w:rPr>
        <w:tab/>
      </w:r>
      <w:r w:rsidR="00F94AD4" w:rsidRPr="00681AEA">
        <w:rPr>
          <w:color w:val="000000" w:themeColor="text1"/>
          <w:sz w:val="24"/>
          <w:lang w:val="cs-CZ"/>
        </w:rPr>
        <w:t>–</w:t>
      </w:r>
      <w:r w:rsidR="00F94AD4" w:rsidRPr="00681AEA">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w:t>
      </w:r>
      <w:proofErr w:type="spellStart"/>
      <w:r w:rsidR="00F94AD4" w:rsidRPr="00681AEA">
        <w:rPr>
          <w:color w:val="000000" w:themeColor="text1"/>
          <w:sz w:val="24"/>
          <w:lang w:val="cs-CZ"/>
        </w:rPr>
        <w:t>Úř</w:t>
      </w:r>
      <w:proofErr w:type="spellEnd"/>
      <w:r w:rsidR="00F94AD4" w:rsidRPr="00681AEA">
        <w:rPr>
          <w:color w:val="000000" w:themeColor="text1"/>
          <w:sz w:val="24"/>
          <w:lang w:val="cs-CZ"/>
        </w:rPr>
        <w:t xml:space="preserve">. </w:t>
      </w:r>
      <w:proofErr w:type="spellStart"/>
      <w:r w:rsidR="00F94AD4" w:rsidRPr="00681AEA">
        <w:rPr>
          <w:color w:val="000000" w:themeColor="text1"/>
          <w:sz w:val="24"/>
          <w:lang w:val="cs-CZ"/>
        </w:rPr>
        <w:t>věst</w:t>
      </w:r>
      <w:proofErr w:type="spellEnd"/>
      <w:r w:rsidR="00F94AD4" w:rsidRPr="00681AEA">
        <w:rPr>
          <w:color w:val="000000" w:themeColor="text1"/>
          <w:sz w:val="24"/>
          <w:lang w:val="cs-CZ"/>
        </w:rPr>
        <w:t xml:space="preserve">. C, C/2025/1798, 4.4.2025, ELI: </w:t>
      </w:r>
      <w:hyperlink r:id="rId6" w:history="1">
        <w:r w:rsidR="00F94AD4" w:rsidRPr="00681AEA">
          <w:rPr>
            <w:rStyle w:val="Hyperlink"/>
            <w:sz w:val="24"/>
            <w:lang w:val="cs-CZ"/>
          </w:rPr>
          <w:t>http://data.europa.eu/eli/C/2025/1798/oj</w:t>
        </w:r>
      </w:hyperlink>
      <w:r w:rsidR="00F94AD4" w:rsidRPr="00681AEA">
        <w:rPr>
          <w:color w:val="000000" w:themeColor="text1"/>
          <w:sz w:val="24"/>
          <w:lang w:val="cs-CZ"/>
        </w:rPr>
        <w:t>).</w:t>
      </w:r>
    </w:p>
    <w:p w14:paraId="154AB6FE" w14:textId="76F8A5BE" w:rsidR="00F94AD4" w:rsidRPr="00681AEA" w:rsidRDefault="00681AEA" w:rsidP="00681AEA">
      <w:pPr>
        <w:pStyle w:val="FootnoteText"/>
        <w:ind w:left="567" w:hanging="567"/>
        <w:rPr>
          <w:color w:val="000000" w:themeColor="text1"/>
          <w:sz w:val="24"/>
          <w:vertAlign w:val="superscript"/>
          <w:lang w:val="cs-CZ"/>
        </w:rPr>
      </w:pPr>
      <w:r w:rsidRPr="00681AEA">
        <w:rPr>
          <w:color w:val="000000" w:themeColor="text1"/>
          <w:sz w:val="24"/>
          <w:lang w:val="cs-CZ"/>
        </w:rPr>
        <w:t xml:space="preserve"> </w:t>
      </w:r>
      <w:r w:rsidRPr="00681AEA">
        <w:rPr>
          <w:color w:val="000000" w:themeColor="text1"/>
          <w:sz w:val="24"/>
          <w:lang w:val="cs-CZ"/>
        </w:rPr>
        <w:tab/>
      </w:r>
      <w:r w:rsidR="00F94AD4" w:rsidRPr="00681AEA">
        <w:rPr>
          <w:color w:val="000000" w:themeColor="text1"/>
          <w:sz w:val="24"/>
          <w:lang w:val="cs-CZ"/>
        </w:rPr>
        <w:t>–</w:t>
      </w:r>
      <w:r w:rsidR="00F94AD4" w:rsidRPr="00681AEA">
        <w:rPr>
          <w:color w:val="000000" w:themeColor="text1"/>
          <w:sz w:val="24"/>
          <w:lang w:val="cs-CZ"/>
        </w:rPr>
        <w:tab/>
        <w:t xml:space="preserve">usnesení Evropského parlamentu ze dne 26. listopadu 2024 o prováděcím rozhodnutí Komise (EU) 2024/2629, kterým se obnovuje povolení uvedení produktů, které obsahují geneticky modifikovanou kukuřici MON 89034 × 1507 × MON 88017 × 59122 nebo osm z jejích </w:t>
      </w:r>
      <w:proofErr w:type="spellStart"/>
      <w:r w:rsidR="00F94AD4" w:rsidRPr="00681AEA">
        <w:rPr>
          <w:color w:val="000000" w:themeColor="text1"/>
          <w:sz w:val="24"/>
          <w:lang w:val="cs-CZ"/>
        </w:rPr>
        <w:t>podkombinací</w:t>
      </w:r>
      <w:proofErr w:type="spellEnd"/>
      <w:r w:rsidR="00F94AD4" w:rsidRPr="00681AEA">
        <w:rPr>
          <w:color w:val="000000" w:themeColor="text1"/>
          <w:sz w:val="24"/>
          <w:lang w:val="cs-CZ"/>
        </w:rPr>
        <w:t>, sestávají z nich nebo jsou z nich vyrobeny, na trh, v souladu s nařízením Evropského parlamentu a Rady (ES) č. 1829/2003 (</w:t>
      </w:r>
      <w:proofErr w:type="spellStart"/>
      <w:r w:rsidR="00F94AD4" w:rsidRPr="00681AEA">
        <w:rPr>
          <w:color w:val="000000" w:themeColor="text1"/>
          <w:sz w:val="24"/>
          <w:lang w:val="cs-CZ"/>
        </w:rPr>
        <w:t>Úř</w:t>
      </w:r>
      <w:proofErr w:type="spellEnd"/>
      <w:r w:rsidR="00F94AD4" w:rsidRPr="00681AEA">
        <w:rPr>
          <w:color w:val="000000" w:themeColor="text1"/>
          <w:sz w:val="24"/>
          <w:lang w:val="cs-CZ"/>
        </w:rPr>
        <w:t xml:space="preserve">. </w:t>
      </w:r>
      <w:proofErr w:type="spellStart"/>
      <w:r w:rsidR="00F94AD4" w:rsidRPr="00681AEA">
        <w:rPr>
          <w:color w:val="000000" w:themeColor="text1"/>
          <w:sz w:val="24"/>
          <w:lang w:val="cs-CZ"/>
        </w:rPr>
        <w:t>věst</w:t>
      </w:r>
      <w:proofErr w:type="spellEnd"/>
      <w:r w:rsidR="00F94AD4" w:rsidRPr="00681AEA">
        <w:rPr>
          <w:color w:val="000000" w:themeColor="text1"/>
          <w:sz w:val="24"/>
          <w:lang w:val="cs-CZ"/>
        </w:rPr>
        <w:t xml:space="preserve">. C, C/2025/1799, 4.4.2025, ELI: </w:t>
      </w:r>
      <w:hyperlink r:id="rId7" w:history="1">
        <w:r w:rsidR="00F94AD4" w:rsidRPr="00681AEA">
          <w:rPr>
            <w:rStyle w:val="Hyperlink"/>
            <w:sz w:val="24"/>
            <w:lang w:val="cs-CZ"/>
          </w:rPr>
          <w:t>http://data.europa.eu/eli/C/2025/1799/oj</w:t>
        </w:r>
      </w:hyperlink>
      <w:r w:rsidR="00F94AD4" w:rsidRPr="00681AEA">
        <w:rPr>
          <w:color w:val="000000" w:themeColor="text1"/>
          <w:sz w:val="24"/>
          <w:lang w:val="cs-CZ"/>
        </w:rPr>
        <w:t>).</w:t>
      </w:r>
    </w:p>
    <w:p w14:paraId="6E5AE8A4" w14:textId="3BFB5925" w:rsidR="00F94AD4" w:rsidRPr="00681AEA" w:rsidRDefault="00681AEA" w:rsidP="00681AEA">
      <w:pPr>
        <w:pStyle w:val="FootnoteText"/>
        <w:ind w:left="567" w:hanging="567"/>
        <w:rPr>
          <w:color w:val="000000" w:themeColor="text1"/>
          <w:sz w:val="24"/>
          <w:vertAlign w:val="superscript"/>
          <w:lang w:val="cs-CZ"/>
        </w:rPr>
      </w:pPr>
      <w:r w:rsidRPr="00681AEA">
        <w:rPr>
          <w:color w:val="000000" w:themeColor="text1"/>
          <w:sz w:val="24"/>
          <w:lang w:val="cs-CZ"/>
        </w:rPr>
        <w:t xml:space="preserve"> </w:t>
      </w:r>
      <w:r w:rsidRPr="00681AEA">
        <w:rPr>
          <w:color w:val="000000" w:themeColor="text1"/>
          <w:sz w:val="24"/>
          <w:lang w:val="cs-CZ"/>
        </w:rPr>
        <w:tab/>
      </w:r>
      <w:r w:rsidR="00F94AD4" w:rsidRPr="00681AEA">
        <w:rPr>
          <w:color w:val="000000" w:themeColor="text1"/>
          <w:sz w:val="24"/>
          <w:lang w:val="cs-CZ"/>
        </w:rPr>
        <w:t>–</w:t>
      </w:r>
      <w:r w:rsidR="00F94AD4" w:rsidRPr="00681AEA">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w:t>
      </w:r>
      <w:proofErr w:type="spellStart"/>
      <w:r w:rsidR="00F94AD4" w:rsidRPr="00681AEA">
        <w:rPr>
          <w:color w:val="000000" w:themeColor="text1"/>
          <w:sz w:val="24"/>
          <w:lang w:val="cs-CZ"/>
        </w:rPr>
        <w:t>Úř</w:t>
      </w:r>
      <w:proofErr w:type="spellEnd"/>
      <w:r w:rsidR="00F94AD4" w:rsidRPr="00681AEA">
        <w:rPr>
          <w:color w:val="000000" w:themeColor="text1"/>
          <w:sz w:val="24"/>
          <w:lang w:val="cs-CZ"/>
        </w:rPr>
        <w:t xml:space="preserve">. </w:t>
      </w:r>
      <w:proofErr w:type="spellStart"/>
      <w:r w:rsidR="00F94AD4" w:rsidRPr="00681AEA">
        <w:rPr>
          <w:color w:val="000000" w:themeColor="text1"/>
          <w:sz w:val="24"/>
          <w:lang w:val="cs-CZ"/>
        </w:rPr>
        <w:t>věst</w:t>
      </w:r>
      <w:proofErr w:type="spellEnd"/>
      <w:r w:rsidR="00F94AD4" w:rsidRPr="00681AEA">
        <w:rPr>
          <w:color w:val="000000" w:themeColor="text1"/>
          <w:sz w:val="24"/>
          <w:lang w:val="cs-CZ"/>
        </w:rPr>
        <w:t xml:space="preserve">. C, C/2025/1800, 4.4.2025, ELI: </w:t>
      </w:r>
      <w:hyperlink r:id="rId8" w:history="1">
        <w:r w:rsidR="00F94AD4" w:rsidRPr="00681AEA">
          <w:rPr>
            <w:rStyle w:val="Hyperlink"/>
            <w:sz w:val="24"/>
            <w:lang w:val="cs-CZ"/>
          </w:rPr>
          <w:t>http://data.europa.eu/eli/C/2025/1800/oj</w:t>
        </w:r>
      </w:hyperlink>
      <w:r w:rsidR="00F94AD4" w:rsidRPr="00681AEA">
        <w:rPr>
          <w:color w:val="000000" w:themeColor="text1"/>
          <w:sz w:val="24"/>
          <w:lang w:val="cs-CZ"/>
        </w:rPr>
        <w:t>).</w:t>
      </w:r>
    </w:p>
    <w:p w14:paraId="309BC886" w14:textId="3497A24E" w:rsidR="00F94AD4" w:rsidRPr="00681AEA" w:rsidRDefault="00681AEA" w:rsidP="00681AEA">
      <w:pPr>
        <w:pStyle w:val="FootnoteText"/>
        <w:ind w:left="567" w:hanging="567"/>
        <w:rPr>
          <w:color w:val="000000" w:themeColor="text1"/>
          <w:sz w:val="24"/>
          <w:vertAlign w:val="superscript"/>
          <w:lang w:val="cs-CZ"/>
        </w:rPr>
      </w:pPr>
      <w:r w:rsidRPr="00681AEA">
        <w:rPr>
          <w:color w:val="000000" w:themeColor="text1"/>
          <w:sz w:val="24"/>
          <w:lang w:val="cs-CZ"/>
        </w:rPr>
        <w:t xml:space="preserve"> </w:t>
      </w:r>
      <w:r w:rsidRPr="00681AEA">
        <w:rPr>
          <w:color w:val="000000" w:themeColor="text1"/>
          <w:sz w:val="24"/>
          <w:lang w:val="cs-CZ"/>
        </w:rPr>
        <w:tab/>
      </w:r>
      <w:r w:rsidR="00F94AD4" w:rsidRPr="00681AEA">
        <w:rPr>
          <w:color w:val="000000" w:themeColor="text1"/>
          <w:sz w:val="24"/>
          <w:lang w:val="cs-CZ"/>
        </w:rPr>
        <w:t>–</w:t>
      </w:r>
      <w:r w:rsidR="00F94AD4" w:rsidRPr="00681AEA">
        <w:rPr>
          <w:color w:val="000000" w:themeColor="text1"/>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 trh podle nařízení Evropského parlamentu a Rady (ES) č. 1829/2003 (</w:t>
      </w:r>
      <w:proofErr w:type="spellStart"/>
      <w:r w:rsidR="00F94AD4" w:rsidRPr="00681AEA">
        <w:rPr>
          <w:color w:val="000000" w:themeColor="text1"/>
          <w:sz w:val="24"/>
          <w:lang w:val="cs-CZ"/>
        </w:rPr>
        <w:t>Úř</w:t>
      </w:r>
      <w:proofErr w:type="spellEnd"/>
      <w:r w:rsidR="00F94AD4" w:rsidRPr="00681AEA">
        <w:rPr>
          <w:color w:val="000000" w:themeColor="text1"/>
          <w:sz w:val="24"/>
          <w:lang w:val="cs-CZ"/>
        </w:rPr>
        <w:t xml:space="preserve">. </w:t>
      </w:r>
      <w:proofErr w:type="spellStart"/>
      <w:r w:rsidR="00F94AD4" w:rsidRPr="00681AEA">
        <w:rPr>
          <w:color w:val="000000" w:themeColor="text1"/>
          <w:sz w:val="24"/>
          <w:lang w:val="cs-CZ"/>
        </w:rPr>
        <w:t>věst</w:t>
      </w:r>
      <w:proofErr w:type="spellEnd"/>
      <w:r w:rsidR="00F94AD4" w:rsidRPr="00681AEA">
        <w:rPr>
          <w:color w:val="000000" w:themeColor="text1"/>
          <w:sz w:val="24"/>
          <w:lang w:val="cs-CZ"/>
        </w:rPr>
        <w:t xml:space="preserve">. C, C/2025/1801, 4.4.2025, ELI: </w:t>
      </w:r>
      <w:hyperlink r:id="rId9" w:history="1">
        <w:r w:rsidR="00F94AD4" w:rsidRPr="00681AEA">
          <w:rPr>
            <w:rStyle w:val="Hyperlink"/>
            <w:sz w:val="24"/>
            <w:lang w:val="cs-CZ"/>
          </w:rPr>
          <w:t>http://data.europa.eu/eli/C/2025/1801/oj</w:t>
        </w:r>
      </w:hyperlink>
      <w:r w:rsidR="00F94AD4" w:rsidRPr="00681AEA">
        <w:rPr>
          <w:color w:val="000000" w:themeColor="text1"/>
          <w:sz w:val="24"/>
          <w:lang w:val="cs-CZ"/>
        </w:rPr>
        <w:t>).</w:t>
      </w:r>
    </w:p>
    <w:p w14:paraId="63689AB6" w14:textId="383A5737" w:rsidR="00F94AD4" w:rsidRPr="00681AEA" w:rsidRDefault="00681AEA" w:rsidP="00681AEA">
      <w:pPr>
        <w:pStyle w:val="FootnoteText"/>
        <w:ind w:left="567" w:hanging="567"/>
        <w:rPr>
          <w:color w:val="000000" w:themeColor="text1"/>
          <w:sz w:val="24"/>
          <w:vertAlign w:val="superscript"/>
          <w:lang w:val="cs-CZ"/>
        </w:rPr>
      </w:pPr>
      <w:r w:rsidRPr="00681AEA">
        <w:rPr>
          <w:color w:val="000000" w:themeColor="text1"/>
          <w:sz w:val="24"/>
          <w:lang w:val="cs-CZ"/>
        </w:rPr>
        <w:t xml:space="preserve"> </w:t>
      </w:r>
      <w:r w:rsidRPr="00681AEA">
        <w:rPr>
          <w:color w:val="000000" w:themeColor="text1"/>
          <w:sz w:val="24"/>
          <w:lang w:val="cs-CZ"/>
        </w:rPr>
        <w:tab/>
      </w:r>
      <w:r w:rsidR="00F94AD4" w:rsidRPr="00681AEA">
        <w:rPr>
          <w:color w:val="000000" w:themeColor="text1"/>
          <w:sz w:val="24"/>
          <w:lang w:val="cs-CZ"/>
        </w:rPr>
        <w:t>–</w:t>
      </w:r>
      <w:r w:rsidR="00F94AD4" w:rsidRPr="00681AEA">
        <w:rPr>
          <w:color w:val="000000" w:themeColor="text1"/>
          <w:sz w:val="24"/>
          <w:lang w:val="cs-CZ"/>
        </w:rPr>
        <w:tab/>
        <w:t xml:space="preserve">usnesení Evropského parlamentu ze dne 26. listopadu 2024 o </w:t>
      </w:r>
      <w:proofErr w:type="spellStart"/>
      <w:r w:rsidR="00F94AD4" w:rsidRPr="00681AEA">
        <w:rPr>
          <w:color w:val="000000" w:themeColor="text1"/>
          <w:sz w:val="24"/>
          <w:lang w:val="cs-CZ"/>
        </w:rPr>
        <w:t>o</w:t>
      </w:r>
      <w:proofErr w:type="spellEnd"/>
      <w:r w:rsidR="00F94AD4" w:rsidRPr="00681AEA">
        <w:rPr>
          <w:color w:val="000000" w:themeColor="text1"/>
          <w:sz w:val="24"/>
          <w:lang w:val="cs-CZ"/>
        </w:rPr>
        <w:t xml:space="preserve"> návrhu prováděcího rozhodnutí Komise (EU) 2024/1826 o povolení uvedení produktů, které obsahují geneticky modifikovanou kukuřici DP23211, sestávají z ní nebo jsou z ní vyrobeny, na trh podle nařízení Evropského parlamentu a Rady (ES) č. 1829/2003 (</w:t>
      </w:r>
      <w:proofErr w:type="spellStart"/>
      <w:r w:rsidR="00F94AD4" w:rsidRPr="00681AEA">
        <w:rPr>
          <w:color w:val="000000" w:themeColor="text1"/>
          <w:sz w:val="24"/>
          <w:lang w:val="cs-CZ"/>
        </w:rPr>
        <w:t>Úř</w:t>
      </w:r>
      <w:proofErr w:type="spellEnd"/>
      <w:r w:rsidR="00F94AD4" w:rsidRPr="00681AEA">
        <w:rPr>
          <w:color w:val="000000" w:themeColor="text1"/>
          <w:sz w:val="24"/>
          <w:lang w:val="cs-CZ"/>
        </w:rPr>
        <w:t xml:space="preserve">. </w:t>
      </w:r>
      <w:proofErr w:type="spellStart"/>
      <w:r w:rsidR="00F94AD4" w:rsidRPr="00681AEA">
        <w:rPr>
          <w:color w:val="000000" w:themeColor="text1"/>
          <w:sz w:val="24"/>
          <w:lang w:val="cs-CZ"/>
        </w:rPr>
        <w:t>věst</w:t>
      </w:r>
      <w:proofErr w:type="spellEnd"/>
      <w:r w:rsidR="00F94AD4" w:rsidRPr="00681AEA">
        <w:rPr>
          <w:color w:val="000000" w:themeColor="text1"/>
          <w:sz w:val="24"/>
          <w:lang w:val="cs-CZ"/>
        </w:rPr>
        <w:t xml:space="preserve">. C, C/2025/1802, 4.4.2025, ELI: </w:t>
      </w:r>
      <w:hyperlink r:id="rId10" w:history="1">
        <w:r w:rsidR="00F94AD4" w:rsidRPr="00681AEA">
          <w:rPr>
            <w:rStyle w:val="Hyperlink"/>
            <w:sz w:val="24"/>
            <w:lang w:val="cs-CZ"/>
          </w:rPr>
          <w:t>http://data.europa.eu/eli/C/2025/1802/oj</w:t>
        </w:r>
      </w:hyperlink>
      <w:r w:rsidR="00F94AD4" w:rsidRPr="00681AEA">
        <w:rPr>
          <w:color w:val="000000" w:themeColor="text1"/>
          <w:sz w:val="24"/>
          <w:lang w:val="cs-CZ"/>
        </w:rPr>
        <w:t>).</w:t>
      </w:r>
    </w:p>
    <w:p w14:paraId="3F0436BF" w14:textId="31309A65" w:rsidR="00F94AD4" w:rsidRPr="00681AEA" w:rsidRDefault="00681AEA" w:rsidP="00681AEA">
      <w:pPr>
        <w:pStyle w:val="FootnoteText"/>
        <w:ind w:left="567" w:hanging="567"/>
        <w:rPr>
          <w:color w:val="000000" w:themeColor="text1"/>
          <w:sz w:val="24"/>
          <w:vertAlign w:val="superscript"/>
          <w:lang w:val="cs-CZ"/>
        </w:rPr>
      </w:pPr>
      <w:r w:rsidRPr="00681AEA">
        <w:rPr>
          <w:color w:val="000000" w:themeColor="text1"/>
          <w:sz w:val="24"/>
          <w:lang w:val="cs-CZ"/>
        </w:rPr>
        <w:t xml:space="preserve"> </w:t>
      </w:r>
      <w:r w:rsidRPr="00681AEA">
        <w:rPr>
          <w:color w:val="000000" w:themeColor="text1"/>
          <w:sz w:val="24"/>
          <w:lang w:val="cs-CZ"/>
        </w:rPr>
        <w:tab/>
      </w:r>
      <w:r w:rsidR="00F94AD4" w:rsidRPr="00681AEA">
        <w:rPr>
          <w:color w:val="000000" w:themeColor="text1"/>
          <w:sz w:val="24"/>
          <w:lang w:val="cs-CZ"/>
        </w:rPr>
        <w:t>–</w:t>
      </w:r>
      <w:r w:rsidR="00F94AD4" w:rsidRPr="00681AEA">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w:t>
      </w:r>
      <w:proofErr w:type="spellStart"/>
      <w:r w:rsidR="00F94AD4" w:rsidRPr="00681AEA">
        <w:rPr>
          <w:color w:val="000000" w:themeColor="text1"/>
          <w:sz w:val="24"/>
          <w:lang w:val="cs-CZ"/>
        </w:rPr>
        <w:t>Úř</w:t>
      </w:r>
      <w:proofErr w:type="spellEnd"/>
      <w:r w:rsidR="00F94AD4" w:rsidRPr="00681AEA">
        <w:rPr>
          <w:color w:val="000000" w:themeColor="text1"/>
          <w:sz w:val="24"/>
          <w:lang w:val="cs-CZ"/>
        </w:rPr>
        <w:t xml:space="preserve">. </w:t>
      </w:r>
      <w:proofErr w:type="spellStart"/>
      <w:r w:rsidR="00F94AD4" w:rsidRPr="00681AEA">
        <w:rPr>
          <w:color w:val="000000" w:themeColor="text1"/>
          <w:sz w:val="24"/>
          <w:lang w:val="cs-CZ"/>
        </w:rPr>
        <w:t>věst</w:t>
      </w:r>
      <w:proofErr w:type="spellEnd"/>
      <w:r w:rsidR="00F94AD4" w:rsidRPr="00681AEA">
        <w:rPr>
          <w:color w:val="000000" w:themeColor="text1"/>
          <w:sz w:val="24"/>
          <w:lang w:val="cs-CZ"/>
        </w:rPr>
        <w:t xml:space="preserve">. C, C/2025/1803, 4.4.2025, ELI: </w:t>
      </w:r>
      <w:hyperlink r:id="rId11" w:history="1">
        <w:r w:rsidR="00F94AD4" w:rsidRPr="00681AEA">
          <w:rPr>
            <w:rStyle w:val="Hyperlink"/>
            <w:sz w:val="24"/>
            <w:lang w:val="cs-CZ"/>
          </w:rPr>
          <w:t>http://data.europa.eu/eli/C/2025/1803/oj</w:t>
        </w:r>
      </w:hyperlink>
      <w:r w:rsidR="00F94AD4" w:rsidRPr="00681AEA">
        <w:rPr>
          <w:color w:val="000000" w:themeColor="text1"/>
          <w:sz w:val="24"/>
          <w:lang w:val="cs-CZ"/>
        </w:rPr>
        <w:t>).</w:t>
      </w:r>
    </w:p>
    <w:p w14:paraId="1FB5162E" w14:textId="309FDE1F" w:rsidR="00F94AD4" w:rsidRPr="00681AEA" w:rsidRDefault="00681AEA" w:rsidP="00681AEA">
      <w:pPr>
        <w:pStyle w:val="FootnoteText"/>
        <w:ind w:left="567" w:hanging="567"/>
        <w:rPr>
          <w:color w:val="000000" w:themeColor="text1"/>
          <w:sz w:val="24"/>
          <w:vertAlign w:val="superscript"/>
          <w:lang w:val="cs-CZ"/>
        </w:rPr>
      </w:pPr>
      <w:r w:rsidRPr="00681AEA">
        <w:rPr>
          <w:color w:val="000000" w:themeColor="text1"/>
          <w:sz w:val="24"/>
          <w:lang w:val="cs-CZ"/>
        </w:rPr>
        <w:t xml:space="preserve"> </w:t>
      </w:r>
      <w:r w:rsidRPr="00681AEA">
        <w:rPr>
          <w:color w:val="000000" w:themeColor="text1"/>
          <w:sz w:val="24"/>
          <w:lang w:val="cs-CZ"/>
        </w:rPr>
        <w:tab/>
      </w:r>
      <w:r w:rsidR="00F94AD4" w:rsidRPr="00681AEA">
        <w:rPr>
          <w:color w:val="000000" w:themeColor="text1"/>
          <w:sz w:val="24"/>
          <w:lang w:val="cs-CZ"/>
        </w:rPr>
        <w:t>–</w:t>
      </w:r>
      <w:r w:rsidR="00F94AD4" w:rsidRPr="00681AEA">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w:t>
      </w:r>
      <w:proofErr w:type="spellStart"/>
      <w:r w:rsidR="00F94AD4" w:rsidRPr="00681AEA">
        <w:rPr>
          <w:color w:val="000000" w:themeColor="text1"/>
          <w:sz w:val="24"/>
          <w:lang w:val="cs-CZ"/>
        </w:rPr>
        <w:t>Úř</w:t>
      </w:r>
      <w:proofErr w:type="spellEnd"/>
      <w:r w:rsidR="00F94AD4" w:rsidRPr="00681AEA">
        <w:rPr>
          <w:color w:val="000000" w:themeColor="text1"/>
          <w:sz w:val="24"/>
          <w:lang w:val="cs-CZ"/>
        </w:rPr>
        <w:t xml:space="preserve">. </w:t>
      </w:r>
      <w:proofErr w:type="spellStart"/>
      <w:r w:rsidR="00F94AD4" w:rsidRPr="00681AEA">
        <w:rPr>
          <w:color w:val="000000" w:themeColor="text1"/>
          <w:sz w:val="24"/>
          <w:lang w:val="cs-CZ"/>
        </w:rPr>
        <w:t>věst</w:t>
      </w:r>
      <w:proofErr w:type="spellEnd"/>
      <w:r w:rsidR="00F94AD4" w:rsidRPr="00681AEA">
        <w:rPr>
          <w:color w:val="000000" w:themeColor="text1"/>
          <w:sz w:val="24"/>
          <w:lang w:val="cs-CZ"/>
        </w:rPr>
        <w:t xml:space="preserve">. C, C/2025/1804, 4.4.2025, ELI: </w:t>
      </w:r>
      <w:hyperlink r:id="rId12" w:history="1">
        <w:r w:rsidR="00F94AD4" w:rsidRPr="00681AEA">
          <w:rPr>
            <w:rStyle w:val="Hyperlink"/>
            <w:sz w:val="24"/>
            <w:lang w:val="cs-CZ"/>
          </w:rPr>
          <w:t>http://data.europa.eu/eli/C/2025/1804/oj</w:t>
        </w:r>
      </w:hyperlink>
      <w:r w:rsidR="00F94AD4" w:rsidRPr="00681AEA">
        <w:rPr>
          <w:color w:val="000000" w:themeColor="text1"/>
          <w:sz w:val="24"/>
          <w:lang w:val="cs-CZ"/>
        </w:rPr>
        <w:t>).</w:t>
      </w:r>
    </w:p>
    <w:p w14:paraId="01209F8F" w14:textId="00192568" w:rsidR="00F94AD4" w:rsidRPr="00681AEA" w:rsidRDefault="00681AEA" w:rsidP="00681AEA">
      <w:pPr>
        <w:pStyle w:val="FootnoteText"/>
        <w:ind w:left="567" w:hanging="567"/>
        <w:rPr>
          <w:sz w:val="24"/>
          <w:vertAlign w:val="superscript"/>
          <w:lang w:val="cs-CZ"/>
        </w:rPr>
      </w:pPr>
      <w:r w:rsidRPr="00681AEA">
        <w:rPr>
          <w:color w:val="000000" w:themeColor="text1"/>
          <w:sz w:val="24"/>
          <w:lang w:val="cs-CZ"/>
        </w:rPr>
        <w:t xml:space="preserve"> </w:t>
      </w:r>
      <w:r w:rsidRPr="00681AEA">
        <w:rPr>
          <w:color w:val="000000" w:themeColor="text1"/>
          <w:sz w:val="24"/>
          <w:lang w:val="cs-CZ"/>
        </w:rPr>
        <w:tab/>
      </w:r>
      <w:r w:rsidR="00F94AD4" w:rsidRPr="00681AEA">
        <w:rPr>
          <w:color w:val="000000" w:themeColor="text1"/>
          <w:sz w:val="24"/>
          <w:lang w:val="cs-CZ"/>
        </w:rPr>
        <w:t>–</w:t>
      </w:r>
      <w:r w:rsidR="00F94AD4" w:rsidRPr="00681AEA">
        <w:rPr>
          <w:color w:val="000000" w:themeColor="text1"/>
          <w:sz w:val="24"/>
          <w:lang w:val="cs-CZ"/>
        </w:rPr>
        <w:tab/>
      </w:r>
      <w:r w:rsidR="00F94AD4" w:rsidRPr="00681AEA">
        <w:rPr>
          <w:sz w:val="24"/>
          <w:lang w:val="cs-CZ"/>
        </w:rPr>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w:t>
      </w:r>
      <w:proofErr w:type="spellStart"/>
      <w:r w:rsidR="00F94AD4" w:rsidRPr="00681AEA">
        <w:rPr>
          <w:sz w:val="24"/>
          <w:lang w:val="cs-CZ"/>
        </w:rPr>
        <w:t>Úř</w:t>
      </w:r>
      <w:proofErr w:type="spellEnd"/>
      <w:r w:rsidR="00F94AD4" w:rsidRPr="00681AEA">
        <w:rPr>
          <w:sz w:val="24"/>
          <w:lang w:val="cs-CZ"/>
        </w:rPr>
        <w:t xml:space="preserve">. </w:t>
      </w:r>
      <w:proofErr w:type="spellStart"/>
      <w:r w:rsidR="00F94AD4" w:rsidRPr="00681AEA">
        <w:rPr>
          <w:sz w:val="24"/>
          <w:lang w:val="cs-CZ"/>
        </w:rPr>
        <w:t>věst</w:t>
      </w:r>
      <w:proofErr w:type="spellEnd"/>
      <w:r w:rsidR="00F94AD4" w:rsidRPr="00681AEA">
        <w:rPr>
          <w:sz w:val="24"/>
          <w:lang w:val="cs-CZ"/>
        </w:rPr>
        <w:t xml:space="preserve">. C, C/2025/2246, 29.4.2025, ELI: </w:t>
      </w:r>
      <w:hyperlink r:id="rId13" w:tooltip="Umožňuje přístup k tomuto dokumentu prostřednictvím jeho identifikátoru ELI URI." w:history="1">
        <w:r w:rsidR="00F94AD4" w:rsidRPr="00681AEA">
          <w:rPr>
            <w:rStyle w:val="Hyperlink"/>
            <w:sz w:val="24"/>
            <w:lang w:val="cs-CZ"/>
          </w:rPr>
          <w:t>http://data.europa.eu/eli/C/2025/2246/oj</w:t>
        </w:r>
      </w:hyperlink>
      <w:r w:rsidR="00F94AD4" w:rsidRPr="00681AEA">
        <w:rPr>
          <w:sz w:val="24"/>
          <w:lang w:val="cs-CZ"/>
        </w:rPr>
        <w:t>).</w:t>
      </w:r>
    </w:p>
    <w:p w14:paraId="5B95D0F1" w14:textId="5FBCA799" w:rsidR="00F94AD4" w:rsidRPr="00681AEA" w:rsidRDefault="00681AEA" w:rsidP="00681AEA">
      <w:pPr>
        <w:pStyle w:val="FootnoteText"/>
        <w:ind w:left="567" w:hanging="567"/>
        <w:rPr>
          <w:sz w:val="24"/>
          <w:vertAlign w:val="superscript"/>
          <w:lang w:val="cs-CZ"/>
        </w:rPr>
      </w:pPr>
      <w:r w:rsidRPr="00681AEA">
        <w:rPr>
          <w:sz w:val="24"/>
          <w:lang w:val="cs-CZ"/>
        </w:rPr>
        <w:t xml:space="preserve"> </w:t>
      </w:r>
      <w:r w:rsidRPr="00681AEA">
        <w:rPr>
          <w:sz w:val="24"/>
          <w:lang w:val="cs-CZ"/>
        </w:rPr>
        <w:tab/>
      </w:r>
      <w:r w:rsidR="00F94AD4" w:rsidRPr="00681AEA">
        <w:rPr>
          <w:sz w:val="24"/>
          <w:lang w:val="cs-CZ"/>
        </w:rPr>
        <w:t>–</w:t>
      </w:r>
      <w:r w:rsidR="00F94AD4" w:rsidRPr="00681AEA">
        <w:rPr>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w:t>
      </w:r>
      <w:proofErr w:type="spellStart"/>
      <w:r w:rsidR="00F94AD4" w:rsidRPr="00681AEA">
        <w:rPr>
          <w:sz w:val="24"/>
          <w:lang w:val="cs-CZ"/>
        </w:rPr>
        <w:t>Úř</w:t>
      </w:r>
      <w:proofErr w:type="spellEnd"/>
      <w:r w:rsidR="00F94AD4" w:rsidRPr="00681AEA">
        <w:rPr>
          <w:sz w:val="24"/>
          <w:lang w:val="cs-CZ"/>
        </w:rPr>
        <w:t xml:space="preserve">. </w:t>
      </w:r>
      <w:proofErr w:type="spellStart"/>
      <w:r w:rsidR="00F94AD4" w:rsidRPr="00681AEA">
        <w:rPr>
          <w:sz w:val="24"/>
          <w:lang w:val="cs-CZ"/>
        </w:rPr>
        <w:t>věst</w:t>
      </w:r>
      <w:proofErr w:type="spellEnd"/>
      <w:r w:rsidR="00F94AD4" w:rsidRPr="00681AEA">
        <w:rPr>
          <w:sz w:val="24"/>
          <w:lang w:val="cs-CZ"/>
        </w:rPr>
        <w:t xml:space="preserve">. C, C/2025/2247, 29.4.2025, ELI: </w:t>
      </w:r>
      <w:hyperlink r:id="rId14" w:tooltip="Umožňuje přístup k tomuto dokumentu prostřednictvím jeho identifikátoru ELI URI." w:history="1">
        <w:r w:rsidR="00F94AD4" w:rsidRPr="00681AEA">
          <w:rPr>
            <w:rStyle w:val="Hyperlink"/>
            <w:sz w:val="24"/>
            <w:lang w:val="cs-CZ"/>
          </w:rPr>
          <w:t>http://data.europa.eu/eli/C/2025/2247/oj</w:t>
        </w:r>
      </w:hyperlink>
      <w:r w:rsidR="00F94AD4" w:rsidRPr="00681AEA">
        <w:rPr>
          <w:sz w:val="24"/>
          <w:lang w:val="cs-CZ"/>
        </w:rPr>
        <w:t>).</w:t>
      </w:r>
    </w:p>
    <w:p w14:paraId="1D7D9CE6" w14:textId="637687DA" w:rsidR="00F94AD4" w:rsidRPr="00681AEA" w:rsidRDefault="00681AEA" w:rsidP="00681AEA">
      <w:pPr>
        <w:pStyle w:val="FootnoteText"/>
        <w:ind w:left="567" w:hanging="567"/>
        <w:rPr>
          <w:sz w:val="24"/>
          <w:lang w:val="cs-CZ"/>
        </w:rPr>
      </w:pPr>
      <w:r w:rsidRPr="00681AEA">
        <w:rPr>
          <w:sz w:val="24"/>
          <w:lang w:val="cs-CZ"/>
        </w:rPr>
        <w:t xml:space="preserve"> </w:t>
      </w:r>
      <w:r w:rsidRPr="00681AEA">
        <w:rPr>
          <w:sz w:val="24"/>
          <w:lang w:val="cs-CZ"/>
        </w:rPr>
        <w:tab/>
      </w:r>
      <w:r w:rsidR="00F94AD4" w:rsidRPr="00681AEA">
        <w:rPr>
          <w:sz w:val="24"/>
          <w:lang w:val="cs-CZ"/>
        </w:rPr>
        <w:t>–</w:t>
      </w:r>
      <w:r w:rsidR="00F94AD4" w:rsidRPr="00681AEA">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 1829/2003 (P10_TA(2025)0106).</w:t>
      </w:r>
    </w:p>
  </w:footnote>
  <w:footnote w:id="6">
    <w:p w14:paraId="76F8DF58" w14:textId="4536B9CD"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Nařízení Evropského parlamentu a Rady (ES) č. 1107/2009 ze dne 21. října 2009 o uvádění přípravků na ochranu rostlin na trh a o zrušení směrnic Rady 79/117/EHS a 91/414/EHS (</w:t>
      </w:r>
      <w:proofErr w:type="spellStart"/>
      <w:r w:rsidRPr="00681AEA">
        <w:rPr>
          <w:sz w:val="24"/>
          <w:lang w:val="cs-CZ"/>
        </w:rPr>
        <w:t>Úř</w:t>
      </w:r>
      <w:proofErr w:type="spellEnd"/>
      <w:r w:rsidRPr="00681AEA">
        <w:rPr>
          <w:sz w:val="24"/>
          <w:lang w:val="cs-CZ"/>
        </w:rPr>
        <w:t xml:space="preserve">. </w:t>
      </w:r>
      <w:proofErr w:type="spellStart"/>
      <w:r w:rsidRPr="00681AEA">
        <w:rPr>
          <w:sz w:val="24"/>
          <w:lang w:val="cs-CZ"/>
        </w:rPr>
        <w:t>věst</w:t>
      </w:r>
      <w:proofErr w:type="spellEnd"/>
      <w:r w:rsidRPr="00681AEA">
        <w:rPr>
          <w:sz w:val="24"/>
          <w:lang w:val="cs-CZ"/>
        </w:rPr>
        <w:t xml:space="preserve">. L 309, 24.11.2009, s. 1, ELI: </w:t>
      </w:r>
      <w:hyperlink r:id="rId15" w:tooltip="Umožňuje přístup k tomuto dokumentu prostřednictvím jeho identifikátoru ELI URI." w:history="1">
        <w:r w:rsidRPr="00681AEA">
          <w:rPr>
            <w:rStyle w:val="Hyperlink"/>
            <w:sz w:val="24"/>
            <w:lang w:val="cs-CZ"/>
          </w:rPr>
          <w:t>http://data.europa.eu/eli/reg/2009/1107/oj</w:t>
        </w:r>
      </w:hyperlink>
      <w:r w:rsidRPr="00681AEA">
        <w:rPr>
          <w:sz w:val="24"/>
          <w:lang w:val="cs-CZ"/>
        </w:rPr>
        <w:t>).</w:t>
      </w:r>
    </w:p>
  </w:footnote>
  <w:footnote w:id="7">
    <w:p w14:paraId="449D3139" w14:textId="03AF126F"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hyperlink r:id="rId16" w:history="1">
        <w:r w:rsidRPr="00681AEA">
          <w:rPr>
            <w:rStyle w:val="Hyperlink"/>
            <w:sz w:val="24"/>
            <w:lang w:val="cs-CZ"/>
          </w:rPr>
          <w:t>https://www.testbiotech.org/wp-content/uploads/2024/12/Testbiotech_comment_‌maize_DP51291.pdf</w:t>
        </w:r>
      </w:hyperlink>
    </w:p>
  </w:footnote>
  <w:footnote w:id="8">
    <w:p w14:paraId="5D763418" w14:textId="3C2222A8"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Prováděcí nařízení Komise (EU) č. 503/2013 ze dne 3. dubna 2013 o žádostech o povolení geneticky modifikovaných potravin a krmiv v souladu s nařízením Evropského parlamentu a Rady (ES) č. 1829/2003 a o změně nařízení Komise (ES) č. 641/2004 a (ES) č. 1981/2006 (</w:t>
      </w:r>
      <w:proofErr w:type="spellStart"/>
      <w:r w:rsidRPr="00681AEA">
        <w:rPr>
          <w:sz w:val="24"/>
          <w:lang w:val="cs-CZ"/>
        </w:rPr>
        <w:t>Úř</w:t>
      </w:r>
      <w:proofErr w:type="spellEnd"/>
      <w:r w:rsidRPr="00681AEA">
        <w:rPr>
          <w:sz w:val="24"/>
          <w:lang w:val="cs-CZ"/>
        </w:rPr>
        <w:t xml:space="preserve">. </w:t>
      </w:r>
      <w:proofErr w:type="spellStart"/>
      <w:r w:rsidRPr="00681AEA">
        <w:rPr>
          <w:sz w:val="24"/>
          <w:lang w:val="cs-CZ"/>
        </w:rPr>
        <w:t>věst</w:t>
      </w:r>
      <w:proofErr w:type="spellEnd"/>
      <w:r w:rsidRPr="00681AEA">
        <w:rPr>
          <w:sz w:val="24"/>
          <w:lang w:val="cs-CZ"/>
        </w:rPr>
        <w:t xml:space="preserve">. L 157, 8.6.2013, s. 1, ELI: </w:t>
      </w:r>
      <w:hyperlink r:id="rId17" w:history="1">
        <w:r w:rsidRPr="00681AEA">
          <w:rPr>
            <w:rStyle w:val="Hyperlink"/>
            <w:sz w:val="24"/>
            <w:lang w:val="cs-CZ"/>
          </w:rPr>
          <w:t>http://data.europa.eu/eli/reg_impl/2013/503/oj</w:t>
        </w:r>
      </w:hyperlink>
      <w:r w:rsidRPr="00681AEA">
        <w:rPr>
          <w:sz w:val="24"/>
          <w:lang w:val="cs-CZ"/>
        </w:rPr>
        <w:t>).</w:t>
      </w:r>
    </w:p>
  </w:footnote>
  <w:footnote w:id="9">
    <w:p w14:paraId="1AB95523" w14:textId="7299BDC3"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proofErr w:type="spellStart"/>
      <w:r w:rsidRPr="00681AEA">
        <w:rPr>
          <w:sz w:val="24"/>
          <w:lang w:val="cs-CZ"/>
        </w:rPr>
        <w:t>Trtikova</w:t>
      </w:r>
      <w:proofErr w:type="spellEnd"/>
      <w:r w:rsidRPr="00681AEA">
        <w:rPr>
          <w:sz w:val="24"/>
          <w:lang w:val="cs-CZ"/>
        </w:rPr>
        <w:t xml:space="preserve">, M., </w:t>
      </w:r>
      <w:proofErr w:type="spellStart"/>
      <w:r w:rsidRPr="00681AEA">
        <w:rPr>
          <w:sz w:val="24"/>
          <w:lang w:val="cs-CZ"/>
        </w:rPr>
        <w:t>Wikmark</w:t>
      </w:r>
      <w:proofErr w:type="spellEnd"/>
      <w:r w:rsidRPr="00681AEA">
        <w:rPr>
          <w:sz w:val="24"/>
          <w:lang w:val="cs-CZ"/>
        </w:rPr>
        <w:t xml:space="preserve"> O. G., </w:t>
      </w:r>
      <w:proofErr w:type="spellStart"/>
      <w:r w:rsidRPr="00681AEA">
        <w:rPr>
          <w:sz w:val="24"/>
          <w:lang w:val="cs-CZ"/>
        </w:rPr>
        <w:t>Zemp</w:t>
      </w:r>
      <w:proofErr w:type="spellEnd"/>
      <w:r w:rsidRPr="00681AEA">
        <w:rPr>
          <w:sz w:val="24"/>
          <w:lang w:val="cs-CZ"/>
        </w:rPr>
        <w:t xml:space="preserve">, N., </w:t>
      </w:r>
      <w:proofErr w:type="spellStart"/>
      <w:r w:rsidRPr="00681AEA">
        <w:rPr>
          <w:sz w:val="24"/>
          <w:lang w:val="cs-CZ"/>
        </w:rPr>
        <w:t>Widmer</w:t>
      </w:r>
      <w:proofErr w:type="spellEnd"/>
      <w:r w:rsidRPr="00681AEA">
        <w:rPr>
          <w:sz w:val="24"/>
          <w:lang w:val="cs-CZ"/>
        </w:rPr>
        <w:t xml:space="preserve">, A., </w:t>
      </w:r>
      <w:proofErr w:type="spellStart"/>
      <w:r w:rsidRPr="00681AEA">
        <w:rPr>
          <w:sz w:val="24"/>
          <w:lang w:val="cs-CZ"/>
        </w:rPr>
        <w:t>Hilbeck</w:t>
      </w:r>
      <w:proofErr w:type="spellEnd"/>
      <w:r w:rsidRPr="00681AEA">
        <w:rPr>
          <w:sz w:val="24"/>
          <w:lang w:val="cs-CZ"/>
        </w:rPr>
        <w:t>, A., (2015) „</w:t>
      </w:r>
      <w:proofErr w:type="spellStart"/>
      <w:r w:rsidRPr="00681AEA">
        <w:rPr>
          <w:sz w:val="24"/>
          <w:lang w:val="cs-CZ"/>
        </w:rPr>
        <w:t>Transgene</w:t>
      </w:r>
      <w:proofErr w:type="spellEnd"/>
      <w:r w:rsidRPr="00681AEA">
        <w:rPr>
          <w:sz w:val="24"/>
          <w:lang w:val="cs-CZ"/>
        </w:rPr>
        <w:t xml:space="preserve"> </w:t>
      </w:r>
      <w:proofErr w:type="spellStart"/>
      <w:r w:rsidRPr="00681AEA">
        <w:rPr>
          <w:sz w:val="24"/>
          <w:lang w:val="cs-CZ"/>
        </w:rPr>
        <w:t>Expression</w:t>
      </w:r>
      <w:proofErr w:type="spellEnd"/>
      <w:r w:rsidRPr="00681AEA">
        <w:rPr>
          <w:sz w:val="24"/>
          <w:lang w:val="cs-CZ"/>
        </w:rPr>
        <w:t xml:space="preserve"> and </w:t>
      </w:r>
      <w:proofErr w:type="spellStart"/>
      <w:r w:rsidRPr="00681AEA">
        <w:rPr>
          <w:sz w:val="24"/>
          <w:lang w:val="cs-CZ"/>
        </w:rPr>
        <w:t>Bt</w:t>
      </w:r>
      <w:proofErr w:type="spellEnd"/>
      <w:r w:rsidRPr="00681AEA">
        <w:rPr>
          <w:sz w:val="24"/>
          <w:lang w:val="cs-CZ"/>
        </w:rPr>
        <w:t xml:space="preserve"> Protein </w:t>
      </w:r>
      <w:proofErr w:type="spellStart"/>
      <w:r w:rsidRPr="00681AEA">
        <w:rPr>
          <w:sz w:val="24"/>
          <w:lang w:val="cs-CZ"/>
        </w:rPr>
        <w:t>Content</w:t>
      </w:r>
      <w:proofErr w:type="spellEnd"/>
      <w:r w:rsidRPr="00681AEA">
        <w:rPr>
          <w:sz w:val="24"/>
          <w:lang w:val="cs-CZ"/>
        </w:rPr>
        <w:t xml:space="preserve"> in </w:t>
      </w:r>
      <w:proofErr w:type="spellStart"/>
      <w:r w:rsidRPr="00681AEA">
        <w:rPr>
          <w:sz w:val="24"/>
          <w:lang w:val="cs-CZ"/>
        </w:rPr>
        <w:t>Transgenic</w:t>
      </w:r>
      <w:proofErr w:type="spellEnd"/>
      <w:r w:rsidRPr="00681AEA">
        <w:rPr>
          <w:sz w:val="24"/>
          <w:lang w:val="cs-CZ"/>
        </w:rPr>
        <w:t xml:space="preserve"> </w:t>
      </w:r>
      <w:proofErr w:type="spellStart"/>
      <w:r w:rsidRPr="00681AEA">
        <w:rPr>
          <w:sz w:val="24"/>
          <w:lang w:val="cs-CZ"/>
        </w:rPr>
        <w:t>Bt</w:t>
      </w:r>
      <w:proofErr w:type="spellEnd"/>
      <w:r w:rsidRPr="00681AEA">
        <w:rPr>
          <w:sz w:val="24"/>
          <w:lang w:val="cs-CZ"/>
        </w:rPr>
        <w:t xml:space="preserve"> </w:t>
      </w:r>
      <w:proofErr w:type="spellStart"/>
      <w:r w:rsidRPr="00681AEA">
        <w:rPr>
          <w:sz w:val="24"/>
          <w:lang w:val="cs-CZ"/>
        </w:rPr>
        <w:t>Maize</w:t>
      </w:r>
      <w:proofErr w:type="spellEnd"/>
      <w:r w:rsidRPr="00681AEA">
        <w:rPr>
          <w:sz w:val="24"/>
          <w:lang w:val="cs-CZ"/>
        </w:rPr>
        <w:t xml:space="preserve"> (MON810) </w:t>
      </w:r>
      <w:proofErr w:type="spellStart"/>
      <w:r w:rsidRPr="00681AEA">
        <w:rPr>
          <w:sz w:val="24"/>
          <w:lang w:val="cs-CZ"/>
        </w:rPr>
        <w:t>under</w:t>
      </w:r>
      <w:proofErr w:type="spellEnd"/>
      <w:r w:rsidRPr="00681AEA">
        <w:rPr>
          <w:sz w:val="24"/>
          <w:lang w:val="cs-CZ"/>
        </w:rPr>
        <w:t xml:space="preserve"> </w:t>
      </w:r>
      <w:proofErr w:type="spellStart"/>
      <w:r w:rsidRPr="00681AEA">
        <w:rPr>
          <w:sz w:val="24"/>
          <w:lang w:val="cs-CZ"/>
        </w:rPr>
        <w:t>Optimal</w:t>
      </w:r>
      <w:proofErr w:type="spellEnd"/>
      <w:r w:rsidRPr="00681AEA">
        <w:rPr>
          <w:sz w:val="24"/>
          <w:lang w:val="cs-CZ"/>
        </w:rPr>
        <w:t xml:space="preserve"> and </w:t>
      </w:r>
      <w:proofErr w:type="spellStart"/>
      <w:r w:rsidRPr="00681AEA">
        <w:rPr>
          <w:sz w:val="24"/>
          <w:lang w:val="cs-CZ"/>
        </w:rPr>
        <w:t>Stressful</w:t>
      </w:r>
      <w:proofErr w:type="spellEnd"/>
      <w:r w:rsidRPr="00681AEA">
        <w:rPr>
          <w:sz w:val="24"/>
          <w:lang w:val="cs-CZ"/>
        </w:rPr>
        <w:t xml:space="preserve"> </w:t>
      </w:r>
      <w:proofErr w:type="spellStart"/>
      <w:r w:rsidRPr="00681AEA">
        <w:rPr>
          <w:sz w:val="24"/>
          <w:lang w:val="cs-CZ"/>
        </w:rPr>
        <w:t>Environmental</w:t>
      </w:r>
      <w:proofErr w:type="spellEnd"/>
      <w:r w:rsidRPr="00681AEA">
        <w:rPr>
          <w:sz w:val="24"/>
          <w:lang w:val="cs-CZ"/>
        </w:rPr>
        <w:t xml:space="preserve"> </w:t>
      </w:r>
      <w:proofErr w:type="spellStart"/>
      <w:r w:rsidRPr="00681AEA">
        <w:rPr>
          <w:sz w:val="24"/>
          <w:lang w:val="cs-CZ"/>
        </w:rPr>
        <w:t>Conditions</w:t>
      </w:r>
      <w:proofErr w:type="spellEnd"/>
      <w:r w:rsidRPr="00681AEA">
        <w:rPr>
          <w:sz w:val="24"/>
          <w:lang w:val="cs-CZ"/>
        </w:rPr>
        <w:t xml:space="preserve">“, </w:t>
      </w:r>
      <w:proofErr w:type="spellStart"/>
      <w:r w:rsidRPr="00681AEA">
        <w:rPr>
          <w:sz w:val="24"/>
          <w:lang w:val="cs-CZ"/>
        </w:rPr>
        <w:t>PLoS</w:t>
      </w:r>
      <w:proofErr w:type="spellEnd"/>
      <w:r w:rsidRPr="00681AEA">
        <w:rPr>
          <w:sz w:val="24"/>
          <w:lang w:val="cs-CZ"/>
        </w:rPr>
        <w:t xml:space="preserve"> ONE 10(4): e0123011, </w:t>
      </w:r>
      <w:hyperlink r:id="rId18" w:history="1">
        <w:r w:rsidRPr="00681AEA">
          <w:rPr>
            <w:rStyle w:val="Hyperlink"/>
            <w:sz w:val="24"/>
            <w:lang w:val="cs-CZ"/>
          </w:rPr>
          <w:t>https://doi.org/10.1371/journal.pone.0123011</w:t>
        </w:r>
      </w:hyperlink>
      <w:r w:rsidRPr="00681AEA">
        <w:rPr>
          <w:sz w:val="24"/>
          <w:lang w:val="cs-CZ"/>
        </w:rPr>
        <w:t>.</w:t>
      </w:r>
    </w:p>
  </w:footnote>
  <w:footnote w:id="10">
    <w:p w14:paraId="5303E014" w14:textId="4BAC9B52"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 xml:space="preserve">Viz např. Schulz, R., Bub, S., </w:t>
      </w:r>
      <w:proofErr w:type="spellStart"/>
      <w:r w:rsidRPr="00681AEA">
        <w:rPr>
          <w:sz w:val="24"/>
          <w:lang w:val="cs-CZ"/>
        </w:rPr>
        <w:t>Petschick</w:t>
      </w:r>
      <w:proofErr w:type="spellEnd"/>
      <w:r w:rsidRPr="00681AEA">
        <w:rPr>
          <w:sz w:val="24"/>
          <w:lang w:val="cs-CZ"/>
        </w:rPr>
        <w:t xml:space="preserve">, L. L., </w:t>
      </w:r>
      <w:proofErr w:type="spellStart"/>
      <w:r w:rsidRPr="00681AEA">
        <w:rPr>
          <w:sz w:val="24"/>
          <w:lang w:val="cs-CZ"/>
        </w:rPr>
        <w:t>Stehle</w:t>
      </w:r>
      <w:proofErr w:type="spellEnd"/>
      <w:r w:rsidRPr="00681AEA">
        <w:rPr>
          <w:sz w:val="24"/>
          <w:lang w:val="cs-CZ"/>
        </w:rPr>
        <w:t>, S., Wolfram, J. (2021) „</w:t>
      </w:r>
      <w:proofErr w:type="spellStart"/>
      <w:r w:rsidRPr="00681AEA">
        <w:rPr>
          <w:sz w:val="24"/>
          <w:lang w:val="cs-CZ"/>
        </w:rPr>
        <w:t>Applied</w:t>
      </w:r>
      <w:proofErr w:type="spellEnd"/>
      <w:r w:rsidRPr="00681AEA">
        <w:rPr>
          <w:sz w:val="24"/>
          <w:lang w:val="cs-CZ"/>
        </w:rPr>
        <w:t xml:space="preserve"> pesticide toxicity </w:t>
      </w:r>
      <w:proofErr w:type="spellStart"/>
      <w:r w:rsidRPr="00681AEA">
        <w:rPr>
          <w:sz w:val="24"/>
          <w:lang w:val="cs-CZ"/>
        </w:rPr>
        <w:t>shifts</w:t>
      </w:r>
      <w:proofErr w:type="spellEnd"/>
      <w:r w:rsidRPr="00681AEA">
        <w:rPr>
          <w:sz w:val="24"/>
          <w:lang w:val="cs-CZ"/>
        </w:rPr>
        <w:t xml:space="preserve"> </w:t>
      </w:r>
      <w:proofErr w:type="spellStart"/>
      <w:r w:rsidRPr="00681AEA">
        <w:rPr>
          <w:sz w:val="24"/>
          <w:lang w:val="cs-CZ"/>
        </w:rPr>
        <w:t>toward</w:t>
      </w:r>
      <w:proofErr w:type="spellEnd"/>
      <w:r w:rsidRPr="00681AEA">
        <w:rPr>
          <w:sz w:val="24"/>
          <w:lang w:val="cs-CZ"/>
        </w:rPr>
        <w:t xml:space="preserve"> </w:t>
      </w:r>
      <w:proofErr w:type="spellStart"/>
      <w:r w:rsidRPr="00681AEA">
        <w:rPr>
          <w:sz w:val="24"/>
          <w:lang w:val="cs-CZ"/>
        </w:rPr>
        <w:t>plants</w:t>
      </w:r>
      <w:proofErr w:type="spellEnd"/>
      <w:r w:rsidRPr="00681AEA">
        <w:rPr>
          <w:sz w:val="24"/>
          <w:lang w:val="cs-CZ"/>
        </w:rPr>
        <w:t xml:space="preserve"> and </w:t>
      </w:r>
      <w:proofErr w:type="spellStart"/>
      <w:r w:rsidRPr="00681AEA">
        <w:rPr>
          <w:sz w:val="24"/>
          <w:lang w:val="cs-CZ"/>
        </w:rPr>
        <w:t>invertebrates</w:t>
      </w:r>
      <w:proofErr w:type="spellEnd"/>
      <w:r w:rsidRPr="00681AEA">
        <w:rPr>
          <w:sz w:val="24"/>
          <w:lang w:val="cs-CZ"/>
        </w:rPr>
        <w:t xml:space="preserve">, </w:t>
      </w:r>
      <w:proofErr w:type="spellStart"/>
      <w:r w:rsidRPr="00681AEA">
        <w:rPr>
          <w:sz w:val="24"/>
          <w:lang w:val="cs-CZ"/>
        </w:rPr>
        <w:t>even</w:t>
      </w:r>
      <w:proofErr w:type="spellEnd"/>
      <w:r w:rsidRPr="00681AEA">
        <w:rPr>
          <w:sz w:val="24"/>
          <w:lang w:val="cs-CZ"/>
        </w:rPr>
        <w:t xml:space="preserve"> in GM </w:t>
      </w:r>
      <w:proofErr w:type="spellStart"/>
      <w:r w:rsidRPr="00681AEA">
        <w:rPr>
          <w:sz w:val="24"/>
          <w:lang w:val="cs-CZ"/>
        </w:rPr>
        <w:t>crops</w:t>
      </w:r>
      <w:proofErr w:type="spellEnd"/>
      <w:r w:rsidRPr="00681AEA">
        <w:rPr>
          <w:sz w:val="24"/>
          <w:lang w:val="cs-CZ"/>
        </w:rPr>
        <w:t xml:space="preserve">“, Science 372(6537), s. 81–84, </w:t>
      </w:r>
      <w:hyperlink r:id="rId19" w:history="1">
        <w:r w:rsidRPr="00681AEA">
          <w:rPr>
            <w:rStyle w:val="Hyperlink"/>
            <w:sz w:val="24"/>
            <w:lang w:val="cs-CZ"/>
          </w:rPr>
          <w:t>https://doi.org/10.1126/science.abe1148</w:t>
        </w:r>
      </w:hyperlink>
      <w:r w:rsidRPr="00681AEA">
        <w:rPr>
          <w:sz w:val="24"/>
          <w:lang w:val="cs-CZ"/>
        </w:rPr>
        <w:t>; Bonny, S., „</w:t>
      </w:r>
      <w:proofErr w:type="spellStart"/>
      <w:r w:rsidRPr="00681AEA">
        <w:rPr>
          <w:sz w:val="24"/>
          <w:lang w:val="cs-CZ"/>
        </w:rPr>
        <w:t>Genetically</w:t>
      </w:r>
      <w:proofErr w:type="spellEnd"/>
      <w:r w:rsidRPr="00681AEA">
        <w:rPr>
          <w:sz w:val="24"/>
          <w:lang w:val="cs-CZ"/>
        </w:rPr>
        <w:t xml:space="preserve"> </w:t>
      </w:r>
      <w:proofErr w:type="spellStart"/>
      <w:r w:rsidRPr="00681AEA">
        <w:rPr>
          <w:sz w:val="24"/>
          <w:lang w:val="cs-CZ"/>
        </w:rPr>
        <w:t>Modified</w:t>
      </w:r>
      <w:proofErr w:type="spellEnd"/>
      <w:r w:rsidRPr="00681AEA">
        <w:rPr>
          <w:sz w:val="24"/>
          <w:lang w:val="cs-CZ"/>
        </w:rPr>
        <w:t xml:space="preserve"> Herbicide-</w:t>
      </w:r>
      <w:proofErr w:type="spellStart"/>
      <w:r w:rsidRPr="00681AEA">
        <w:rPr>
          <w:sz w:val="24"/>
          <w:lang w:val="cs-CZ"/>
        </w:rPr>
        <w:t>Tolerant</w:t>
      </w:r>
      <w:proofErr w:type="spellEnd"/>
      <w:r w:rsidRPr="00681AEA">
        <w:rPr>
          <w:sz w:val="24"/>
          <w:lang w:val="cs-CZ"/>
        </w:rPr>
        <w:t xml:space="preserve"> </w:t>
      </w:r>
      <w:proofErr w:type="spellStart"/>
      <w:r w:rsidRPr="00681AEA">
        <w:rPr>
          <w:sz w:val="24"/>
          <w:lang w:val="cs-CZ"/>
        </w:rPr>
        <w:t>Crops</w:t>
      </w:r>
      <w:proofErr w:type="spellEnd"/>
      <w:r w:rsidRPr="00681AEA">
        <w:rPr>
          <w:sz w:val="24"/>
          <w:lang w:val="cs-CZ"/>
        </w:rPr>
        <w:t xml:space="preserve">, </w:t>
      </w:r>
      <w:proofErr w:type="spellStart"/>
      <w:r w:rsidRPr="00681AEA">
        <w:rPr>
          <w:sz w:val="24"/>
          <w:lang w:val="cs-CZ"/>
        </w:rPr>
        <w:t>Weeds</w:t>
      </w:r>
      <w:proofErr w:type="spellEnd"/>
      <w:r w:rsidRPr="00681AEA">
        <w:rPr>
          <w:sz w:val="24"/>
          <w:lang w:val="cs-CZ"/>
        </w:rPr>
        <w:t xml:space="preserve">, and </w:t>
      </w:r>
      <w:proofErr w:type="spellStart"/>
      <w:r w:rsidRPr="00681AEA">
        <w:rPr>
          <w:sz w:val="24"/>
          <w:lang w:val="cs-CZ"/>
        </w:rPr>
        <w:t>Herbicides</w:t>
      </w:r>
      <w:proofErr w:type="spellEnd"/>
      <w:r w:rsidRPr="00681AEA">
        <w:rPr>
          <w:sz w:val="24"/>
          <w:lang w:val="cs-CZ"/>
        </w:rPr>
        <w:t xml:space="preserve">: </w:t>
      </w:r>
      <w:proofErr w:type="spellStart"/>
      <w:r w:rsidRPr="00681AEA">
        <w:rPr>
          <w:sz w:val="24"/>
          <w:lang w:val="cs-CZ"/>
        </w:rPr>
        <w:t>Overview</w:t>
      </w:r>
      <w:proofErr w:type="spellEnd"/>
      <w:r w:rsidRPr="00681AEA">
        <w:rPr>
          <w:sz w:val="24"/>
          <w:lang w:val="cs-CZ"/>
        </w:rPr>
        <w:t xml:space="preserve"> and </w:t>
      </w:r>
      <w:proofErr w:type="spellStart"/>
      <w:r w:rsidRPr="00681AEA">
        <w:rPr>
          <w:sz w:val="24"/>
          <w:lang w:val="cs-CZ"/>
        </w:rPr>
        <w:t>Impact</w:t>
      </w:r>
      <w:proofErr w:type="spellEnd"/>
      <w:r w:rsidRPr="00681AEA">
        <w:rPr>
          <w:sz w:val="24"/>
          <w:lang w:val="cs-CZ"/>
        </w:rPr>
        <w:t xml:space="preserve">“, </w:t>
      </w:r>
      <w:proofErr w:type="spellStart"/>
      <w:r w:rsidRPr="00681AEA">
        <w:rPr>
          <w:sz w:val="24"/>
          <w:lang w:val="cs-CZ"/>
        </w:rPr>
        <w:t>Environmental</w:t>
      </w:r>
      <w:proofErr w:type="spellEnd"/>
      <w:r w:rsidRPr="00681AEA">
        <w:rPr>
          <w:sz w:val="24"/>
          <w:lang w:val="cs-CZ"/>
        </w:rPr>
        <w:t xml:space="preserve"> Management, leden 2016;57(1), s. 31–48, </w:t>
      </w:r>
      <w:hyperlink r:id="rId20" w:history="1">
        <w:r w:rsidRPr="00681AEA">
          <w:rPr>
            <w:rStyle w:val="Hyperlink"/>
            <w:sz w:val="24"/>
            <w:lang w:val="cs-CZ"/>
          </w:rPr>
          <w:t>https://www.ncbi.nlm.nih.gov/pubmed/26296738</w:t>
        </w:r>
      </w:hyperlink>
      <w:r w:rsidRPr="00681AEA">
        <w:rPr>
          <w:sz w:val="24"/>
          <w:lang w:val="cs-CZ"/>
        </w:rPr>
        <w:t xml:space="preserve">; a </w:t>
      </w:r>
      <w:proofErr w:type="spellStart"/>
      <w:r w:rsidRPr="00681AEA">
        <w:rPr>
          <w:sz w:val="24"/>
          <w:lang w:val="cs-CZ"/>
        </w:rPr>
        <w:t>Benbrook</w:t>
      </w:r>
      <w:proofErr w:type="spellEnd"/>
      <w:r w:rsidRPr="00681AEA">
        <w:rPr>
          <w:sz w:val="24"/>
          <w:lang w:val="cs-CZ"/>
        </w:rPr>
        <w:t>, C. M., „</w:t>
      </w:r>
      <w:proofErr w:type="spellStart"/>
      <w:r w:rsidRPr="00681AEA">
        <w:rPr>
          <w:sz w:val="24"/>
          <w:lang w:val="cs-CZ"/>
        </w:rPr>
        <w:t>Impacts</w:t>
      </w:r>
      <w:proofErr w:type="spellEnd"/>
      <w:r w:rsidRPr="00681AEA">
        <w:rPr>
          <w:sz w:val="24"/>
          <w:lang w:val="cs-CZ"/>
        </w:rPr>
        <w:t xml:space="preserve"> </w:t>
      </w:r>
      <w:proofErr w:type="spellStart"/>
      <w:r w:rsidRPr="00681AEA">
        <w:rPr>
          <w:sz w:val="24"/>
          <w:lang w:val="cs-CZ"/>
        </w:rPr>
        <w:t>of</w:t>
      </w:r>
      <w:proofErr w:type="spellEnd"/>
      <w:r w:rsidRPr="00681AEA">
        <w:rPr>
          <w:sz w:val="24"/>
          <w:lang w:val="cs-CZ"/>
        </w:rPr>
        <w:t xml:space="preserve"> </w:t>
      </w:r>
      <w:proofErr w:type="spellStart"/>
      <w:r w:rsidRPr="00681AEA">
        <w:rPr>
          <w:sz w:val="24"/>
          <w:lang w:val="cs-CZ"/>
        </w:rPr>
        <w:t>genetically</w:t>
      </w:r>
      <w:proofErr w:type="spellEnd"/>
      <w:r w:rsidRPr="00681AEA">
        <w:rPr>
          <w:sz w:val="24"/>
          <w:lang w:val="cs-CZ"/>
        </w:rPr>
        <w:t xml:space="preserve"> </w:t>
      </w:r>
      <w:proofErr w:type="spellStart"/>
      <w:r w:rsidRPr="00681AEA">
        <w:rPr>
          <w:sz w:val="24"/>
          <w:lang w:val="cs-CZ"/>
        </w:rPr>
        <w:t>engineered</w:t>
      </w:r>
      <w:proofErr w:type="spellEnd"/>
      <w:r w:rsidRPr="00681AEA">
        <w:rPr>
          <w:sz w:val="24"/>
          <w:lang w:val="cs-CZ"/>
        </w:rPr>
        <w:t xml:space="preserve"> </w:t>
      </w:r>
      <w:proofErr w:type="spellStart"/>
      <w:r w:rsidRPr="00681AEA">
        <w:rPr>
          <w:sz w:val="24"/>
          <w:lang w:val="cs-CZ"/>
        </w:rPr>
        <w:t>crops</w:t>
      </w:r>
      <w:proofErr w:type="spellEnd"/>
      <w:r w:rsidRPr="00681AEA">
        <w:rPr>
          <w:sz w:val="24"/>
          <w:lang w:val="cs-CZ"/>
        </w:rPr>
        <w:t xml:space="preserve"> on pesticide use in </w:t>
      </w:r>
      <w:proofErr w:type="spellStart"/>
      <w:r w:rsidRPr="00681AEA">
        <w:rPr>
          <w:sz w:val="24"/>
          <w:lang w:val="cs-CZ"/>
        </w:rPr>
        <w:t>the</w:t>
      </w:r>
      <w:proofErr w:type="spellEnd"/>
      <w:r w:rsidRPr="00681AEA">
        <w:rPr>
          <w:sz w:val="24"/>
          <w:lang w:val="cs-CZ"/>
        </w:rPr>
        <w:t xml:space="preserve"> U.S. - </w:t>
      </w:r>
      <w:proofErr w:type="spellStart"/>
      <w:r w:rsidRPr="00681AEA">
        <w:rPr>
          <w:sz w:val="24"/>
          <w:lang w:val="cs-CZ"/>
        </w:rPr>
        <w:t>the</w:t>
      </w:r>
      <w:proofErr w:type="spellEnd"/>
      <w:r w:rsidRPr="00681AEA">
        <w:rPr>
          <w:sz w:val="24"/>
          <w:lang w:val="cs-CZ"/>
        </w:rPr>
        <w:t xml:space="preserve"> </w:t>
      </w:r>
      <w:proofErr w:type="spellStart"/>
      <w:r w:rsidRPr="00681AEA">
        <w:rPr>
          <w:sz w:val="24"/>
          <w:lang w:val="cs-CZ"/>
        </w:rPr>
        <w:t>first</w:t>
      </w:r>
      <w:proofErr w:type="spellEnd"/>
      <w:r w:rsidRPr="00681AEA">
        <w:rPr>
          <w:sz w:val="24"/>
          <w:lang w:val="cs-CZ"/>
        </w:rPr>
        <w:t xml:space="preserve"> </w:t>
      </w:r>
      <w:proofErr w:type="spellStart"/>
      <w:r w:rsidRPr="00681AEA">
        <w:rPr>
          <w:sz w:val="24"/>
          <w:lang w:val="cs-CZ"/>
        </w:rPr>
        <w:t>sixteen</w:t>
      </w:r>
      <w:proofErr w:type="spellEnd"/>
      <w:r w:rsidRPr="00681AEA">
        <w:rPr>
          <w:sz w:val="24"/>
          <w:lang w:val="cs-CZ"/>
        </w:rPr>
        <w:t xml:space="preserve"> </w:t>
      </w:r>
      <w:proofErr w:type="spellStart"/>
      <w:r w:rsidRPr="00681AEA">
        <w:rPr>
          <w:sz w:val="24"/>
          <w:lang w:val="cs-CZ"/>
        </w:rPr>
        <w:t>years</w:t>
      </w:r>
      <w:proofErr w:type="spellEnd"/>
      <w:r w:rsidRPr="00681AEA">
        <w:rPr>
          <w:sz w:val="24"/>
          <w:lang w:val="cs-CZ"/>
        </w:rPr>
        <w:t xml:space="preserve">“, </w:t>
      </w:r>
      <w:proofErr w:type="spellStart"/>
      <w:r w:rsidRPr="00681AEA">
        <w:rPr>
          <w:sz w:val="24"/>
          <w:lang w:val="cs-CZ"/>
        </w:rPr>
        <w:t>Environmental</w:t>
      </w:r>
      <w:proofErr w:type="spellEnd"/>
      <w:r w:rsidRPr="00681AEA">
        <w:rPr>
          <w:sz w:val="24"/>
          <w:lang w:val="cs-CZ"/>
        </w:rPr>
        <w:t xml:space="preserve"> </w:t>
      </w:r>
      <w:proofErr w:type="spellStart"/>
      <w:r w:rsidRPr="00681AEA">
        <w:rPr>
          <w:sz w:val="24"/>
          <w:lang w:val="cs-CZ"/>
        </w:rPr>
        <w:t>Sciences</w:t>
      </w:r>
      <w:proofErr w:type="spellEnd"/>
      <w:r w:rsidRPr="00681AEA">
        <w:rPr>
          <w:sz w:val="24"/>
          <w:lang w:val="cs-CZ"/>
        </w:rPr>
        <w:t xml:space="preserve"> </w:t>
      </w:r>
      <w:proofErr w:type="spellStart"/>
      <w:r w:rsidRPr="00681AEA">
        <w:rPr>
          <w:sz w:val="24"/>
          <w:lang w:val="cs-CZ"/>
        </w:rPr>
        <w:t>Europe</w:t>
      </w:r>
      <w:proofErr w:type="spellEnd"/>
      <w:r w:rsidRPr="00681AEA">
        <w:rPr>
          <w:sz w:val="24"/>
          <w:lang w:val="cs-CZ"/>
        </w:rPr>
        <w:t xml:space="preserve">, 28. září 2012, sv. 24(24), </w:t>
      </w:r>
      <w:hyperlink r:id="rId21" w:history="1">
        <w:r w:rsidRPr="00681AEA">
          <w:rPr>
            <w:rStyle w:val="Hyperlink"/>
            <w:sz w:val="24"/>
            <w:lang w:val="cs-CZ"/>
          </w:rPr>
          <w:t>https://doi.org/10.1186/2190-4715-24-24</w:t>
        </w:r>
      </w:hyperlink>
      <w:r w:rsidRPr="00681AEA">
        <w:rPr>
          <w:sz w:val="24"/>
          <w:lang w:val="cs-CZ"/>
        </w:rPr>
        <w:t>.</w:t>
      </w:r>
    </w:p>
  </w:footnote>
  <w:footnote w:id="11">
    <w:p w14:paraId="56B83A3A" w14:textId="533475F0"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 xml:space="preserve">Pro přehled viz </w:t>
      </w:r>
      <w:proofErr w:type="spellStart"/>
      <w:r w:rsidRPr="00681AEA">
        <w:rPr>
          <w:sz w:val="24"/>
          <w:lang w:val="cs-CZ"/>
        </w:rPr>
        <w:t>Rubio</w:t>
      </w:r>
      <w:proofErr w:type="spellEnd"/>
      <w:r w:rsidRPr="00681AEA">
        <w:rPr>
          <w:sz w:val="24"/>
          <w:lang w:val="cs-CZ"/>
        </w:rPr>
        <w:t xml:space="preserve">-Infante, N., </w:t>
      </w:r>
      <w:proofErr w:type="spellStart"/>
      <w:r w:rsidRPr="00681AEA">
        <w:rPr>
          <w:sz w:val="24"/>
          <w:lang w:val="cs-CZ"/>
        </w:rPr>
        <w:t>Moreno-Fierros</w:t>
      </w:r>
      <w:proofErr w:type="spellEnd"/>
      <w:r w:rsidRPr="00681AEA">
        <w:rPr>
          <w:sz w:val="24"/>
          <w:lang w:val="cs-CZ"/>
        </w:rPr>
        <w:t xml:space="preserve">, L., „An </w:t>
      </w:r>
      <w:proofErr w:type="spellStart"/>
      <w:r w:rsidRPr="00681AEA">
        <w:rPr>
          <w:sz w:val="24"/>
          <w:lang w:val="cs-CZ"/>
        </w:rPr>
        <w:t>overview</w:t>
      </w:r>
      <w:proofErr w:type="spellEnd"/>
      <w:r w:rsidRPr="00681AEA">
        <w:rPr>
          <w:sz w:val="24"/>
          <w:lang w:val="cs-CZ"/>
        </w:rPr>
        <w:t xml:space="preserve"> </w:t>
      </w:r>
      <w:proofErr w:type="spellStart"/>
      <w:r w:rsidRPr="00681AEA">
        <w:rPr>
          <w:sz w:val="24"/>
          <w:lang w:val="cs-CZ"/>
        </w:rPr>
        <w:t>of</w:t>
      </w:r>
      <w:proofErr w:type="spellEnd"/>
      <w:r w:rsidRPr="00681AEA">
        <w:rPr>
          <w:sz w:val="24"/>
          <w:lang w:val="cs-CZ"/>
        </w:rPr>
        <w:t xml:space="preserve"> </w:t>
      </w:r>
      <w:proofErr w:type="spellStart"/>
      <w:r w:rsidRPr="00681AEA">
        <w:rPr>
          <w:sz w:val="24"/>
          <w:lang w:val="cs-CZ"/>
        </w:rPr>
        <w:t>the</w:t>
      </w:r>
      <w:proofErr w:type="spellEnd"/>
      <w:r w:rsidRPr="00681AEA">
        <w:rPr>
          <w:sz w:val="24"/>
          <w:lang w:val="cs-CZ"/>
        </w:rPr>
        <w:t xml:space="preserve"> </w:t>
      </w:r>
      <w:proofErr w:type="spellStart"/>
      <w:r w:rsidRPr="00681AEA">
        <w:rPr>
          <w:sz w:val="24"/>
          <w:lang w:val="cs-CZ"/>
        </w:rPr>
        <w:t>safety</w:t>
      </w:r>
      <w:proofErr w:type="spellEnd"/>
      <w:r w:rsidRPr="00681AEA">
        <w:rPr>
          <w:sz w:val="24"/>
          <w:lang w:val="cs-CZ"/>
        </w:rPr>
        <w:t xml:space="preserve"> and </w:t>
      </w:r>
      <w:proofErr w:type="spellStart"/>
      <w:r w:rsidRPr="00681AEA">
        <w:rPr>
          <w:sz w:val="24"/>
          <w:lang w:val="cs-CZ"/>
        </w:rPr>
        <w:t>biological</w:t>
      </w:r>
      <w:proofErr w:type="spellEnd"/>
      <w:r w:rsidRPr="00681AEA">
        <w:rPr>
          <w:sz w:val="24"/>
          <w:lang w:val="cs-CZ"/>
        </w:rPr>
        <w:t xml:space="preserve"> </w:t>
      </w:r>
      <w:proofErr w:type="spellStart"/>
      <w:r w:rsidRPr="00681AEA">
        <w:rPr>
          <w:sz w:val="24"/>
          <w:lang w:val="cs-CZ"/>
        </w:rPr>
        <w:t>effects</w:t>
      </w:r>
      <w:proofErr w:type="spellEnd"/>
      <w:r w:rsidRPr="00681AEA">
        <w:rPr>
          <w:sz w:val="24"/>
          <w:lang w:val="cs-CZ"/>
        </w:rPr>
        <w:t xml:space="preserve"> </w:t>
      </w:r>
      <w:proofErr w:type="spellStart"/>
      <w:r w:rsidRPr="00681AEA">
        <w:rPr>
          <w:sz w:val="24"/>
          <w:lang w:val="cs-CZ"/>
        </w:rPr>
        <w:t>of</w:t>
      </w:r>
      <w:proofErr w:type="spellEnd"/>
      <w:r w:rsidRPr="00681AEA">
        <w:rPr>
          <w:sz w:val="24"/>
          <w:lang w:val="cs-CZ"/>
        </w:rPr>
        <w:t> </w:t>
      </w:r>
      <w:proofErr w:type="spellStart"/>
      <w:r w:rsidRPr="00681AEA">
        <w:rPr>
          <w:i/>
          <w:iCs/>
          <w:sz w:val="24"/>
          <w:lang w:val="cs-CZ"/>
        </w:rPr>
        <w:t>Bacillus</w:t>
      </w:r>
      <w:proofErr w:type="spellEnd"/>
      <w:r w:rsidRPr="00681AEA">
        <w:rPr>
          <w:i/>
          <w:iCs/>
          <w:sz w:val="24"/>
          <w:lang w:val="cs-CZ"/>
        </w:rPr>
        <w:t xml:space="preserve"> </w:t>
      </w:r>
      <w:proofErr w:type="spellStart"/>
      <w:r w:rsidRPr="00681AEA">
        <w:rPr>
          <w:i/>
          <w:iCs/>
          <w:sz w:val="24"/>
          <w:lang w:val="cs-CZ"/>
        </w:rPr>
        <w:t>thuringiensis</w:t>
      </w:r>
      <w:proofErr w:type="spellEnd"/>
      <w:r w:rsidRPr="00681AEA">
        <w:rPr>
          <w:sz w:val="24"/>
          <w:lang w:val="cs-CZ"/>
        </w:rPr>
        <w:t> </w:t>
      </w:r>
      <w:proofErr w:type="spellStart"/>
      <w:r w:rsidRPr="00681AEA">
        <w:rPr>
          <w:sz w:val="24"/>
          <w:lang w:val="cs-CZ"/>
        </w:rPr>
        <w:t>Cry</w:t>
      </w:r>
      <w:proofErr w:type="spellEnd"/>
      <w:r w:rsidRPr="00681AEA">
        <w:rPr>
          <w:sz w:val="24"/>
          <w:lang w:val="cs-CZ"/>
        </w:rPr>
        <w:t xml:space="preserve"> </w:t>
      </w:r>
      <w:proofErr w:type="spellStart"/>
      <w:r w:rsidRPr="00681AEA">
        <w:rPr>
          <w:sz w:val="24"/>
          <w:lang w:val="cs-CZ"/>
        </w:rPr>
        <w:t>toxins</w:t>
      </w:r>
      <w:proofErr w:type="spellEnd"/>
      <w:r w:rsidRPr="00681AEA">
        <w:rPr>
          <w:sz w:val="24"/>
          <w:lang w:val="cs-CZ"/>
        </w:rPr>
        <w:t xml:space="preserve"> in </w:t>
      </w:r>
      <w:proofErr w:type="spellStart"/>
      <w:r w:rsidRPr="00681AEA">
        <w:rPr>
          <w:sz w:val="24"/>
          <w:lang w:val="cs-CZ"/>
        </w:rPr>
        <w:t>mammals</w:t>
      </w:r>
      <w:proofErr w:type="spellEnd"/>
      <w:r w:rsidRPr="00681AEA">
        <w:rPr>
          <w:sz w:val="24"/>
          <w:lang w:val="cs-CZ"/>
        </w:rPr>
        <w:t xml:space="preserve">“, </w:t>
      </w:r>
      <w:proofErr w:type="spellStart"/>
      <w:r w:rsidRPr="00681AEA">
        <w:rPr>
          <w:sz w:val="24"/>
          <w:lang w:val="cs-CZ"/>
        </w:rPr>
        <w:t>Journal</w:t>
      </w:r>
      <w:proofErr w:type="spellEnd"/>
      <w:r w:rsidRPr="00681AEA">
        <w:rPr>
          <w:sz w:val="24"/>
          <w:lang w:val="cs-CZ"/>
        </w:rPr>
        <w:t xml:space="preserve"> </w:t>
      </w:r>
      <w:proofErr w:type="spellStart"/>
      <w:r w:rsidRPr="00681AEA">
        <w:rPr>
          <w:sz w:val="24"/>
          <w:lang w:val="cs-CZ"/>
        </w:rPr>
        <w:t>of</w:t>
      </w:r>
      <w:proofErr w:type="spellEnd"/>
      <w:r w:rsidRPr="00681AEA">
        <w:rPr>
          <w:sz w:val="24"/>
          <w:lang w:val="cs-CZ"/>
        </w:rPr>
        <w:t xml:space="preserve"> </w:t>
      </w:r>
      <w:proofErr w:type="spellStart"/>
      <w:r w:rsidRPr="00681AEA">
        <w:rPr>
          <w:sz w:val="24"/>
          <w:lang w:val="cs-CZ"/>
        </w:rPr>
        <w:t>Applied</w:t>
      </w:r>
      <w:proofErr w:type="spellEnd"/>
      <w:r w:rsidRPr="00681AEA">
        <w:rPr>
          <w:sz w:val="24"/>
          <w:lang w:val="cs-CZ"/>
        </w:rPr>
        <w:t xml:space="preserve"> </w:t>
      </w:r>
      <w:proofErr w:type="spellStart"/>
      <w:r w:rsidRPr="00681AEA">
        <w:rPr>
          <w:sz w:val="24"/>
          <w:lang w:val="cs-CZ"/>
        </w:rPr>
        <w:t>Toxicology</w:t>
      </w:r>
      <w:proofErr w:type="spellEnd"/>
      <w:r w:rsidRPr="00681AEA">
        <w:rPr>
          <w:sz w:val="24"/>
          <w:lang w:val="cs-CZ"/>
        </w:rPr>
        <w:t xml:space="preserve">, květen 2016, 36(5), s. 630–648, </w:t>
      </w:r>
      <w:hyperlink r:id="rId22" w:history="1">
        <w:r w:rsidRPr="00681AEA">
          <w:rPr>
            <w:rStyle w:val="Hyperlink"/>
            <w:sz w:val="24"/>
            <w:lang w:val="cs-CZ"/>
          </w:rPr>
          <w:t>https://onlinelibrary.wiley.com/doi/full/10.1002/jat.3252</w:t>
        </w:r>
      </w:hyperlink>
      <w:r w:rsidRPr="00681AEA">
        <w:rPr>
          <w:sz w:val="24"/>
          <w:lang w:val="cs-CZ"/>
        </w:rPr>
        <w:t>.</w:t>
      </w:r>
    </w:p>
  </w:footnote>
  <w:footnote w:id="12">
    <w:p w14:paraId="749EB08A" w14:textId="5F0F049A"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proofErr w:type="spellStart"/>
      <w:r w:rsidRPr="00681AEA">
        <w:rPr>
          <w:sz w:val="24"/>
          <w:lang w:val="cs-CZ"/>
        </w:rPr>
        <w:t>Bøhn</w:t>
      </w:r>
      <w:proofErr w:type="spellEnd"/>
      <w:r w:rsidRPr="00681AEA">
        <w:rPr>
          <w:sz w:val="24"/>
          <w:lang w:val="cs-CZ"/>
        </w:rPr>
        <w:t xml:space="preserve">, T., </w:t>
      </w:r>
      <w:proofErr w:type="spellStart"/>
      <w:r w:rsidRPr="00681AEA">
        <w:rPr>
          <w:sz w:val="24"/>
          <w:lang w:val="cs-CZ"/>
        </w:rPr>
        <w:t>Macagnan</w:t>
      </w:r>
      <w:proofErr w:type="spellEnd"/>
      <w:r w:rsidRPr="00681AEA">
        <w:rPr>
          <w:sz w:val="24"/>
          <w:lang w:val="cs-CZ"/>
        </w:rPr>
        <w:t xml:space="preserve"> Rover, C., </w:t>
      </w:r>
      <w:proofErr w:type="spellStart"/>
      <w:r w:rsidRPr="00681AEA">
        <w:rPr>
          <w:sz w:val="24"/>
          <w:lang w:val="cs-CZ"/>
        </w:rPr>
        <w:t>Semenchuk</w:t>
      </w:r>
      <w:proofErr w:type="spellEnd"/>
      <w:r w:rsidRPr="00681AEA">
        <w:rPr>
          <w:sz w:val="24"/>
          <w:lang w:val="cs-CZ"/>
        </w:rPr>
        <w:t>, P. R., „</w:t>
      </w:r>
      <w:proofErr w:type="spellStart"/>
      <w:r w:rsidRPr="00681AEA">
        <w:rPr>
          <w:i/>
          <w:sz w:val="24"/>
          <w:lang w:val="cs-CZ"/>
        </w:rPr>
        <w:t>Daphnia</w:t>
      </w:r>
      <w:proofErr w:type="spellEnd"/>
      <w:r w:rsidRPr="00681AEA">
        <w:rPr>
          <w:i/>
          <w:sz w:val="24"/>
          <w:lang w:val="cs-CZ"/>
        </w:rPr>
        <w:t xml:space="preserve"> </w:t>
      </w:r>
      <w:proofErr w:type="spellStart"/>
      <w:r w:rsidRPr="00681AEA">
        <w:rPr>
          <w:i/>
          <w:sz w:val="24"/>
          <w:lang w:val="cs-CZ"/>
        </w:rPr>
        <w:t>magna</w:t>
      </w:r>
      <w:proofErr w:type="spellEnd"/>
      <w:r w:rsidRPr="00681AEA">
        <w:rPr>
          <w:sz w:val="24"/>
          <w:lang w:val="cs-CZ"/>
        </w:rPr>
        <w:t xml:space="preserve"> </w:t>
      </w:r>
      <w:proofErr w:type="spellStart"/>
      <w:r w:rsidRPr="00681AEA">
        <w:rPr>
          <w:sz w:val="24"/>
          <w:lang w:val="cs-CZ"/>
        </w:rPr>
        <w:t>negatively</w:t>
      </w:r>
      <w:proofErr w:type="spellEnd"/>
      <w:r w:rsidRPr="00681AEA">
        <w:rPr>
          <w:sz w:val="24"/>
          <w:lang w:val="cs-CZ"/>
        </w:rPr>
        <w:t xml:space="preserve"> </w:t>
      </w:r>
      <w:proofErr w:type="spellStart"/>
      <w:r w:rsidRPr="00681AEA">
        <w:rPr>
          <w:sz w:val="24"/>
          <w:lang w:val="cs-CZ"/>
        </w:rPr>
        <w:t>affected</w:t>
      </w:r>
      <w:proofErr w:type="spellEnd"/>
      <w:r w:rsidRPr="00681AEA">
        <w:rPr>
          <w:sz w:val="24"/>
          <w:lang w:val="cs-CZ"/>
        </w:rPr>
        <w:t xml:space="preserve"> by </w:t>
      </w:r>
      <w:proofErr w:type="spellStart"/>
      <w:r w:rsidRPr="00681AEA">
        <w:rPr>
          <w:sz w:val="24"/>
          <w:lang w:val="cs-CZ"/>
        </w:rPr>
        <w:t>chronic</w:t>
      </w:r>
      <w:proofErr w:type="spellEnd"/>
      <w:r w:rsidRPr="00681AEA">
        <w:rPr>
          <w:sz w:val="24"/>
          <w:lang w:val="cs-CZ"/>
        </w:rPr>
        <w:t xml:space="preserve"> </w:t>
      </w:r>
      <w:proofErr w:type="spellStart"/>
      <w:r w:rsidRPr="00681AEA">
        <w:rPr>
          <w:sz w:val="24"/>
          <w:lang w:val="cs-CZ"/>
        </w:rPr>
        <w:t>exposure</w:t>
      </w:r>
      <w:proofErr w:type="spellEnd"/>
      <w:r w:rsidRPr="00681AEA">
        <w:rPr>
          <w:sz w:val="24"/>
          <w:lang w:val="cs-CZ"/>
        </w:rPr>
        <w:t xml:space="preserve"> to </w:t>
      </w:r>
      <w:proofErr w:type="spellStart"/>
      <w:r w:rsidRPr="00681AEA">
        <w:rPr>
          <w:sz w:val="24"/>
          <w:lang w:val="cs-CZ"/>
        </w:rPr>
        <w:t>purified</w:t>
      </w:r>
      <w:proofErr w:type="spellEnd"/>
      <w:r w:rsidRPr="00681AEA">
        <w:rPr>
          <w:sz w:val="24"/>
          <w:lang w:val="cs-CZ"/>
        </w:rPr>
        <w:t xml:space="preserve"> </w:t>
      </w:r>
      <w:proofErr w:type="spellStart"/>
      <w:r w:rsidRPr="00681AEA">
        <w:rPr>
          <w:sz w:val="24"/>
          <w:lang w:val="cs-CZ"/>
        </w:rPr>
        <w:t>Cry-toxins</w:t>
      </w:r>
      <w:proofErr w:type="spellEnd"/>
      <w:r w:rsidRPr="00681AEA">
        <w:rPr>
          <w:sz w:val="24"/>
          <w:lang w:val="cs-CZ"/>
        </w:rPr>
        <w:t xml:space="preserve">“, Food and </w:t>
      </w:r>
      <w:proofErr w:type="spellStart"/>
      <w:r w:rsidRPr="00681AEA">
        <w:rPr>
          <w:sz w:val="24"/>
          <w:lang w:val="cs-CZ"/>
        </w:rPr>
        <w:t>Chemical</w:t>
      </w:r>
      <w:proofErr w:type="spellEnd"/>
      <w:r w:rsidRPr="00681AEA">
        <w:rPr>
          <w:sz w:val="24"/>
          <w:lang w:val="cs-CZ"/>
        </w:rPr>
        <w:t xml:space="preserve"> </w:t>
      </w:r>
      <w:proofErr w:type="spellStart"/>
      <w:r w:rsidRPr="00681AEA">
        <w:rPr>
          <w:sz w:val="24"/>
          <w:lang w:val="cs-CZ"/>
        </w:rPr>
        <w:t>Toxicology</w:t>
      </w:r>
      <w:proofErr w:type="spellEnd"/>
      <w:r w:rsidRPr="00681AEA">
        <w:rPr>
          <w:sz w:val="24"/>
          <w:lang w:val="cs-CZ"/>
        </w:rPr>
        <w:t xml:space="preserve">, květen 2016, sv. 91, s. 130–140, </w:t>
      </w:r>
      <w:hyperlink r:id="rId23" w:history="1">
        <w:r w:rsidRPr="00681AEA">
          <w:rPr>
            <w:rStyle w:val="Hyperlink"/>
            <w:sz w:val="24"/>
            <w:lang w:val="cs-CZ"/>
          </w:rPr>
          <w:t>https://doi.org/10.1016/j.fct.2016.03.009</w:t>
        </w:r>
      </w:hyperlink>
      <w:r w:rsidRPr="00681AEA">
        <w:rPr>
          <w:sz w:val="24"/>
          <w:lang w:val="cs-CZ"/>
        </w:rPr>
        <w:t>.</w:t>
      </w:r>
    </w:p>
  </w:footnote>
  <w:footnote w:id="13">
    <w:p w14:paraId="06E78670" w14:textId="3FCBDDD5"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proofErr w:type="spellStart"/>
      <w:r w:rsidRPr="00681AEA">
        <w:rPr>
          <w:sz w:val="24"/>
          <w:lang w:val="cs-CZ"/>
        </w:rPr>
        <w:t>Trtikova</w:t>
      </w:r>
      <w:proofErr w:type="spellEnd"/>
      <w:r w:rsidRPr="00681AEA">
        <w:rPr>
          <w:sz w:val="24"/>
          <w:lang w:val="cs-CZ"/>
        </w:rPr>
        <w:t xml:space="preserve">, M., </w:t>
      </w:r>
      <w:proofErr w:type="spellStart"/>
      <w:r w:rsidRPr="00681AEA">
        <w:rPr>
          <w:sz w:val="24"/>
          <w:lang w:val="cs-CZ"/>
        </w:rPr>
        <w:t>Lohn</w:t>
      </w:r>
      <w:proofErr w:type="spellEnd"/>
      <w:r w:rsidRPr="00681AEA">
        <w:rPr>
          <w:sz w:val="24"/>
          <w:lang w:val="cs-CZ"/>
        </w:rPr>
        <w:t xml:space="preserve">, A., </w:t>
      </w:r>
      <w:proofErr w:type="spellStart"/>
      <w:r w:rsidRPr="00681AEA">
        <w:rPr>
          <w:sz w:val="24"/>
          <w:lang w:val="cs-CZ"/>
        </w:rPr>
        <w:t>Binimelis</w:t>
      </w:r>
      <w:proofErr w:type="spellEnd"/>
      <w:r w:rsidRPr="00681AEA">
        <w:rPr>
          <w:sz w:val="24"/>
          <w:lang w:val="cs-CZ"/>
        </w:rPr>
        <w:t xml:space="preserve">, R., </w:t>
      </w:r>
      <w:proofErr w:type="spellStart"/>
      <w:r w:rsidRPr="00681AEA">
        <w:rPr>
          <w:sz w:val="24"/>
          <w:lang w:val="cs-CZ"/>
        </w:rPr>
        <w:t>Chapela</w:t>
      </w:r>
      <w:proofErr w:type="spellEnd"/>
      <w:r w:rsidRPr="00681AEA">
        <w:rPr>
          <w:sz w:val="24"/>
          <w:lang w:val="cs-CZ"/>
        </w:rPr>
        <w:t xml:space="preserve">, I., </w:t>
      </w:r>
      <w:proofErr w:type="spellStart"/>
      <w:r w:rsidRPr="00681AEA">
        <w:rPr>
          <w:sz w:val="24"/>
          <w:lang w:val="cs-CZ"/>
        </w:rPr>
        <w:t>Oehen</w:t>
      </w:r>
      <w:proofErr w:type="spellEnd"/>
      <w:r w:rsidRPr="00681AEA">
        <w:rPr>
          <w:sz w:val="24"/>
          <w:lang w:val="cs-CZ"/>
        </w:rPr>
        <w:t xml:space="preserve">, B., </w:t>
      </w:r>
      <w:proofErr w:type="spellStart"/>
      <w:r w:rsidRPr="00681AEA">
        <w:rPr>
          <w:sz w:val="24"/>
          <w:lang w:val="cs-CZ"/>
        </w:rPr>
        <w:t>Zemp</w:t>
      </w:r>
      <w:proofErr w:type="spellEnd"/>
      <w:r w:rsidRPr="00681AEA">
        <w:rPr>
          <w:sz w:val="24"/>
          <w:lang w:val="cs-CZ"/>
        </w:rPr>
        <w:t xml:space="preserve">, N., </w:t>
      </w:r>
      <w:proofErr w:type="spellStart"/>
      <w:r w:rsidRPr="00681AEA">
        <w:rPr>
          <w:sz w:val="24"/>
          <w:lang w:val="cs-CZ"/>
        </w:rPr>
        <w:t>Widmer</w:t>
      </w:r>
      <w:proofErr w:type="spellEnd"/>
      <w:r w:rsidRPr="00681AEA">
        <w:rPr>
          <w:sz w:val="24"/>
          <w:lang w:val="cs-CZ"/>
        </w:rPr>
        <w:t xml:space="preserve">, A., </w:t>
      </w:r>
      <w:proofErr w:type="spellStart"/>
      <w:r w:rsidRPr="00681AEA">
        <w:rPr>
          <w:sz w:val="24"/>
          <w:lang w:val="cs-CZ"/>
        </w:rPr>
        <w:t>Hilbeck</w:t>
      </w:r>
      <w:proofErr w:type="spellEnd"/>
      <w:r w:rsidRPr="00681AEA">
        <w:rPr>
          <w:sz w:val="24"/>
          <w:lang w:val="cs-CZ"/>
        </w:rPr>
        <w:t>, A., (2017), „</w:t>
      </w:r>
      <w:proofErr w:type="spellStart"/>
      <w:r w:rsidRPr="00681AEA">
        <w:rPr>
          <w:sz w:val="24"/>
          <w:lang w:val="cs-CZ"/>
        </w:rPr>
        <w:t>Teosinte</w:t>
      </w:r>
      <w:proofErr w:type="spellEnd"/>
      <w:r w:rsidRPr="00681AEA">
        <w:rPr>
          <w:sz w:val="24"/>
          <w:lang w:val="cs-CZ"/>
        </w:rPr>
        <w:t xml:space="preserve"> in </w:t>
      </w:r>
      <w:proofErr w:type="spellStart"/>
      <w:r w:rsidRPr="00681AEA">
        <w:rPr>
          <w:sz w:val="24"/>
          <w:lang w:val="cs-CZ"/>
        </w:rPr>
        <w:t>Europe</w:t>
      </w:r>
      <w:proofErr w:type="spellEnd"/>
      <w:r w:rsidRPr="00681AEA">
        <w:rPr>
          <w:sz w:val="24"/>
          <w:lang w:val="cs-CZ"/>
        </w:rPr>
        <w:t xml:space="preserve"> – </w:t>
      </w:r>
      <w:proofErr w:type="spellStart"/>
      <w:r w:rsidRPr="00681AEA">
        <w:rPr>
          <w:sz w:val="24"/>
          <w:lang w:val="cs-CZ"/>
        </w:rPr>
        <w:t>Searching</w:t>
      </w:r>
      <w:proofErr w:type="spellEnd"/>
      <w:r w:rsidRPr="00681AEA">
        <w:rPr>
          <w:sz w:val="24"/>
          <w:lang w:val="cs-CZ"/>
        </w:rPr>
        <w:t xml:space="preserve"> </w:t>
      </w:r>
      <w:proofErr w:type="spellStart"/>
      <w:r w:rsidRPr="00681AEA">
        <w:rPr>
          <w:sz w:val="24"/>
          <w:lang w:val="cs-CZ"/>
        </w:rPr>
        <w:t>for</w:t>
      </w:r>
      <w:proofErr w:type="spellEnd"/>
      <w:r w:rsidRPr="00681AEA">
        <w:rPr>
          <w:sz w:val="24"/>
          <w:lang w:val="cs-CZ"/>
        </w:rPr>
        <w:t xml:space="preserve"> </w:t>
      </w:r>
      <w:proofErr w:type="spellStart"/>
      <w:r w:rsidRPr="00681AEA">
        <w:rPr>
          <w:sz w:val="24"/>
          <w:lang w:val="cs-CZ"/>
        </w:rPr>
        <w:t>the</w:t>
      </w:r>
      <w:proofErr w:type="spellEnd"/>
      <w:r w:rsidRPr="00681AEA">
        <w:rPr>
          <w:sz w:val="24"/>
          <w:lang w:val="cs-CZ"/>
        </w:rPr>
        <w:t xml:space="preserve"> </w:t>
      </w:r>
      <w:proofErr w:type="spellStart"/>
      <w:r w:rsidRPr="00681AEA">
        <w:rPr>
          <w:sz w:val="24"/>
          <w:lang w:val="cs-CZ"/>
        </w:rPr>
        <w:t>Origin</w:t>
      </w:r>
      <w:proofErr w:type="spellEnd"/>
      <w:r w:rsidRPr="00681AEA">
        <w:rPr>
          <w:sz w:val="24"/>
          <w:lang w:val="cs-CZ"/>
        </w:rPr>
        <w:t xml:space="preserve"> </w:t>
      </w:r>
      <w:proofErr w:type="spellStart"/>
      <w:r w:rsidRPr="00681AEA">
        <w:rPr>
          <w:sz w:val="24"/>
          <w:lang w:val="cs-CZ"/>
        </w:rPr>
        <w:t>of</w:t>
      </w:r>
      <w:proofErr w:type="spellEnd"/>
      <w:r w:rsidRPr="00681AEA">
        <w:rPr>
          <w:sz w:val="24"/>
          <w:lang w:val="cs-CZ"/>
        </w:rPr>
        <w:t xml:space="preserve"> a Novel </w:t>
      </w:r>
      <w:proofErr w:type="spellStart"/>
      <w:r w:rsidRPr="00681AEA">
        <w:rPr>
          <w:sz w:val="24"/>
          <w:lang w:val="cs-CZ"/>
        </w:rPr>
        <w:t>Weed</w:t>
      </w:r>
      <w:proofErr w:type="spellEnd"/>
      <w:r w:rsidRPr="00681AEA">
        <w:rPr>
          <w:sz w:val="24"/>
          <w:lang w:val="cs-CZ"/>
        </w:rPr>
        <w:t xml:space="preserve">“, </w:t>
      </w:r>
      <w:proofErr w:type="spellStart"/>
      <w:r w:rsidRPr="00681AEA">
        <w:rPr>
          <w:sz w:val="24"/>
          <w:lang w:val="cs-CZ"/>
        </w:rPr>
        <w:t>Scientific</w:t>
      </w:r>
      <w:proofErr w:type="spellEnd"/>
      <w:r w:rsidRPr="00681AEA">
        <w:rPr>
          <w:sz w:val="24"/>
          <w:lang w:val="cs-CZ"/>
        </w:rPr>
        <w:t xml:space="preserve"> </w:t>
      </w:r>
      <w:proofErr w:type="spellStart"/>
      <w:r w:rsidRPr="00681AEA">
        <w:rPr>
          <w:sz w:val="24"/>
          <w:lang w:val="cs-CZ"/>
        </w:rPr>
        <w:t>Reports</w:t>
      </w:r>
      <w:proofErr w:type="spellEnd"/>
      <w:r w:rsidRPr="00681AEA">
        <w:rPr>
          <w:sz w:val="24"/>
          <w:lang w:val="cs-CZ"/>
        </w:rPr>
        <w:t xml:space="preserve">, 7:1560, </w:t>
      </w:r>
      <w:hyperlink r:id="rId24" w:history="1">
        <w:r w:rsidRPr="00681AEA">
          <w:rPr>
            <w:rStyle w:val="Hyperlink"/>
            <w:sz w:val="24"/>
            <w:lang w:val="cs-CZ"/>
          </w:rPr>
          <w:t>https://doi.org/10.1038/s41598-017-01478-w</w:t>
        </w:r>
      </w:hyperlink>
      <w:r w:rsidRPr="00681AEA">
        <w:rPr>
          <w:sz w:val="24"/>
          <w:lang w:val="cs-CZ"/>
        </w:rPr>
        <w:t>.</w:t>
      </w:r>
    </w:p>
  </w:footnote>
  <w:footnote w:id="14">
    <w:p w14:paraId="7B1D242A" w14:textId="32E6F7FD"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proofErr w:type="spellStart"/>
      <w:r w:rsidRPr="00681AEA">
        <w:rPr>
          <w:sz w:val="24"/>
          <w:lang w:val="cs-CZ"/>
        </w:rPr>
        <w:t>Strategic</w:t>
      </w:r>
      <w:proofErr w:type="spellEnd"/>
      <w:r w:rsidRPr="00681AEA">
        <w:rPr>
          <w:sz w:val="24"/>
          <w:lang w:val="cs-CZ"/>
        </w:rPr>
        <w:t xml:space="preserve"> </w:t>
      </w:r>
      <w:proofErr w:type="spellStart"/>
      <w:r w:rsidRPr="00681AEA">
        <w:rPr>
          <w:sz w:val="24"/>
          <w:lang w:val="cs-CZ"/>
        </w:rPr>
        <w:t>Dialogue</w:t>
      </w:r>
      <w:proofErr w:type="spellEnd"/>
      <w:r w:rsidRPr="00681AEA">
        <w:rPr>
          <w:sz w:val="24"/>
          <w:lang w:val="cs-CZ"/>
        </w:rPr>
        <w:t xml:space="preserve"> on </w:t>
      </w:r>
      <w:proofErr w:type="spellStart"/>
      <w:r w:rsidRPr="00681AEA">
        <w:rPr>
          <w:sz w:val="24"/>
          <w:lang w:val="cs-CZ"/>
        </w:rPr>
        <w:t>the</w:t>
      </w:r>
      <w:proofErr w:type="spellEnd"/>
      <w:r w:rsidRPr="00681AEA">
        <w:rPr>
          <w:sz w:val="24"/>
          <w:lang w:val="cs-CZ"/>
        </w:rPr>
        <w:t xml:space="preserve"> </w:t>
      </w:r>
      <w:proofErr w:type="spellStart"/>
      <w:r w:rsidRPr="00681AEA">
        <w:rPr>
          <w:sz w:val="24"/>
          <w:lang w:val="cs-CZ"/>
        </w:rPr>
        <w:t>Future</w:t>
      </w:r>
      <w:proofErr w:type="spellEnd"/>
      <w:r w:rsidRPr="00681AEA">
        <w:rPr>
          <w:sz w:val="24"/>
          <w:lang w:val="cs-CZ"/>
        </w:rPr>
        <w:t xml:space="preserve"> </w:t>
      </w:r>
      <w:proofErr w:type="spellStart"/>
      <w:r w:rsidRPr="00681AEA">
        <w:rPr>
          <w:sz w:val="24"/>
          <w:lang w:val="cs-CZ"/>
        </w:rPr>
        <w:t>of</w:t>
      </w:r>
      <w:proofErr w:type="spellEnd"/>
      <w:r w:rsidRPr="00681AEA">
        <w:rPr>
          <w:sz w:val="24"/>
          <w:lang w:val="cs-CZ"/>
        </w:rPr>
        <w:t xml:space="preserve"> EU </w:t>
      </w:r>
      <w:proofErr w:type="spellStart"/>
      <w:r w:rsidRPr="00681AEA">
        <w:rPr>
          <w:sz w:val="24"/>
          <w:lang w:val="cs-CZ"/>
        </w:rPr>
        <w:t>Agriculture</w:t>
      </w:r>
      <w:proofErr w:type="spellEnd"/>
      <w:r w:rsidRPr="00681AEA">
        <w:rPr>
          <w:sz w:val="24"/>
          <w:lang w:val="cs-CZ"/>
        </w:rPr>
        <w:t xml:space="preserve"> – A </w:t>
      </w:r>
      <w:proofErr w:type="spellStart"/>
      <w:r w:rsidRPr="00681AEA">
        <w:rPr>
          <w:sz w:val="24"/>
          <w:lang w:val="cs-CZ"/>
        </w:rPr>
        <w:t>shared</w:t>
      </w:r>
      <w:proofErr w:type="spellEnd"/>
      <w:r w:rsidRPr="00681AEA">
        <w:rPr>
          <w:sz w:val="24"/>
          <w:lang w:val="cs-CZ"/>
        </w:rPr>
        <w:t xml:space="preserve"> </w:t>
      </w:r>
      <w:proofErr w:type="spellStart"/>
      <w:r w:rsidRPr="00681AEA">
        <w:rPr>
          <w:sz w:val="24"/>
          <w:lang w:val="cs-CZ"/>
        </w:rPr>
        <w:t>prospect</w:t>
      </w:r>
      <w:proofErr w:type="spellEnd"/>
      <w:r w:rsidRPr="00681AEA">
        <w:rPr>
          <w:sz w:val="24"/>
          <w:lang w:val="cs-CZ"/>
        </w:rPr>
        <w:t xml:space="preserve"> </w:t>
      </w:r>
      <w:proofErr w:type="spellStart"/>
      <w:r w:rsidRPr="00681AEA">
        <w:rPr>
          <w:sz w:val="24"/>
          <w:lang w:val="cs-CZ"/>
        </w:rPr>
        <w:t>for</w:t>
      </w:r>
      <w:proofErr w:type="spellEnd"/>
      <w:r w:rsidRPr="00681AEA">
        <w:rPr>
          <w:sz w:val="24"/>
          <w:lang w:val="cs-CZ"/>
        </w:rPr>
        <w:t xml:space="preserve"> </w:t>
      </w:r>
      <w:proofErr w:type="spellStart"/>
      <w:r w:rsidRPr="00681AEA">
        <w:rPr>
          <w:sz w:val="24"/>
          <w:lang w:val="cs-CZ"/>
        </w:rPr>
        <w:t>farming</w:t>
      </w:r>
      <w:proofErr w:type="spellEnd"/>
      <w:r w:rsidRPr="00681AEA">
        <w:rPr>
          <w:sz w:val="24"/>
          <w:lang w:val="cs-CZ"/>
        </w:rPr>
        <w:t xml:space="preserve"> and food in </w:t>
      </w:r>
      <w:proofErr w:type="spellStart"/>
      <w:r w:rsidRPr="00681AEA">
        <w:rPr>
          <w:sz w:val="24"/>
          <w:lang w:val="cs-CZ"/>
        </w:rPr>
        <w:t>Europe</w:t>
      </w:r>
      <w:proofErr w:type="spellEnd"/>
      <w:r w:rsidRPr="00681AEA">
        <w:rPr>
          <w:sz w:val="24"/>
          <w:lang w:val="cs-CZ"/>
        </w:rPr>
        <w:t xml:space="preserve"> (Strategický dialog o budoucnosti zemědělství EU – Společná perspektiva zemědělství a potravinářství v Evropě), září 2024, </w:t>
      </w:r>
      <w:hyperlink r:id="rId25" w:history="1">
        <w:r w:rsidRPr="00681AEA">
          <w:rPr>
            <w:rStyle w:val="Hyperlink"/>
            <w:sz w:val="24"/>
            <w:lang w:val="cs-CZ"/>
          </w:rPr>
          <w:t>https://agriculture.ec.europa.eu/document/download/171329ff-0f50-4fa5-946f-aea11032172e_en?filename=strategic-dialogue-report-2024_en.pdf</w:t>
        </w:r>
      </w:hyperlink>
      <w:r w:rsidR="001C5C8E">
        <w:rPr>
          <w:sz w:val="24"/>
          <w:lang w:val="cs-CZ"/>
        </w:rPr>
        <w:t>.</w:t>
      </w:r>
    </w:p>
  </w:footnote>
  <w:footnote w:id="15">
    <w:p w14:paraId="28016947" w14:textId="16A27B08"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hyperlink r:id="rId26" w:history="1">
        <w:r w:rsidRPr="00681AEA">
          <w:rPr>
            <w:rStyle w:val="Hyperlink"/>
            <w:sz w:val="24"/>
            <w:lang w:val="cs-CZ"/>
          </w:rPr>
          <w:t>https://www.ohchr.org/en/documents/thematic-reports/ahrc3448-report-special-rapporteur-right-food</w:t>
        </w:r>
      </w:hyperlink>
    </w:p>
  </w:footnote>
  <w:footnote w:id="16">
    <w:p w14:paraId="593092BF" w14:textId="57E87CD1"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hyperlink r:id="rId27" w:history="1">
        <w:r w:rsidRPr="00681AEA">
          <w:rPr>
            <w:rStyle w:val="Hyperlink"/>
            <w:sz w:val="24"/>
            <w:lang w:val="cs-CZ"/>
          </w:rPr>
          <w:t>https://www.un.org/sustainabledevelopment/health/</w:t>
        </w:r>
      </w:hyperlink>
    </w:p>
  </w:footnote>
  <w:footnote w:id="17">
    <w:p w14:paraId="377A8DF1" w14:textId="4F86A72A"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hyperlink r:id="rId28" w:history="1">
        <w:r w:rsidRPr="00681AEA">
          <w:rPr>
            <w:rStyle w:val="Hyperlink"/>
            <w:sz w:val="24"/>
            <w:lang w:val="cs-CZ"/>
          </w:rPr>
          <w:t>https://ec.europa.eu/commission/presscorner/detail/cs/ip_22_7834</w:t>
        </w:r>
      </w:hyperlink>
    </w:p>
  </w:footnote>
  <w:footnote w:id="18">
    <w:p w14:paraId="73A4273F" w14:textId="6FAC1949"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hyperlink r:id="rId29" w:history="1">
        <w:r w:rsidRPr="00681AEA">
          <w:rPr>
            <w:rStyle w:val="Hyperlink"/>
            <w:sz w:val="24"/>
            <w:lang w:val="cs-CZ"/>
          </w:rPr>
          <w:t>https://commission.europa.eu/document/2c64e540-c07a-4376-a1da-368d289f4afe_en</w:t>
        </w:r>
      </w:hyperlink>
    </w:p>
  </w:footnote>
  <w:footnote w:id="19">
    <w:p w14:paraId="7B828DC6" w14:textId="3C5C59A3"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Pokud se v odvolacím výboru kladně nevysloví kvalifikovaná většina členských států, podle čl. 6 odst. 3 nařízení (EU) č. 182/2011 Komise „může“, nikoli „musí“ akt přijmout.</w:t>
      </w:r>
    </w:p>
  </w:footnote>
  <w:footnote w:id="20">
    <w:p w14:paraId="5A85E8BA" w14:textId="0BD34A09"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hyperlink r:id="rId30" w:history="1">
        <w:r w:rsidRPr="00681AEA">
          <w:rPr>
            <w:rStyle w:val="Hyperlink"/>
            <w:sz w:val="24"/>
            <w:lang w:val="cs-CZ"/>
          </w:rPr>
          <w:t>https://food.ec.europa.eu/document/download/ee1a5aed-5303-4c32-bb59-813143a1df47_en?filename=sc_modif-genet_20250613_sum.pdf</w:t>
        </w:r>
      </w:hyperlink>
    </w:p>
  </w:footnote>
  <w:footnote w:id="21">
    <w:p w14:paraId="5E3E14E4" w14:textId="25571ADD"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w:t>
      </w:r>
      <w:proofErr w:type="spellStart"/>
      <w:r w:rsidRPr="00681AEA">
        <w:rPr>
          <w:sz w:val="24"/>
          <w:lang w:val="cs-CZ"/>
        </w:rPr>
        <w:t>Úř</w:t>
      </w:r>
      <w:proofErr w:type="spellEnd"/>
      <w:r w:rsidRPr="00681AEA">
        <w:rPr>
          <w:sz w:val="24"/>
          <w:lang w:val="cs-CZ"/>
        </w:rPr>
        <w:t>. </w:t>
      </w:r>
      <w:proofErr w:type="spellStart"/>
      <w:r w:rsidRPr="00681AEA">
        <w:rPr>
          <w:sz w:val="24"/>
          <w:lang w:val="cs-CZ"/>
        </w:rPr>
        <w:t>věst</w:t>
      </w:r>
      <w:proofErr w:type="spellEnd"/>
      <w:r w:rsidRPr="00681AEA">
        <w:rPr>
          <w:sz w:val="24"/>
          <w:lang w:val="cs-CZ"/>
        </w:rPr>
        <w:t xml:space="preserve">. L 31, 1.2.2002, s. 1, ELI: </w:t>
      </w:r>
      <w:hyperlink r:id="rId31" w:history="1">
        <w:r w:rsidRPr="00681AEA">
          <w:rPr>
            <w:rStyle w:val="Hyperlink"/>
            <w:sz w:val="24"/>
            <w:lang w:val="cs-CZ"/>
          </w:rPr>
          <w:t>http://data.europa.eu/eli/reg/2002/178/oj</w:t>
        </w:r>
      </w:hyperlink>
      <w:r w:rsidRPr="00681AEA">
        <w:rPr>
          <w:sz w:val="24"/>
          <w:lang w:val="cs-CZ"/>
        </w:rPr>
        <w:t>).</w:t>
      </w:r>
    </w:p>
  </w:footnote>
  <w:footnote w:id="22">
    <w:p w14:paraId="0EB44932" w14:textId="0325B6D0"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 xml:space="preserve">Jak je uvedeno v příloze sdělení Komise ze dne 14. října 2020 nazvaného „Strategie pro udržitelnost v oblasti chemických látek: k životnímu prostředí bez toxických látek“, COM(2020)0667, </w:t>
      </w:r>
      <w:hyperlink r:id="rId32" w:anchor="document2" w:history="1">
        <w:r w:rsidRPr="00681AEA">
          <w:rPr>
            <w:rStyle w:val="Hyperlink"/>
            <w:sz w:val="24"/>
            <w:lang w:val="cs-CZ"/>
          </w:rPr>
          <w:t>https://eur-lex.europa.eu/legal-content/CS/TXT/?uri=COM%3A2020%3A667%3AFIN#document2</w:t>
        </w:r>
      </w:hyperlink>
      <w:r w:rsidRPr="00681AEA">
        <w:rPr>
          <w:sz w:val="24"/>
          <w:lang w:val="cs-CZ"/>
        </w:rPr>
        <w:t>.</w:t>
      </w:r>
    </w:p>
  </w:footnote>
  <w:footnote w:id="23">
    <w:p w14:paraId="3568B8E3" w14:textId="68BF092F"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hyperlink r:id="rId33" w:history="1">
        <w:r w:rsidRPr="00681AEA">
          <w:rPr>
            <w:rStyle w:val="Hyperlink"/>
            <w:sz w:val="24"/>
            <w:lang w:val="cs-CZ"/>
          </w:rPr>
          <w:t>https://tillymetz.lu/wp-content/uploads/2020/09/Co-signed-letter-MEP-Metz.pdf</w:t>
        </w:r>
      </w:hyperlink>
      <w:r w:rsidRPr="00681AEA">
        <w:rPr>
          <w:sz w:val="24"/>
          <w:lang w:val="cs-CZ"/>
        </w:rPr>
        <w:t>.</w:t>
      </w:r>
    </w:p>
  </w:footnote>
  <w:footnote w:id="24">
    <w:p w14:paraId="0D89BF60" w14:textId="00A52074" w:rsidR="00F94AD4" w:rsidRPr="00681AEA" w:rsidRDefault="00F94AD4" w:rsidP="00681AEA">
      <w:pPr>
        <w:pStyle w:val="FootnoteText"/>
        <w:ind w:left="567" w:hanging="567"/>
        <w:rPr>
          <w:sz w:val="24"/>
          <w:lang w:val="cs-CZ"/>
        </w:rPr>
      </w:pPr>
      <w:r w:rsidRPr="00681AEA">
        <w:rPr>
          <w:rStyle w:val="FootnoteReference"/>
          <w:sz w:val="24"/>
          <w:lang w:val="cs-CZ"/>
        </w:rPr>
        <w:footnoteRef/>
      </w:r>
      <w:r w:rsidR="00681AEA" w:rsidRPr="00681AEA">
        <w:rPr>
          <w:sz w:val="24"/>
          <w:lang w:val="cs-CZ"/>
        </w:rPr>
        <w:t xml:space="preserve"> </w:t>
      </w:r>
      <w:r w:rsidR="00681AEA" w:rsidRPr="00681AEA">
        <w:rPr>
          <w:sz w:val="24"/>
          <w:lang w:val="cs-CZ"/>
        </w:rPr>
        <w:tab/>
      </w:r>
      <w:r w:rsidRPr="00681AEA">
        <w:rPr>
          <w:sz w:val="24"/>
          <w:lang w:val="cs-CZ"/>
        </w:rPr>
        <w:t>Usnesení Evropského parlamentu ze dne 15. ledna 2020 o Zelené dohodě pro Evropu (</w:t>
      </w:r>
      <w:proofErr w:type="spellStart"/>
      <w:r w:rsidRPr="00681AEA">
        <w:rPr>
          <w:sz w:val="24"/>
          <w:lang w:val="cs-CZ"/>
        </w:rPr>
        <w:t>Úř</w:t>
      </w:r>
      <w:proofErr w:type="spellEnd"/>
      <w:r w:rsidRPr="00681AEA">
        <w:rPr>
          <w:sz w:val="24"/>
          <w:lang w:val="cs-CZ"/>
        </w:rPr>
        <w:t xml:space="preserve">. </w:t>
      </w:r>
      <w:proofErr w:type="spellStart"/>
      <w:r w:rsidRPr="00681AEA">
        <w:rPr>
          <w:sz w:val="24"/>
          <w:lang w:val="cs-CZ"/>
        </w:rPr>
        <w:t>věst</w:t>
      </w:r>
      <w:proofErr w:type="spellEnd"/>
      <w:r w:rsidRPr="00681AEA">
        <w:rPr>
          <w:sz w:val="24"/>
          <w:lang w:val="cs-CZ"/>
        </w:rPr>
        <w:t>. C 270, 7.7.2021, s. 2), bod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4FDD2" w14:textId="77777777" w:rsidR="00064002" w:rsidRPr="00681A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86DBF" w14:textId="77777777" w:rsidR="00064002" w:rsidRPr="00681A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9E131" w14:textId="77777777" w:rsidR="00064002" w:rsidRPr="00681A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2849335">
    <w:abstractNumId w:val="9"/>
  </w:num>
  <w:num w:numId="2" w16cid:durableId="772747610">
    <w:abstractNumId w:val="9"/>
  </w:num>
  <w:num w:numId="3" w16cid:durableId="921140005">
    <w:abstractNumId w:val="7"/>
  </w:num>
  <w:num w:numId="4" w16cid:durableId="56172411">
    <w:abstractNumId w:val="7"/>
  </w:num>
  <w:num w:numId="5" w16cid:durableId="1419601202">
    <w:abstractNumId w:val="6"/>
  </w:num>
  <w:num w:numId="6" w16cid:durableId="843595880">
    <w:abstractNumId w:val="6"/>
  </w:num>
  <w:num w:numId="7" w16cid:durableId="2089184982">
    <w:abstractNumId w:val="5"/>
  </w:num>
  <w:num w:numId="8" w16cid:durableId="56783094">
    <w:abstractNumId w:val="5"/>
  </w:num>
  <w:num w:numId="9" w16cid:durableId="1463571414">
    <w:abstractNumId w:val="4"/>
  </w:num>
  <w:num w:numId="10" w16cid:durableId="1508403879">
    <w:abstractNumId w:val="4"/>
  </w:num>
  <w:num w:numId="11" w16cid:durableId="1683817102">
    <w:abstractNumId w:val="8"/>
  </w:num>
  <w:num w:numId="12" w16cid:durableId="77603789">
    <w:abstractNumId w:val="8"/>
  </w:num>
  <w:num w:numId="13" w16cid:durableId="1432165683">
    <w:abstractNumId w:val="3"/>
  </w:num>
  <w:num w:numId="14" w16cid:durableId="900872292">
    <w:abstractNumId w:val="3"/>
  </w:num>
  <w:num w:numId="15" w16cid:durableId="1713460116">
    <w:abstractNumId w:val="2"/>
  </w:num>
  <w:num w:numId="16" w16cid:durableId="1939482143">
    <w:abstractNumId w:val="2"/>
  </w:num>
  <w:num w:numId="17" w16cid:durableId="1145438775">
    <w:abstractNumId w:val="1"/>
  </w:num>
  <w:num w:numId="18" w16cid:durableId="1857688594">
    <w:abstractNumId w:val="1"/>
  </w:num>
  <w:num w:numId="19" w16cid:durableId="138689493">
    <w:abstractNumId w:val="0"/>
  </w:num>
  <w:num w:numId="20" w16cid:durableId="570965004">
    <w:abstractNumId w:val="0"/>
  </w:num>
  <w:num w:numId="21" w16cid:durableId="1265763985">
    <w:abstractNumId w:val="9"/>
  </w:num>
  <w:num w:numId="22" w16cid:durableId="1870991450">
    <w:abstractNumId w:val="7"/>
  </w:num>
  <w:num w:numId="23" w16cid:durableId="255291897">
    <w:abstractNumId w:val="6"/>
  </w:num>
  <w:num w:numId="24" w16cid:durableId="1099177056">
    <w:abstractNumId w:val="5"/>
  </w:num>
  <w:num w:numId="25" w16cid:durableId="1936405262">
    <w:abstractNumId w:val="4"/>
  </w:num>
  <w:num w:numId="26" w16cid:durableId="1071121126">
    <w:abstractNumId w:val="8"/>
  </w:num>
  <w:num w:numId="27" w16cid:durableId="1374884782">
    <w:abstractNumId w:val="3"/>
  </w:num>
  <w:num w:numId="28" w16cid:durableId="1462308694">
    <w:abstractNumId w:val="2"/>
  </w:num>
  <w:num w:numId="29" w16cid:durableId="2046563535">
    <w:abstractNumId w:val="1"/>
  </w:num>
  <w:num w:numId="30" w16cid:durableId="1345091479">
    <w:abstractNumId w:val="0"/>
  </w:num>
  <w:num w:numId="31" w16cid:durableId="166603215">
    <w:abstractNumId w:val="9"/>
  </w:num>
  <w:num w:numId="32" w16cid:durableId="1862165592">
    <w:abstractNumId w:val="7"/>
  </w:num>
  <w:num w:numId="33" w16cid:durableId="1863080981">
    <w:abstractNumId w:val="6"/>
  </w:num>
  <w:num w:numId="34" w16cid:durableId="1315914068">
    <w:abstractNumId w:val="5"/>
  </w:num>
  <w:num w:numId="35" w16cid:durableId="485904930">
    <w:abstractNumId w:val="4"/>
  </w:num>
  <w:num w:numId="36" w16cid:durableId="305815964">
    <w:abstractNumId w:val="8"/>
  </w:num>
  <w:num w:numId="37" w16cid:durableId="1015770512">
    <w:abstractNumId w:val="3"/>
  </w:num>
  <w:num w:numId="38" w16cid:durableId="506022744">
    <w:abstractNumId w:val="2"/>
  </w:num>
  <w:num w:numId="39" w16cid:durableId="2137023296">
    <w:abstractNumId w:val="1"/>
  </w:num>
  <w:num w:numId="40" w16cid:durableId="637493632">
    <w:abstractNumId w:val="0"/>
  </w:num>
  <w:num w:numId="41" w16cid:durableId="1026904694">
    <w:abstractNumId w:val="10"/>
  </w:num>
  <w:num w:numId="42" w16cid:durableId="1517618748">
    <w:abstractNumId w:val="10"/>
  </w:num>
  <w:num w:numId="43" w16cid:durableId="6443286">
    <w:abstractNumId w:val="10"/>
  </w:num>
  <w:num w:numId="44" w16cid:durableId="3188531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CS"/>
    <w:docVar w:name="dvnumam" w:val="0"/>
    <w:docVar w:name="dvpe" w:val="775.588"/>
    <w:docVar w:name="dvtitre" w:val="Usnesení Evropského parlamentu ze dne 8. října 2025 o návrhu prováděcího rozhodnutí Komise o povolení uvedení produktů, které obsahují geneticky modifikovanou kukuřici DP51291, sestávají z ní nebo jsou z ní vyrobeny, na trh podle nařízení Evropského parlamentu a Rady (ES) č. 1829/2003(D108064/03 – 2025/2807(RSP))"/>
  </w:docVars>
  <w:rsids>
    <w:rsidRoot w:val="00EA2149"/>
    <w:rsid w:val="00002272"/>
    <w:rsid w:val="00064002"/>
    <w:rsid w:val="000677B9"/>
    <w:rsid w:val="000831BA"/>
    <w:rsid w:val="000A42CC"/>
    <w:rsid w:val="000D4CA2"/>
    <w:rsid w:val="000E7DD9"/>
    <w:rsid w:val="0010095E"/>
    <w:rsid w:val="00125B37"/>
    <w:rsid w:val="00187494"/>
    <w:rsid w:val="001B409A"/>
    <w:rsid w:val="001C5C8E"/>
    <w:rsid w:val="001F32AE"/>
    <w:rsid w:val="002767FF"/>
    <w:rsid w:val="002B18FE"/>
    <w:rsid w:val="002B5493"/>
    <w:rsid w:val="002F6302"/>
    <w:rsid w:val="00343214"/>
    <w:rsid w:val="00361C00"/>
    <w:rsid w:val="00395FA1"/>
    <w:rsid w:val="003E15D4"/>
    <w:rsid w:val="00411CCE"/>
    <w:rsid w:val="0041666E"/>
    <w:rsid w:val="00421060"/>
    <w:rsid w:val="00471C19"/>
    <w:rsid w:val="00480DBA"/>
    <w:rsid w:val="004867E3"/>
    <w:rsid w:val="00494A28"/>
    <w:rsid w:val="004C0004"/>
    <w:rsid w:val="004C5D52"/>
    <w:rsid w:val="0050519A"/>
    <w:rsid w:val="005072A1"/>
    <w:rsid w:val="00514517"/>
    <w:rsid w:val="00545827"/>
    <w:rsid w:val="00560270"/>
    <w:rsid w:val="00563736"/>
    <w:rsid w:val="005B0B6F"/>
    <w:rsid w:val="005C2568"/>
    <w:rsid w:val="005F1B17"/>
    <w:rsid w:val="006037C0"/>
    <w:rsid w:val="006631B6"/>
    <w:rsid w:val="00680577"/>
    <w:rsid w:val="00681AEA"/>
    <w:rsid w:val="006D14A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AA1"/>
    <w:rsid w:val="008C2AC6"/>
    <w:rsid w:val="00930C23"/>
    <w:rsid w:val="0093193B"/>
    <w:rsid w:val="009509D8"/>
    <w:rsid w:val="00950B64"/>
    <w:rsid w:val="00981893"/>
    <w:rsid w:val="00A1687D"/>
    <w:rsid w:val="00A35EAE"/>
    <w:rsid w:val="00A407CA"/>
    <w:rsid w:val="00A43E52"/>
    <w:rsid w:val="00A4678D"/>
    <w:rsid w:val="00A778C7"/>
    <w:rsid w:val="00AB441E"/>
    <w:rsid w:val="00AB6293"/>
    <w:rsid w:val="00AE0928"/>
    <w:rsid w:val="00AF3B82"/>
    <w:rsid w:val="00B12E95"/>
    <w:rsid w:val="00B22876"/>
    <w:rsid w:val="00B558F0"/>
    <w:rsid w:val="00BD48FE"/>
    <w:rsid w:val="00BD7BD8"/>
    <w:rsid w:val="00BE2F6C"/>
    <w:rsid w:val="00BE6ADC"/>
    <w:rsid w:val="00C00916"/>
    <w:rsid w:val="00C05BFE"/>
    <w:rsid w:val="00C23CD4"/>
    <w:rsid w:val="00C61C0C"/>
    <w:rsid w:val="00C941CB"/>
    <w:rsid w:val="00CC2357"/>
    <w:rsid w:val="00CD179D"/>
    <w:rsid w:val="00CF071A"/>
    <w:rsid w:val="00D058B8"/>
    <w:rsid w:val="00D56C11"/>
    <w:rsid w:val="00D834A0"/>
    <w:rsid w:val="00D872DF"/>
    <w:rsid w:val="00D91E21"/>
    <w:rsid w:val="00DA7FCD"/>
    <w:rsid w:val="00E365E1"/>
    <w:rsid w:val="00E820A4"/>
    <w:rsid w:val="00EA2149"/>
    <w:rsid w:val="00EB006A"/>
    <w:rsid w:val="00EB4772"/>
    <w:rsid w:val="00ED169E"/>
    <w:rsid w:val="00ED4235"/>
    <w:rsid w:val="00EF2EBC"/>
    <w:rsid w:val="00F04346"/>
    <w:rsid w:val="00F075DC"/>
    <w:rsid w:val="00F149E9"/>
    <w:rsid w:val="00F5134D"/>
    <w:rsid w:val="00F74202"/>
    <w:rsid w:val="00F87713"/>
    <w:rsid w:val="00F94AD4"/>
    <w:rsid w:val="00FA04F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ADD87"/>
  <w15:chartTrackingRefBased/>
  <w15:docId w15:val="{30EEDDA8-BD84-43D5-AACB-A0984B990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4AD4"/>
    <w:pPr>
      <w:spacing w:before="480" w:after="240"/>
    </w:pPr>
  </w:style>
  <w:style w:type="paragraph" w:customStyle="1" w:styleId="NormalHanging12a">
    <w:name w:val="NormalHanging12a"/>
    <w:basedOn w:val="Normal"/>
    <w:rsid w:val="00F94AD4"/>
    <w:pPr>
      <w:spacing w:after="240"/>
      <w:ind w:left="567" w:hanging="567"/>
    </w:pPr>
  </w:style>
  <w:style w:type="paragraph" w:customStyle="1" w:styleId="NormalBold">
    <w:name w:val="NormalBold"/>
    <w:basedOn w:val="Normal"/>
    <w:rsid w:val="00F94AD4"/>
    <w:rPr>
      <w:b/>
    </w:rPr>
  </w:style>
  <w:style w:type="character" w:styleId="Hyperlink">
    <w:name w:val="Hyperlink"/>
    <w:basedOn w:val="DefaultParagraphFont"/>
    <w:uiPriority w:val="99"/>
    <w:rsid w:val="00F94AD4"/>
    <w:rPr>
      <w:color w:val="0563C1" w:themeColor="hyperlink"/>
      <w:u w:val="single"/>
    </w:rPr>
  </w:style>
  <w:style w:type="character" w:customStyle="1" w:styleId="Funotenzeichen">
    <w:name w:val="Fußnotenzeichen"/>
    <w:qFormat/>
    <w:rsid w:val="00F94AD4"/>
    <w:rPr>
      <w:vertAlign w:val="superscript"/>
    </w:rPr>
  </w:style>
  <w:style w:type="paragraph" w:styleId="Revision">
    <w:name w:val="Revision"/>
    <w:hidden/>
    <w:uiPriority w:val="99"/>
    <w:semiHidden/>
    <w:rsid w:val="001C5C8E"/>
    <w:rPr>
      <w:sz w:val="24"/>
      <w:lang w:val="cs-CZ"/>
    </w:rPr>
  </w:style>
  <w:style w:type="character" w:styleId="UnresolvedMention">
    <w:name w:val="Unresolved Mention"/>
    <w:basedOn w:val="DefaultParagraphFont"/>
    <w:uiPriority w:val="99"/>
    <w:semiHidden/>
    <w:unhideWhenUsed/>
    <w:rsid w:val="00BE2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8204;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CS/TXT/?uri=COM%3A2020%3A667%3AFIN%23document2"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cs/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2342</Words>
  <Characters>13907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SOCHOROVA Lenka</cp:lastModifiedBy>
  <cp:revision>2</cp:revision>
  <cp:lastPrinted>2004-11-19T15:42:00Z</cp:lastPrinted>
  <dcterms:created xsi:type="dcterms:W3CDTF">2025-11-05T12:19:00Z</dcterms:created>
  <dcterms:modified xsi:type="dcterms:W3CDTF">2025-11-05T12:19:00Z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B10-0407/2025</vt:lpwstr>
  </property>
  <property fmtid="{D5CDD505-2E9C-101B-9397-08002B2CF9AE}" pid="4" name="&lt;Type&gt;">
    <vt:lpwstr>RR</vt:lpwstr>
  </property>
</Properties>
</file>