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DB8" w14:paraId="31718230" w14:textId="77777777" w:rsidTr="0010095E">
        <w:trPr>
          <w:trHeight w:hRule="exact" w:val="1418"/>
        </w:trPr>
        <w:tc>
          <w:tcPr>
            <w:tcW w:w="6804" w:type="dxa"/>
            <w:shd w:val="clear" w:color="auto" w:fill="auto"/>
            <w:vAlign w:val="center"/>
          </w:tcPr>
          <w:p w14:paraId="6C4D15CE" w14:textId="77777777" w:rsidR="00751A4A" w:rsidRPr="00F77DB8" w:rsidRDefault="00EE1234" w:rsidP="0010095E">
            <w:pPr>
              <w:pStyle w:val="EPName"/>
            </w:pPr>
            <w:r w:rsidRPr="00F77DB8">
              <w:t>Europa-Parlamentet</w:t>
            </w:r>
          </w:p>
          <w:p w14:paraId="644A6630" w14:textId="77777777" w:rsidR="00751A4A" w:rsidRPr="00F77DB8" w:rsidRDefault="005F1B17" w:rsidP="005F1B17">
            <w:pPr>
              <w:pStyle w:val="EPTerm"/>
              <w:rPr>
                <w:rStyle w:val="HideTWBExt"/>
                <w:noProof w:val="0"/>
                <w:vanish w:val="0"/>
                <w:color w:val="auto"/>
              </w:rPr>
            </w:pPr>
            <w:r w:rsidRPr="00F77DB8">
              <w:t>2024</w:t>
            </w:r>
            <w:r w:rsidR="00817416" w:rsidRPr="00F77DB8">
              <w:t>-202</w:t>
            </w:r>
            <w:r w:rsidRPr="00F77DB8">
              <w:t>9</w:t>
            </w:r>
          </w:p>
        </w:tc>
        <w:tc>
          <w:tcPr>
            <w:tcW w:w="2268" w:type="dxa"/>
            <w:shd w:val="clear" w:color="auto" w:fill="auto"/>
          </w:tcPr>
          <w:p w14:paraId="153F1E13" w14:textId="77777777" w:rsidR="00751A4A" w:rsidRPr="00F77DB8" w:rsidRDefault="00187494" w:rsidP="0010095E">
            <w:pPr>
              <w:pStyle w:val="EPLogo"/>
            </w:pPr>
            <w:r w:rsidRPr="00F77DB8">
              <w:rPr>
                <w:noProof/>
                <w:lang w:eastAsia="ja-JP"/>
              </w:rPr>
              <w:drawing>
                <wp:inline distT="0" distB="0" distL="0" distR="0" wp14:anchorId="2E27956B" wp14:editId="3F9BF8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9C499F" w14:textId="77777777" w:rsidR="00D058B8" w:rsidRPr="00F77DB8" w:rsidRDefault="00D058B8" w:rsidP="004C5D52">
      <w:pPr>
        <w:pStyle w:val="LineTop"/>
      </w:pPr>
    </w:p>
    <w:p w14:paraId="08C13EF8" w14:textId="77777777" w:rsidR="00680577" w:rsidRPr="00F77DB8" w:rsidRDefault="00EE1234" w:rsidP="00680577">
      <w:pPr>
        <w:pStyle w:val="EPBodyTA1"/>
      </w:pPr>
      <w:r w:rsidRPr="00F77DB8">
        <w:t>VEDTAGNE TEKSTER</w:t>
      </w:r>
    </w:p>
    <w:p w14:paraId="78995A46" w14:textId="77777777" w:rsidR="00D058B8" w:rsidRPr="00F77DB8" w:rsidRDefault="00D058B8" w:rsidP="00D058B8">
      <w:pPr>
        <w:pStyle w:val="LineBottom"/>
      </w:pPr>
    </w:p>
    <w:p w14:paraId="2E2939C0" w14:textId="201AB5C7" w:rsidR="00EE1234" w:rsidRPr="00F77DB8" w:rsidRDefault="00EE1234" w:rsidP="00EE1234">
      <w:pPr>
        <w:pStyle w:val="ATHeading1"/>
      </w:pPr>
      <w:bookmarkStart w:id="0" w:name="TANumber"/>
      <w:r w:rsidRPr="00F77DB8">
        <w:t>P10_TA(2025)0</w:t>
      </w:r>
      <w:r w:rsidR="00FE6412">
        <w:t>222</w:t>
      </w:r>
      <w:bookmarkEnd w:id="0"/>
    </w:p>
    <w:p w14:paraId="7E993A36" w14:textId="79798AEC" w:rsidR="00EE1234" w:rsidRPr="00F77DB8" w:rsidRDefault="00EE1234" w:rsidP="00EE1234">
      <w:pPr>
        <w:pStyle w:val="ATHeading2"/>
      </w:pPr>
      <w:bookmarkStart w:id="1" w:name="title"/>
      <w:r w:rsidRPr="00F77DB8">
        <w:t>Genetisk modificeret DP51291-majs</w:t>
      </w:r>
      <w:bookmarkEnd w:id="1"/>
    </w:p>
    <w:p w14:paraId="575B240D" w14:textId="77777777" w:rsidR="00EE1234" w:rsidRPr="00F77DB8" w:rsidRDefault="00EE1234" w:rsidP="00EE1234">
      <w:pPr>
        <w:rPr>
          <w:i/>
          <w:vanish/>
        </w:rPr>
      </w:pPr>
      <w:r w:rsidRPr="00F77DB8">
        <w:rPr>
          <w:i/>
        </w:rPr>
        <w:fldChar w:fldCharType="begin"/>
      </w:r>
      <w:r w:rsidRPr="00F77DB8">
        <w:rPr>
          <w:i/>
        </w:rPr>
        <w:instrText xml:space="preserve"> TC"(</w:instrText>
      </w:r>
      <w:bookmarkStart w:id="2" w:name="DocNumber"/>
      <w:r w:rsidRPr="00F77DB8">
        <w:rPr>
          <w:i/>
        </w:rPr>
        <w:instrText>B10-0407/2025</w:instrText>
      </w:r>
      <w:bookmarkEnd w:id="2"/>
      <w:r w:rsidRPr="00F77DB8">
        <w:rPr>
          <w:i/>
        </w:rPr>
        <w:instrText xml:space="preserve">)"\l3 \n&gt; \* MERGEFORMAT </w:instrText>
      </w:r>
      <w:r w:rsidRPr="00F77DB8">
        <w:rPr>
          <w:i/>
        </w:rPr>
        <w:fldChar w:fldCharType="end"/>
      </w:r>
    </w:p>
    <w:p w14:paraId="5E82D911" w14:textId="77777777" w:rsidR="00EE1234" w:rsidRPr="00F77DB8" w:rsidRDefault="00EE1234" w:rsidP="00EE1234">
      <w:pPr>
        <w:rPr>
          <w:vanish/>
        </w:rPr>
      </w:pPr>
      <w:bookmarkStart w:id="3" w:name="PE"/>
      <w:r w:rsidRPr="00F77DB8">
        <w:rPr>
          <w:vanish/>
        </w:rPr>
        <w:t>PE775.588</w:t>
      </w:r>
      <w:bookmarkEnd w:id="3"/>
    </w:p>
    <w:p w14:paraId="5CCE52EA" w14:textId="390F1896" w:rsidR="00EE1234" w:rsidRPr="00D2388C" w:rsidRDefault="00EE1234" w:rsidP="00EE1234">
      <w:pPr>
        <w:pStyle w:val="ATHeading3"/>
      </w:pPr>
      <w:bookmarkStart w:id="4" w:name="Sujet"/>
      <w:r w:rsidRPr="00D2388C">
        <w:t xml:space="preserve">Europa-Parlamentets beslutning af </w:t>
      </w:r>
      <w:r w:rsidR="008B2380" w:rsidRPr="00D2388C">
        <w:t>8</w:t>
      </w:r>
      <w:r w:rsidRPr="00D2388C">
        <w:t>. oktober 2025 om Kommissionens gennemførelsesafgørelse</w:t>
      </w:r>
      <w:r w:rsidR="008B2380" w:rsidRPr="00D2388C">
        <w:t xml:space="preserve"> (EU) 2025/1898 af 22. september 2025</w:t>
      </w:r>
      <w:r w:rsidRPr="00D2388C">
        <w:t xml:space="preserve"> om tilladelse til markedsføring af produkter, der indeholder, består af eller er fremstillet af genetisk modificeret DP51291-majs, i henhold til Europa-Parlamentets og Rådets forordning (EF) nr.</w:t>
      </w:r>
      <w:r w:rsidR="0090554C" w:rsidRPr="00D2388C">
        <w:t> </w:t>
      </w:r>
      <w:r w:rsidRPr="00D2388C">
        <w:t>1829/2003</w:t>
      </w:r>
      <w:bookmarkEnd w:id="4"/>
      <w:r w:rsidRPr="00D2388C">
        <w:t xml:space="preserve"> </w:t>
      </w:r>
      <w:bookmarkStart w:id="5" w:name="References"/>
      <w:r w:rsidRPr="00D2388C">
        <w:t>(2025/2807(RSP))</w:t>
      </w:r>
      <w:bookmarkEnd w:id="5"/>
    </w:p>
    <w:p w14:paraId="2CC696C1" w14:textId="77777777" w:rsidR="00E55E85" w:rsidRPr="00F77DB8" w:rsidRDefault="00E55E85" w:rsidP="00E55E85">
      <w:pPr>
        <w:pStyle w:val="EPComma"/>
        <w:jc w:val="both"/>
      </w:pPr>
      <w:bookmarkStart w:id="6" w:name="TextBodyBegin"/>
      <w:bookmarkEnd w:id="6"/>
      <w:r w:rsidRPr="00F77DB8">
        <w:rPr>
          <w:i/>
          <w:iCs/>
        </w:rPr>
        <w:t>Europa-Parlamentet,</w:t>
      </w:r>
    </w:p>
    <w:p w14:paraId="59923843" w14:textId="5BFEC2B7" w:rsidR="00E55E85" w:rsidRPr="00F77DB8" w:rsidRDefault="00E55E85" w:rsidP="00E55E85">
      <w:pPr>
        <w:pStyle w:val="NormalHanging12a"/>
        <w:widowControl/>
        <w:rPr>
          <w:szCs w:val="24"/>
        </w:rPr>
      </w:pPr>
      <w:r w:rsidRPr="00F77DB8">
        <w:t>–</w:t>
      </w:r>
      <w:r w:rsidRPr="00F77DB8">
        <w:tab/>
        <w:t xml:space="preserve">der henviser til Kommissionens gennemførelsesafgørelse </w:t>
      </w:r>
      <w:r w:rsidR="008B2380" w:rsidRPr="00F77DB8">
        <w:t xml:space="preserve">(EU) 2025/1898 af 22. september 2025 </w:t>
      </w:r>
      <w:r w:rsidRPr="00F77DB8">
        <w:t>om tilladelse til markedsføring af produkter, der indeholder, består af eller er fremstillet af genetisk modificeret DP51291-majs, i henhold til Europa-Parlamentets og Rådets forordning (EF) nr.</w:t>
      </w:r>
      <w:r w:rsidR="0090554C" w:rsidRPr="00F77DB8">
        <w:t> </w:t>
      </w:r>
      <w:r w:rsidRPr="00F77DB8">
        <w:t>1829/2003</w:t>
      </w:r>
      <w:r w:rsidR="008B2380" w:rsidRPr="00F77DB8">
        <w:rPr>
          <w:rStyle w:val="FootnoteReference"/>
        </w:rPr>
        <w:footnoteReference w:id="1"/>
      </w:r>
      <w:r w:rsidRPr="00F77DB8">
        <w:t>,</w:t>
      </w:r>
    </w:p>
    <w:p w14:paraId="59854D7C" w14:textId="77777777" w:rsidR="00E55E85" w:rsidRPr="00F77DB8" w:rsidRDefault="00E55E85" w:rsidP="00E55E85">
      <w:pPr>
        <w:pStyle w:val="NormalHanging12a"/>
        <w:widowControl/>
        <w:rPr>
          <w:szCs w:val="24"/>
        </w:rPr>
      </w:pPr>
      <w:r w:rsidRPr="00F77DB8">
        <w:t>–</w:t>
      </w:r>
      <w:r w:rsidRPr="00F77DB8">
        <w:tab/>
        <w:t>der henviser til Europa-Parlamentets og Rådets forordning (EF) nr. 1829/2003 af 22. september 2003 om genetisk modificerede fødevarer og foderstoffer</w:t>
      </w:r>
      <w:r w:rsidRPr="00F77DB8">
        <w:rPr>
          <w:rStyle w:val="FootnoteReference"/>
          <w:szCs w:val="24"/>
        </w:rPr>
        <w:footnoteReference w:id="2"/>
      </w:r>
      <w:r w:rsidRPr="00F77DB8">
        <w:t>, særlig artikel 7, stk. 3, og artikel 19, stk. 3,</w:t>
      </w:r>
    </w:p>
    <w:p w14:paraId="69FA8482" w14:textId="77777777" w:rsidR="00E55E85" w:rsidRPr="00F77DB8" w:rsidRDefault="00E55E85" w:rsidP="00E55E85">
      <w:pPr>
        <w:pStyle w:val="NormalHanging12a"/>
        <w:widowControl/>
        <w:rPr>
          <w:szCs w:val="24"/>
        </w:rPr>
      </w:pPr>
      <w:r w:rsidRPr="00F77DB8">
        <w:t>–</w:t>
      </w:r>
      <w:r w:rsidRPr="00F77DB8">
        <w:tab/>
        <w:t xml:space="preserve">der henviser til afstemningen </w:t>
      </w:r>
      <w:r w:rsidRPr="00F77DB8">
        <w:rPr>
          <w:shd w:val="clear" w:color="auto" w:fill="FFFFFF"/>
        </w:rPr>
        <w:t>i Den Stående Komité for Planter, Dyr, Fødevarer og Foder, jf. artikel 35 i forordning (EF) nr. 1829/2003, den 13. juni 2025, som ikke mundede ud i en udtalelse, og til afstemningen i appeludvalget den 15. juli 2025, som heller ikke mundede ud i en udtalelse</w:t>
      </w:r>
      <w:r w:rsidRPr="00F77DB8">
        <w:t>,</w:t>
      </w:r>
    </w:p>
    <w:p w14:paraId="4ABA4FBC" w14:textId="1DCA7405" w:rsidR="00E55E85" w:rsidRPr="00F77DB8" w:rsidRDefault="00E55E85" w:rsidP="00E55E85">
      <w:pPr>
        <w:pStyle w:val="NormalHanging12a"/>
        <w:widowControl/>
        <w:rPr>
          <w:szCs w:val="24"/>
        </w:rPr>
      </w:pPr>
      <w:r w:rsidRPr="00F77DB8">
        <w:t>–</w:t>
      </w:r>
      <w:r w:rsidRPr="00F77DB8">
        <w:tab/>
        <w:t>der henviser til artikel 11 i Europa-Parlamentets og Rådets forordning (EU) nr.</w:t>
      </w:r>
      <w:r w:rsidR="0090554C" w:rsidRPr="00F77DB8">
        <w:t> </w:t>
      </w:r>
      <w:r w:rsidRPr="00F77DB8">
        <w:t>182/2011 af 16. februar 2011 om de generelle regler og principper for, hvordan medlemsstaterne skal kontrollere Kommissionens udøvelse af gennemførelsesbeføjelser</w:t>
      </w:r>
      <w:r w:rsidRPr="00F77DB8">
        <w:rPr>
          <w:rStyle w:val="FootnoteReference"/>
          <w:szCs w:val="24"/>
        </w:rPr>
        <w:footnoteReference w:id="3"/>
      </w:r>
      <w:r w:rsidRPr="00F77DB8">
        <w:t>,</w:t>
      </w:r>
    </w:p>
    <w:p w14:paraId="6891B756" w14:textId="77777777" w:rsidR="00E55E85" w:rsidRPr="00F77DB8" w:rsidRDefault="00E55E85" w:rsidP="00E55E85">
      <w:pPr>
        <w:pStyle w:val="NormalHanging12a"/>
        <w:widowControl/>
        <w:rPr>
          <w:szCs w:val="24"/>
        </w:rPr>
      </w:pPr>
      <w:r w:rsidRPr="00F77DB8">
        <w:lastRenderedPageBreak/>
        <w:t>–</w:t>
      </w:r>
      <w:r w:rsidRPr="00F77DB8">
        <w:tab/>
        <w:t>der henviser til den udtalelse, der blev vedtaget af Den Europæiske Fødevaresikkerhedsautoritet (EFSA) den 2. oktober 2024 og offentliggjort den 11. november 2024</w:t>
      </w:r>
      <w:r w:rsidRPr="00F77DB8">
        <w:rPr>
          <w:rStyle w:val="FootnoteReference"/>
          <w:szCs w:val="24"/>
        </w:rPr>
        <w:footnoteReference w:id="4"/>
      </w:r>
      <w:r w:rsidRPr="00F77DB8">
        <w:t>,</w:t>
      </w:r>
    </w:p>
    <w:p w14:paraId="3933487E" w14:textId="77777777" w:rsidR="00E55E85" w:rsidRPr="00F77DB8" w:rsidRDefault="00E55E85" w:rsidP="00E55E85">
      <w:pPr>
        <w:pStyle w:val="NormalHanging12a"/>
        <w:widowControl/>
        <w:rPr>
          <w:szCs w:val="24"/>
          <w:shd w:val="clear" w:color="auto" w:fill="FFFFFF"/>
        </w:rPr>
      </w:pPr>
      <w:r w:rsidRPr="00F77DB8">
        <w:t>–</w:t>
      </w:r>
      <w:r w:rsidRPr="00F77DB8">
        <w:tab/>
      </w:r>
      <w:r w:rsidRPr="00F77DB8">
        <w:rPr>
          <w:shd w:val="clear" w:color="auto" w:fill="FFFFFF"/>
        </w:rPr>
        <w:t>der henviser til sine tidligere beslutninger, hvori det gør indsigelse mod godkendelsen af genetisk modificerede organismer (GMO'er)</w:t>
      </w:r>
      <w:r w:rsidRPr="00F77DB8">
        <w:rPr>
          <w:rStyle w:val="FootnoteReference"/>
          <w:szCs w:val="24"/>
          <w:shd w:val="clear" w:color="auto" w:fill="FFFFFF"/>
        </w:rPr>
        <w:footnoteReference w:id="5"/>
      </w:r>
      <w:r w:rsidRPr="00F77DB8">
        <w:rPr>
          <w:shd w:val="clear" w:color="auto" w:fill="FFFFFF"/>
        </w:rPr>
        <w:t>,</w:t>
      </w:r>
    </w:p>
    <w:p w14:paraId="7F70D2FA" w14:textId="77777777" w:rsidR="00E55E85" w:rsidRPr="00F77DB8" w:rsidRDefault="00E55E85" w:rsidP="00E55E85">
      <w:pPr>
        <w:pStyle w:val="NormalHanging12a"/>
        <w:widowControl/>
        <w:rPr>
          <w:szCs w:val="24"/>
        </w:rPr>
      </w:pPr>
      <w:r w:rsidRPr="00F77DB8">
        <w:lastRenderedPageBreak/>
        <w:t>–</w:t>
      </w:r>
      <w:r w:rsidRPr="00F77DB8">
        <w:tab/>
        <w:t>der henviser til forretningsordenens artikel 115, stk. 2 og 3,</w:t>
      </w:r>
    </w:p>
    <w:p w14:paraId="265AAC6B" w14:textId="77777777" w:rsidR="00E55E85" w:rsidRPr="00F77DB8" w:rsidRDefault="00E55E85" w:rsidP="00E55E85">
      <w:pPr>
        <w:pStyle w:val="NormalHanging12a"/>
        <w:widowControl/>
        <w:rPr>
          <w:szCs w:val="24"/>
        </w:rPr>
      </w:pPr>
      <w:r w:rsidRPr="00F77DB8">
        <w:t>–</w:t>
      </w:r>
      <w:r w:rsidRPr="00F77DB8">
        <w:tab/>
        <w:t>der henviser til forslag til beslutning fra Udvalget om Miljø, Klima og Fødevaresikkerhed,</w:t>
      </w:r>
    </w:p>
    <w:p w14:paraId="7F95586A" w14:textId="77777777" w:rsidR="00E55E85" w:rsidRPr="00F77DB8" w:rsidRDefault="00E55E85" w:rsidP="00E55E85">
      <w:pPr>
        <w:pStyle w:val="NormalHanging12a"/>
        <w:widowControl/>
        <w:rPr>
          <w:szCs w:val="24"/>
        </w:rPr>
      </w:pPr>
      <w:r w:rsidRPr="00F77DB8">
        <w:t>A.</w:t>
      </w:r>
      <w:r w:rsidRPr="00F77DB8">
        <w:tab/>
        <w:t xml:space="preserve">der henviser til, at </w:t>
      </w:r>
      <w:proofErr w:type="spellStart"/>
      <w:r w:rsidRPr="00F77DB8">
        <w:t>Corteva</w:t>
      </w:r>
      <w:proofErr w:type="spellEnd"/>
      <w:r w:rsidRPr="00F77DB8">
        <w:t xml:space="preserve"> Agriscience </w:t>
      </w:r>
      <w:proofErr w:type="spellStart"/>
      <w:r w:rsidRPr="00F77DB8">
        <w:t>Belgium</w:t>
      </w:r>
      <w:proofErr w:type="spellEnd"/>
      <w:r w:rsidRPr="00F77DB8">
        <w:t xml:space="preserve"> B.V., med hjemsted i Belgien, på vegne af </w:t>
      </w:r>
      <w:proofErr w:type="spellStart"/>
      <w:r w:rsidRPr="00F77DB8">
        <w:t>Corteva</w:t>
      </w:r>
      <w:proofErr w:type="spellEnd"/>
      <w:r w:rsidRPr="00F77DB8">
        <w:t xml:space="preserve"> Agriscience LLC, med hjemsted i USA, den 27. januar 2023 indgav en ansøgning til Nederlandenes nationale kompetente myndighed om tilladelse til markedsføring af fødevarer, fødevareingredienser og foderstoffer, der indeholder, består af eller er fremstillet af genetisk modificeret DP51291-majs ("GM-majs");</w:t>
      </w:r>
    </w:p>
    <w:p w14:paraId="1F6DC8A8" w14:textId="77777777" w:rsidR="00E55E85" w:rsidRPr="00F77DB8" w:rsidRDefault="00E55E85" w:rsidP="00E55E85">
      <w:pPr>
        <w:pStyle w:val="NormalHanging12a"/>
        <w:widowControl/>
        <w:rPr>
          <w:szCs w:val="24"/>
        </w:rPr>
      </w:pPr>
      <w:r w:rsidRPr="00F77DB8">
        <w:t>B.</w:t>
      </w:r>
      <w:r w:rsidRPr="00F77DB8">
        <w:tab/>
        <w:t xml:space="preserve">der henviser til, at GM-majsen producerer toksinet IPD072Aa, som modvirker </w:t>
      </w:r>
      <w:proofErr w:type="spellStart"/>
      <w:r w:rsidRPr="00F77DB8">
        <w:t>majsrodbiller</w:t>
      </w:r>
      <w:proofErr w:type="spellEnd"/>
      <w:r w:rsidRPr="00F77DB8">
        <w:t xml:space="preserve">, proteinet </w:t>
      </w:r>
      <w:proofErr w:type="spellStart"/>
      <w:r w:rsidRPr="00F77DB8">
        <w:t>phosphinothricin</w:t>
      </w:r>
      <w:proofErr w:type="spellEnd"/>
      <w:r w:rsidRPr="00F77DB8">
        <w:t xml:space="preserve">-acetyl-transferase (PAT), som giver tolerance over for herbicider, der indeholder </w:t>
      </w:r>
      <w:proofErr w:type="spellStart"/>
      <w:r w:rsidRPr="00F77DB8">
        <w:t>glufosinat</w:t>
      </w:r>
      <w:proofErr w:type="spellEnd"/>
      <w:r w:rsidRPr="00F77DB8">
        <w:t>, og PMI-proteinet som en selektiv markør;</w:t>
      </w:r>
    </w:p>
    <w:p w14:paraId="51B7891B" w14:textId="77777777" w:rsidR="00E55E85" w:rsidRPr="00F77DB8" w:rsidRDefault="00E55E85" w:rsidP="00E55E85">
      <w:pPr>
        <w:pStyle w:val="NormalHanging12a"/>
        <w:widowControl/>
        <w:rPr>
          <w:szCs w:val="24"/>
        </w:rPr>
      </w:pPr>
      <w:r w:rsidRPr="00F77DB8">
        <w:t>C.</w:t>
      </w:r>
      <w:r w:rsidRPr="00F77DB8">
        <w:tab/>
        <w:t xml:space="preserve">der henviser til, at </w:t>
      </w:r>
      <w:proofErr w:type="spellStart"/>
      <w:r w:rsidRPr="00F77DB8">
        <w:t>glufosinat</w:t>
      </w:r>
      <w:proofErr w:type="spellEnd"/>
      <w:r w:rsidRPr="00F77DB8">
        <w:t>, der betragtes som et komplementært herbicid, er klassificeret som et reproduktionstoksisk stof i kategori 1B og derfor opfylder "afskæringskriterierne" i Europa-Parlamentets og Rådets forordning (EF) nr. 1107/2009</w:t>
      </w:r>
      <w:r w:rsidRPr="00F77DB8">
        <w:rPr>
          <w:rStyle w:val="FootnoteReference"/>
          <w:szCs w:val="24"/>
        </w:rPr>
        <w:footnoteReference w:id="6"/>
      </w:r>
      <w:r w:rsidRPr="00F77DB8">
        <w:t xml:space="preserve">; der henviser til, at godkendelsen af </w:t>
      </w:r>
      <w:proofErr w:type="spellStart"/>
      <w:r w:rsidRPr="00F77DB8">
        <w:t>glufosinat</w:t>
      </w:r>
      <w:proofErr w:type="spellEnd"/>
      <w:r w:rsidRPr="00F77DB8">
        <w:t xml:space="preserve"> til anvendelse i Unionen udløb den 31. juli 2018;</w:t>
      </w:r>
    </w:p>
    <w:p w14:paraId="0913B3DE" w14:textId="77777777" w:rsidR="00E55E85" w:rsidRPr="00F77DB8" w:rsidRDefault="00E55E85" w:rsidP="00E55E85">
      <w:pPr>
        <w:pStyle w:val="NormalHanging12a"/>
        <w:widowControl/>
        <w:rPr>
          <w:szCs w:val="24"/>
        </w:rPr>
      </w:pPr>
      <w:r w:rsidRPr="00F77DB8">
        <w:lastRenderedPageBreak/>
        <w:t>D.</w:t>
      </w:r>
      <w:r w:rsidRPr="00F77DB8">
        <w:tab/>
        <w:t xml:space="preserve">der henviser til, at IPD072Aa er en insektgift, der produceres af bakterien </w:t>
      </w:r>
      <w:proofErr w:type="spellStart"/>
      <w:r w:rsidRPr="00F77DB8">
        <w:t>pseudomonas</w:t>
      </w:r>
      <w:proofErr w:type="spellEnd"/>
      <w:r w:rsidRPr="00F77DB8">
        <w:t xml:space="preserve"> </w:t>
      </w:r>
      <w:proofErr w:type="spellStart"/>
      <w:r w:rsidRPr="00F77DB8">
        <w:t>chlororaphis</w:t>
      </w:r>
      <w:proofErr w:type="spellEnd"/>
      <w:r w:rsidRPr="00F77DB8">
        <w:t xml:space="preserve">, og som er fremstillet til at modvirke </w:t>
      </w:r>
      <w:proofErr w:type="spellStart"/>
      <w:r w:rsidRPr="00F77DB8">
        <w:t>majsrodbiller</w:t>
      </w:r>
      <w:proofErr w:type="spellEnd"/>
      <w:r w:rsidRPr="00F77DB8">
        <w:t xml:space="preserve">; </w:t>
      </w:r>
    </w:p>
    <w:p w14:paraId="53E80412" w14:textId="77777777" w:rsidR="00E55E85" w:rsidRPr="00F77DB8" w:rsidRDefault="00E55E85" w:rsidP="00E55E85">
      <w:pPr>
        <w:pStyle w:val="NormalHanging12a"/>
        <w:widowControl/>
        <w:rPr>
          <w:b/>
          <w:i/>
          <w:iCs/>
          <w:szCs w:val="24"/>
        </w:rPr>
      </w:pPr>
      <w:r w:rsidRPr="00F77DB8">
        <w:rPr>
          <w:b/>
          <w:i/>
        </w:rPr>
        <w:t>Kompleks genteknologi</w:t>
      </w:r>
    </w:p>
    <w:p w14:paraId="06F0F7C4" w14:textId="77777777" w:rsidR="00E55E85" w:rsidRPr="00F77DB8" w:rsidRDefault="00E55E85" w:rsidP="00E55E85">
      <w:pPr>
        <w:pStyle w:val="NormalHanging12a"/>
        <w:widowControl/>
        <w:rPr>
          <w:szCs w:val="24"/>
        </w:rPr>
      </w:pPr>
      <w:r w:rsidRPr="00F77DB8">
        <w:t>E.</w:t>
      </w:r>
      <w:r w:rsidRPr="00F77DB8">
        <w:tab/>
        <w:t xml:space="preserve">der henviser til, at DP51291-majs blev udviklet gennem en kompleks genteknologisk proces i flere trin, hvorunder der blev skabt en </w:t>
      </w:r>
      <w:proofErr w:type="spellStart"/>
      <w:r w:rsidRPr="00F77DB8">
        <w:t>genomisk</w:t>
      </w:r>
      <w:proofErr w:type="spellEnd"/>
      <w:r w:rsidRPr="00F77DB8">
        <w:t xml:space="preserve"> "landingsplads" efterfulgt af beskydning med mikroprojektiler ved hjælp af fem plasmider og efterfølgende indsættelse af genkassetter i landingspladsen via </w:t>
      </w:r>
      <w:proofErr w:type="spellStart"/>
      <w:r w:rsidRPr="00F77DB8">
        <w:t>agrobacterium</w:t>
      </w:r>
      <w:proofErr w:type="spellEnd"/>
      <w:r w:rsidRPr="00F77DB8">
        <w:t xml:space="preserve"> </w:t>
      </w:r>
      <w:proofErr w:type="spellStart"/>
      <w:r w:rsidRPr="00F77DB8">
        <w:t>tumefaciens</w:t>
      </w:r>
      <w:proofErr w:type="spellEnd"/>
      <w:r w:rsidRPr="00F77DB8">
        <w:t>;</w:t>
      </w:r>
    </w:p>
    <w:p w14:paraId="655DC9C8" w14:textId="77777777" w:rsidR="00E55E85" w:rsidRPr="00F77DB8" w:rsidRDefault="00E55E85" w:rsidP="00E55E85">
      <w:pPr>
        <w:pStyle w:val="NormalHanging12a"/>
        <w:widowControl/>
        <w:rPr>
          <w:szCs w:val="24"/>
        </w:rPr>
      </w:pPr>
      <w:r w:rsidRPr="00F77DB8">
        <w:t>F.</w:t>
      </w:r>
      <w:r w:rsidRPr="00F77DB8">
        <w:tab/>
        <w:t xml:space="preserve">der henviser til, at denne genmodifikationsproces ifølge en bioinformatikanalyse resulterede i sletning af 113 basispar af </w:t>
      </w:r>
      <w:proofErr w:type="spellStart"/>
      <w:r w:rsidRPr="00F77DB8">
        <w:t>genomisk</w:t>
      </w:r>
      <w:proofErr w:type="spellEnd"/>
      <w:r w:rsidRPr="00F77DB8">
        <w:t xml:space="preserve"> DNA fra majs og i dannelse af en række nye åbne aflæsningsrammer, hvilket tyder på potentielle </w:t>
      </w:r>
      <w:proofErr w:type="spellStart"/>
      <w:r w:rsidRPr="00F77DB8">
        <w:t>genomforstyrrelser</w:t>
      </w:r>
      <w:proofErr w:type="spellEnd"/>
      <w:r w:rsidRPr="00F77DB8">
        <w:t xml:space="preserve"> som følge af transformationsproceduren; der henviser til, at fem af disse åbne læserammer udviste sekvensidentitet på over 35 % med kendte allergener, hvilket overstiger den tærskel, der almindeligvis anvendes i </w:t>
      </w:r>
      <w:proofErr w:type="spellStart"/>
      <w:r w:rsidRPr="00F77DB8">
        <w:t>allergenicitetsvurderinger</w:t>
      </w:r>
      <w:proofErr w:type="spellEnd"/>
      <w:r w:rsidRPr="00F77DB8">
        <w:rPr>
          <w:rStyle w:val="FootnoteReference"/>
          <w:szCs w:val="24"/>
        </w:rPr>
        <w:footnoteReference w:id="7"/>
      </w:r>
      <w:r w:rsidRPr="00F77DB8">
        <w:t xml:space="preserve">; </w:t>
      </w:r>
    </w:p>
    <w:p w14:paraId="5A12E49B" w14:textId="77777777" w:rsidR="00E55E85" w:rsidRPr="00F77DB8" w:rsidRDefault="00E55E85" w:rsidP="00E55E85">
      <w:pPr>
        <w:pStyle w:val="NormalHanging12a"/>
        <w:widowControl/>
        <w:rPr>
          <w:b/>
          <w:i/>
          <w:iCs/>
          <w:szCs w:val="24"/>
        </w:rPr>
      </w:pPr>
      <w:r w:rsidRPr="00F77DB8">
        <w:rPr>
          <w:b/>
          <w:i/>
        </w:rPr>
        <w:t>Mangel på data om landbrugspraksis og miljøfaktorer</w:t>
      </w:r>
    </w:p>
    <w:p w14:paraId="21D8FE2E" w14:textId="77777777" w:rsidR="00E55E85" w:rsidRPr="00F77DB8" w:rsidRDefault="00E55E85" w:rsidP="00E55E85">
      <w:pPr>
        <w:pStyle w:val="NormalHanging12a"/>
        <w:widowControl/>
        <w:rPr>
          <w:szCs w:val="24"/>
        </w:rPr>
      </w:pPr>
      <w:r w:rsidRPr="00F77DB8">
        <w:t>G.</w:t>
      </w:r>
      <w:r w:rsidRPr="00F77DB8">
        <w:tab/>
        <w:t>der henviser til, at Kommissionens gennemførelsesforordning (EU) nr. 503/2013</w:t>
      </w:r>
      <w:r w:rsidRPr="00F77DB8">
        <w:rPr>
          <w:rStyle w:val="FootnoteReference"/>
          <w:szCs w:val="24"/>
        </w:rPr>
        <w:footnoteReference w:id="8"/>
      </w:r>
      <w:r w:rsidRPr="00F77DB8">
        <w:t xml:space="preserve"> kræver en vurdering af, om den forventede landbrugspraksis påvirker ekspressionen af de undersøgte </w:t>
      </w:r>
      <w:proofErr w:type="spellStart"/>
      <w:r w:rsidRPr="00F77DB8">
        <w:t>endpoints</w:t>
      </w:r>
      <w:proofErr w:type="spellEnd"/>
      <w:r w:rsidRPr="00F77DB8">
        <w:t>; der henviser til, at dette ifølge nævnte gennemførelsesforordning især er relevant for herbicidtolerante planter;</w:t>
      </w:r>
    </w:p>
    <w:p w14:paraId="1C9BE575" w14:textId="77777777" w:rsidR="00E55E85" w:rsidRPr="00F77DB8" w:rsidRDefault="00E55E85" w:rsidP="00E55E85">
      <w:pPr>
        <w:pStyle w:val="NormalHanging12a"/>
        <w:widowControl/>
        <w:rPr>
          <w:szCs w:val="24"/>
        </w:rPr>
      </w:pPr>
      <w:r w:rsidRPr="00F77DB8">
        <w:t>H.</w:t>
      </w:r>
      <w:r w:rsidRPr="00F77DB8">
        <w:tab/>
        <w:t xml:space="preserve">der henviser til, at miljømæssige stressfaktorer såsom tørke eller ekstreme temperaturer kan fremkalde uventede </w:t>
      </w:r>
      <w:proofErr w:type="spellStart"/>
      <w:r w:rsidRPr="00F77DB8">
        <w:t>genekspressionsmønstre</w:t>
      </w:r>
      <w:proofErr w:type="spellEnd"/>
      <w:r w:rsidRPr="00F77DB8">
        <w:t xml:space="preserve"> i nyligt indsatte DNA-sekvenser</w:t>
      </w:r>
      <w:r w:rsidRPr="00F77DB8">
        <w:rPr>
          <w:rStyle w:val="FootnoteReference"/>
          <w:szCs w:val="24"/>
        </w:rPr>
        <w:footnoteReference w:id="9"/>
      </w:r>
      <w:r w:rsidRPr="00F77DB8">
        <w:t xml:space="preserve">; </w:t>
      </w:r>
    </w:p>
    <w:p w14:paraId="23BE7C91" w14:textId="77777777" w:rsidR="00E55E85" w:rsidRPr="00F77DB8" w:rsidRDefault="00E55E85" w:rsidP="00E55E85">
      <w:pPr>
        <w:pStyle w:val="NormalHanging12a"/>
        <w:widowControl/>
        <w:rPr>
          <w:szCs w:val="24"/>
        </w:rPr>
      </w:pPr>
      <w:r w:rsidRPr="00F77DB8">
        <w:t>I.</w:t>
      </w:r>
      <w:r w:rsidRPr="00F77DB8">
        <w:tab/>
        <w:t>der henviser til, at de markforsøg, der blev anvendt til at støtte sammensætnings- og fænotypeanalysen af GM-majsen, blev gennemført i en enkelt vækstsæson (2021) i USA og Canada under vejrforhold, der ikke i tilstrækkelig grad afspejler mangfoldigheden af regioner, hvor der dyrkes majs, navnlig i lande som Brasilien;</w:t>
      </w:r>
    </w:p>
    <w:p w14:paraId="5DBD8FF4" w14:textId="77777777" w:rsidR="00E55E85" w:rsidRPr="00F77DB8" w:rsidRDefault="00E55E85" w:rsidP="00E55E85">
      <w:pPr>
        <w:pStyle w:val="NormalHanging12a"/>
        <w:widowControl/>
        <w:rPr>
          <w:szCs w:val="24"/>
        </w:rPr>
      </w:pPr>
      <w:r w:rsidRPr="00F77DB8">
        <w:t>J.</w:t>
      </w:r>
      <w:r w:rsidRPr="00F77DB8">
        <w:tab/>
        <w:t>der henviser til, at der blev rapporteret om ekstreme vejrforhold på nogle forsøgssteder; der henviser til, at der ikke blev foretaget specifikke undersøgelser for at vurdere fremtidige forhold, der påvirkes af de aktuelle klimaændringer;</w:t>
      </w:r>
    </w:p>
    <w:p w14:paraId="4C487635" w14:textId="77777777" w:rsidR="00E55E85" w:rsidRPr="00F77DB8" w:rsidRDefault="00E55E85" w:rsidP="00E55E85">
      <w:pPr>
        <w:pStyle w:val="NormalHanging12a"/>
        <w:widowControl/>
        <w:rPr>
          <w:szCs w:val="24"/>
        </w:rPr>
      </w:pPr>
      <w:r w:rsidRPr="00F77DB8">
        <w:t>K.</w:t>
      </w:r>
      <w:r w:rsidRPr="00F77DB8">
        <w:tab/>
        <w:t xml:space="preserve">der henviser til, at </w:t>
      </w:r>
      <w:proofErr w:type="spellStart"/>
      <w:r w:rsidRPr="00F77DB8">
        <w:t>glufosinat</w:t>
      </w:r>
      <w:proofErr w:type="spellEnd"/>
      <w:r w:rsidRPr="00F77DB8">
        <w:t xml:space="preserve"> kun blev anvendt én gang under feltforsøgene i overensstemmelse med </w:t>
      </w:r>
      <w:proofErr w:type="spellStart"/>
      <w:r w:rsidRPr="00F77DB8">
        <w:t>EFSA's</w:t>
      </w:r>
      <w:proofErr w:type="spellEnd"/>
      <w:r w:rsidRPr="00F77DB8">
        <w:t xml:space="preserve"> doseringsanbefalinger; der henviser til, at omfanget og hyppigheden af den praktiske anvendelse af herbicider ude på landbrugene imidlertid ofte varierer betydeligt fra region til region og kan indebære større eller gentagen </w:t>
      </w:r>
      <w:r w:rsidRPr="00F77DB8">
        <w:lastRenderedPageBreak/>
        <w:t>anvendelse, hvilket betyder, at feltforsøgsdataene muligvis ikke i tilstrækkelig grad afspejler alle aspekter af de miljø- og landbrugsforhold, hvorunder GM-majsen sandsynligvis vil blive dyrket eller importeret;</w:t>
      </w:r>
    </w:p>
    <w:p w14:paraId="12EB9EAE" w14:textId="77777777" w:rsidR="00E55E85" w:rsidRPr="00F77DB8" w:rsidRDefault="00E55E85" w:rsidP="00E55E85">
      <w:pPr>
        <w:pStyle w:val="NormalHanging12a"/>
        <w:widowControl/>
        <w:rPr>
          <w:b/>
          <w:i/>
          <w:iCs/>
          <w:szCs w:val="24"/>
        </w:rPr>
      </w:pPr>
      <w:r w:rsidRPr="00F77DB8">
        <w:rPr>
          <w:b/>
          <w:i/>
        </w:rPr>
        <w:t xml:space="preserve">Manglende vurdering af </w:t>
      </w:r>
      <w:proofErr w:type="spellStart"/>
      <w:r w:rsidRPr="00F77DB8">
        <w:rPr>
          <w:b/>
          <w:i/>
        </w:rPr>
        <w:t>glufosinat</w:t>
      </w:r>
      <w:proofErr w:type="spellEnd"/>
      <w:r w:rsidRPr="00F77DB8">
        <w:rPr>
          <w:b/>
          <w:i/>
        </w:rPr>
        <w:t xml:space="preserve"> </w:t>
      </w:r>
    </w:p>
    <w:p w14:paraId="7433415D" w14:textId="77777777" w:rsidR="00E55E85" w:rsidRPr="00F77DB8" w:rsidRDefault="00E55E85" w:rsidP="00E55E85">
      <w:pPr>
        <w:pStyle w:val="NormalHanging12a"/>
        <w:widowControl/>
        <w:rPr>
          <w:szCs w:val="24"/>
        </w:rPr>
      </w:pPr>
      <w:r w:rsidRPr="00F77DB8">
        <w:t>L.</w:t>
      </w:r>
      <w:r w:rsidRPr="00F77DB8">
        <w:tab/>
        <w:t xml:space="preserve">der henviser til, at </w:t>
      </w:r>
      <w:proofErr w:type="spellStart"/>
      <w:r w:rsidRPr="00F77DB8">
        <w:t>glufosinat</w:t>
      </w:r>
      <w:proofErr w:type="spellEnd"/>
      <w:r w:rsidRPr="00F77DB8">
        <w:t xml:space="preserve"> er forbundet med betydelige risici for biodiversiteten, toksiciteten og økosystemernes sundhed på lang sigt;</w:t>
      </w:r>
    </w:p>
    <w:p w14:paraId="6D5F89EA" w14:textId="77777777" w:rsidR="00E55E85" w:rsidRPr="00F77DB8" w:rsidRDefault="00E55E85" w:rsidP="00E55E85">
      <w:pPr>
        <w:pStyle w:val="NormalHanging12a"/>
        <w:widowControl/>
        <w:rPr>
          <w:szCs w:val="24"/>
        </w:rPr>
      </w:pPr>
      <w:r w:rsidRPr="00F77DB8">
        <w:t>M.</w:t>
      </w:r>
      <w:r w:rsidRPr="00F77DB8">
        <w:tab/>
        <w:t>der henviser til, at langt de fleste GM-afgrøder er blevet genetisk modificeret, således at de er tolerante over for ét eller flere "komplementære" herbicider, der kan anvendes under hele dyrkningsforløbet for GM-afgrøden, uden at afgrøden dør, sådan som det ville være tilfældet med en ikkeherbicidtolerant afgrøde; der henviser til, at en række undersøgelser viser, at herbicidtolerante GM-afgrøder fører til en øget anvendelse af komplementære herbicider, hvilket i stort omfang skyldes fremkomsten af herbicidtolerant ukrudt</w:t>
      </w:r>
      <w:r w:rsidRPr="00F77DB8">
        <w:rPr>
          <w:rStyle w:val="FootnoteReference"/>
          <w:szCs w:val="24"/>
        </w:rPr>
        <w:footnoteReference w:id="10"/>
      </w:r>
      <w:r w:rsidRPr="00F77DB8">
        <w:t>;</w:t>
      </w:r>
    </w:p>
    <w:p w14:paraId="053ABD0A" w14:textId="77777777" w:rsidR="00E55E85" w:rsidRPr="00F77DB8" w:rsidRDefault="00E55E85" w:rsidP="00E55E85">
      <w:pPr>
        <w:pStyle w:val="NormalHanging12a"/>
        <w:widowControl/>
        <w:rPr>
          <w:szCs w:val="24"/>
        </w:rPr>
      </w:pPr>
      <w:r w:rsidRPr="00F77DB8">
        <w:t>N.</w:t>
      </w:r>
      <w:r w:rsidRPr="00F77DB8">
        <w:tab/>
        <w:t>der henviser til, at herbicidtolerante GM-afgrøder fastlåser landbrugerne i et ukrudtsforvaltningssystem, der i vid udstrækning eller helt er afhængigt af herbicider, fordi der opkræves et pristillæg for GM-frø, som kun kan retfærdiggøres, hvis de landbrugere, der køber sådanne frø, også sprøjter med de komplementære herbicider; der henviser til, at øget afhængighed af komplementære herbicider på bedrifter, der dyrker GM-afgrøder, fremskynder fremkomsten og spredningen af ukrudt, der er resistent mod disse herbicider, og dermed udløser et behov for endnu flere herbicider, hvilket skaber en ond cirkel, der er kendt som "herbicidtrædemøllen";</w:t>
      </w:r>
    </w:p>
    <w:p w14:paraId="3972D2D1" w14:textId="77777777" w:rsidR="00E55E85" w:rsidRPr="00F77DB8" w:rsidRDefault="00E55E85" w:rsidP="00E55E85">
      <w:pPr>
        <w:pStyle w:val="NormalHanging12a"/>
        <w:widowControl/>
        <w:rPr>
          <w:szCs w:val="24"/>
        </w:rPr>
      </w:pPr>
      <w:r w:rsidRPr="00F77DB8">
        <w:t>O.</w:t>
      </w:r>
      <w:r w:rsidRPr="00F77DB8">
        <w:tab/>
        <w:t>der henviser til, at de negative virkninger af overdreven afhængighed af herbicider vil blive værre med hensyn til jordbundens sundhed, vandkvaliteten og biodiversiteten over og under jorden og føre til øget eksponering af mennesker og dyr, potentielt også via øgede herbicidrester i fødevarer og foder;</w:t>
      </w:r>
    </w:p>
    <w:p w14:paraId="050E7FE2" w14:textId="77777777" w:rsidR="00E55E85" w:rsidRPr="00F77DB8" w:rsidRDefault="00E55E85" w:rsidP="00E55E85">
      <w:pPr>
        <w:pStyle w:val="NormalHanging12a"/>
        <w:widowControl/>
        <w:rPr>
          <w:szCs w:val="24"/>
        </w:rPr>
      </w:pPr>
      <w:r w:rsidRPr="00F77DB8">
        <w:t>P.</w:t>
      </w:r>
      <w:r w:rsidRPr="00F77DB8">
        <w:tab/>
        <w:t xml:space="preserve">der henviser til, at en vurdering af herbicidrester og metabolitter i GM-planter anses for at ligge uden for ansvarsområdet for </w:t>
      </w:r>
      <w:proofErr w:type="spellStart"/>
      <w:r w:rsidRPr="00F77DB8">
        <w:t>EFSA's</w:t>
      </w:r>
      <w:proofErr w:type="spellEnd"/>
      <w:r w:rsidRPr="00F77DB8">
        <w:t xml:space="preserve"> Ekspertpanel for Genetisk Modificerede Organismer ("</w:t>
      </w:r>
      <w:proofErr w:type="spellStart"/>
      <w:r w:rsidRPr="00F77DB8">
        <w:t>EFSA's</w:t>
      </w:r>
      <w:proofErr w:type="spellEnd"/>
      <w:r w:rsidRPr="00F77DB8">
        <w:t xml:space="preserve"> GMO-panel") og derfor ikke foretages som led i godkendelsesprocessen for GMO'er;</w:t>
      </w:r>
    </w:p>
    <w:p w14:paraId="184CC06B" w14:textId="77777777" w:rsidR="00E55E85" w:rsidRPr="00F77DB8" w:rsidRDefault="00E55E85" w:rsidP="00E55E85">
      <w:pPr>
        <w:pStyle w:val="NormalHanging12a"/>
        <w:widowControl/>
        <w:rPr>
          <w:b/>
          <w:i/>
          <w:iCs/>
          <w:szCs w:val="24"/>
        </w:rPr>
      </w:pPr>
      <w:r w:rsidRPr="00F77DB8">
        <w:rPr>
          <w:b/>
          <w:i/>
        </w:rPr>
        <w:t>Uafklarede spørgsmål vedrørende IPD072Aa-toksinet</w:t>
      </w:r>
    </w:p>
    <w:p w14:paraId="537E8F01" w14:textId="77777777" w:rsidR="00E55E85" w:rsidRPr="00F77DB8" w:rsidRDefault="00E55E85" w:rsidP="00E55E85">
      <w:pPr>
        <w:pStyle w:val="NormalHanging12a"/>
        <w:widowControl/>
        <w:rPr>
          <w:szCs w:val="24"/>
        </w:rPr>
      </w:pPr>
      <w:r w:rsidRPr="00F77DB8">
        <w:t>Q.</w:t>
      </w:r>
      <w:r w:rsidRPr="00F77DB8">
        <w:tab/>
        <w:t xml:space="preserve">der henviser til, at gennemførelsesforordning (EU) nr. 503/2013 fastsætter krav om en toksikologisk vurdering for at påvise, at de tilsigtede virkninger af en genetisk </w:t>
      </w:r>
      <w:proofErr w:type="gramStart"/>
      <w:r w:rsidRPr="00F77DB8">
        <w:t>modifikation</w:t>
      </w:r>
      <w:proofErr w:type="gramEnd"/>
      <w:r w:rsidRPr="00F77DB8">
        <w:t xml:space="preserve"> ikke har negative virkninger for menneskers og dyrs sundhed;</w:t>
      </w:r>
    </w:p>
    <w:p w14:paraId="3940F3CD" w14:textId="77777777" w:rsidR="00E55E85" w:rsidRPr="00F77DB8" w:rsidRDefault="00E55E85" w:rsidP="00E55E85">
      <w:pPr>
        <w:pStyle w:val="NormalHanging12a"/>
        <w:widowControl/>
        <w:rPr>
          <w:szCs w:val="24"/>
        </w:rPr>
      </w:pPr>
      <w:r w:rsidRPr="00F77DB8">
        <w:lastRenderedPageBreak/>
        <w:t>R.</w:t>
      </w:r>
      <w:r w:rsidRPr="00F77DB8">
        <w:tab/>
        <w:t xml:space="preserve">der henviser til, at IPD072Aa er et nyt protein, hvilket betyder, at dets anvendelse i landbruget og indførelse i fødevarekæden ikke fuldstændig kan baseres på tidligere erfaringer; </w:t>
      </w:r>
    </w:p>
    <w:p w14:paraId="0BD5E288" w14:textId="77777777" w:rsidR="00E55E85" w:rsidRPr="00F77DB8" w:rsidRDefault="00E55E85" w:rsidP="00E55E85">
      <w:pPr>
        <w:pStyle w:val="NormalHanging12a"/>
        <w:widowControl/>
        <w:rPr>
          <w:szCs w:val="24"/>
        </w:rPr>
      </w:pPr>
      <w:r w:rsidRPr="00F77DB8">
        <w:t>S.</w:t>
      </w:r>
      <w:r w:rsidRPr="00F77DB8">
        <w:tab/>
        <w:t xml:space="preserve">der henviser til, at IPD072Aa-toksiner og Bt-toksiner på visse punkter er forskellige, men også har vist sig at have ligheder, som understreger behovet for nøje undersøgelse i risikovurderingsprocessen; der henviser til, at flere undersøgelser har vist, at Bt-toksiner kan fremkalde immunrelaterede bivirkninger, herunder potentielle </w:t>
      </w:r>
      <w:proofErr w:type="spellStart"/>
      <w:r w:rsidRPr="00F77DB8">
        <w:t>adjuvansegenskaber</w:t>
      </w:r>
      <w:proofErr w:type="spellEnd"/>
      <w:r w:rsidRPr="00F77DB8">
        <w:rPr>
          <w:rStyle w:val="FootnoteReference"/>
          <w:szCs w:val="24"/>
        </w:rPr>
        <w:footnoteReference w:id="11"/>
      </w:r>
      <w:r w:rsidRPr="00F77DB8">
        <w:t xml:space="preserve">, hvilket betyder, at de kan øge </w:t>
      </w:r>
      <w:proofErr w:type="spellStart"/>
      <w:r w:rsidRPr="00F77DB8">
        <w:t>allergeniciteten</w:t>
      </w:r>
      <w:proofErr w:type="spellEnd"/>
      <w:r w:rsidRPr="00F77DB8">
        <w:t xml:space="preserve"> af andre proteiner, som de kommer i kontakt med;</w:t>
      </w:r>
    </w:p>
    <w:p w14:paraId="276033D4" w14:textId="77777777" w:rsidR="00E55E85" w:rsidRPr="00F77DB8" w:rsidRDefault="00E55E85" w:rsidP="00E55E85">
      <w:pPr>
        <w:pStyle w:val="NormalHanging12a"/>
        <w:widowControl/>
        <w:rPr>
          <w:szCs w:val="24"/>
        </w:rPr>
      </w:pPr>
      <w:r w:rsidRPr="00F77DB8">
        <w:t>T.</w:t>
      </w:r>
      <w:r w:rsidRPr="00F77DB8">
        <w:tab/>
        <w:t>der henviser til, at det i en videnskabelig undersøgelse blev konstateret, at Bt-toksiners toksicitet også kan øges gennem interaktion med restkoncentrationer fra sprøjtning med herbicider, og at der er behov for yderligere undersøgelser af kombinationsvirkningerne af "stablede" begivenheder (GM-afgrøder, der er blevet ændret til at være herbicidtolerante og til at producere insekticider i form af Bt-toksiner)</w:t>
      </w:r>
      <w:r w:rsidRPr="00F77DB8">
        <w:rPr>
          <w:rStyle w:val="FootnoteReference"/>
          <w:szCs w:val="24"/>
        </w:rPr>
        <w:footnoteReference w:id="12"/>
      </w:r>
      <w:r w:rsidRPr="00F77DB8">
        <w:t xml:space="preserve">; der henviser til, at vurdering af den potentielle interaktion mellem Bt-proteiner og deres metabolitter med herbicidrester imidlertid anses for at ligge uden for </w:t>
      </w:r>
      <w:proofErr w:type="spellStart"/>
      <w:r w:rsidRPr="00F77DB8">
        <w:t>EFSA's</w:t>
      </w:r>
      <w:proofErr w:type="spellEnd"/>
      <w:r w:rsidRPr="00F77DB8">
        <w:t xml:space="preserve"> GMO-panels ansvarsområde og derfor ikke foretages som led i risikovurderingen;</w:t>
      </w:r>
    </w:p>
    <w:p w14:paraId="30B11D3D" w14:textId="77777777" w:rsidR="00E55E85" w:rsidRPr="00F77DB8" w:rsidRDefault="00E55E85" w:rsidP="00E55E85">
      <w:pPr>
        <w:pStyle w:val="NormalHanging12a"/>
        <w:widowControl/>
        <w:rPr>
          <w:szCs w:val="24"/>
        </w:rPr>
      </w:pPr>
      <w:r w:rsidRPr="00F77DB8">
        <w:t>U.</w:t>
      </w:r>
      <w:r w:rsidRPr="00F77DB8">
        <w:tab/>
        <w:t xml:space="preserve">der henviser til, at toksicitetsvurderingen af IPD072Aa ikke tager hensyn til potentielle </w:t>
      </w:r>
      <w:proofErr w:type="spellStart"/>
      <w:r w:rsidRPr="00F77DB8">
        <w:t>synergistiske</w:t>
      </w:r>
      <w:proofErr w:type="spellEnd"/>
      <w:r w:rsidRPr="00F77DB8">
        <w:t xml:space="preserve"> eller kumulative virkninger som følge af interaktioner med plantemetabolitter eller herbicidrester;</w:t>
      </w:r>
    </w:p>
    <w:p w14:paraId="15BB831B" w14:textId="77777777" w:rsidR="00E55E85" w:rsidRPr="00F77DB8" w:rsidRDefault="00E55E85" w:rsidP="00E55E85">
      <w:pPr>
        <w:pStyle w:val="NormalHanging12a"/>
        <w:widowControl/>
        <w:rPr>
          <w:szCs w:val="24"/>
        </w:rPr>
      </w:pPr>
      <w:r w:rsidRPr="00F77DB8">
        <w:t>V.</w:t>
      </w:r>
      <w:r w:rsidRPr="00F77DB8">
        <w:tab/>
        <w:t>der henviser til, at der ikke er indgivet data om akkumuleringen af IPD072Aa i fødenet, om proteinets miljøspredning, navnlig via spildevand og husdyrgødning i jord- og vandøkosystemer, eller om dets indvirkning på organismer uden for målgruppen;</w:t>
      </w:r>
    </w:p>
    <w:p w14:paraId="55A16365" w14:textId="77777777" w:rsidR="00E55E85" w:rsidRPr="00F77DB8" w:rsidRDefault="00E55E85" w:rsidP="00E55E85">
      <w:pPr>
        <w:pStyle w:val="NormalHanging12a"/>
        <w:widowControl/>
        <w:rPr>
          <w:szCs w:val="24"/>
        </w:rPr>
      </w:pPr>
      <w:r w:rsidRPr="00F77DB8">
        <w:t>W.</w:t>
      </w:r>
      <w:r w:rsidRPr="00F77DB8">
        <w:tab/>
        <w:t xml:space="preserve">der henviser til, at potentialet for genstrømme til vilde slægtninge såsom </w:t>
      </w:r>
      <w:proofErr w:type="spellStart"/>
      <w:r w:rsidRPr="00F77DB8">
        <w:t>teosinte</w:t>
      </w:r>
      <w:proofErr w:type="spellEnd"/>
      <w:r w:rsidRPr="00F77DB8">
        <w:t xml:space="preserve">, som der er blevet rapporteret om i Spanien og Frankrig, giver anledning til bekymring med hensyn til </w:t>
      </w:r>
      <w:proofErr w:type="spellStart"/>
      <w:r w:rsidRPr="00F77DB8">
        <w:t>transgenets</w:t>
      </w:r>
      <w:proofErr w:type="spellEnd"/>
      <w:r w:rsidRPr="00F77DB8">
        <w:t xml:space="preserve"> persistens i miljøet og dets mulige økologiske konsekvenser</w:t>
      </w:r>
      <w:r w:rsidRPr="00F77DB8">
        <w:rPr>
          <w:rStyle w:val="FootnoteReference"/>
          <w:szCs w:val="24"/>
        </w:rPr>
        <w:footnoteReference w:id="13"/>
      </w:r>
      <w:r w:rsidRPr="00F77DB8">
        <w:t>;</w:t>
      </w:r>
    </w:p>
    <w:p w14:paraId="2B6F0990" w14:textId="77777777" w:rsidR="00E55E85" w:rsidRPr="00F77DB8" w:rsidRDefault="00E55E85" w:rsidP="00E55E85">
      <w:pPr>
        <w:pStyle w:val="NormalHanging12a"/>
        <w:widowControl/>
        <w:rPr>
          <w:szCs w:val="24"/>
        </w:rPr>
      </w:pPr>
      <w:r w:rsidRPr="00F77DB8">
        <w:t>X.</w:t>
      </w:r>
      <w:r w:rsidRPr="00F77DB8">
        <w:tab/>
        <w:t xml:space="preserve">der henviser til, at overvågningskravene i gennemførelsesforordning (EU) nr. 503/2013 ikke er håndhævet tilstrækkeligt, idet der ikke er foretaget en uafhængig verifikation af de data, som </w:t>
      </w:r>
      <w:proofErr w:type="spellStart"/>
      <w:r w:rsidRPr="00F77DB8">
        <w:t>Corteva</w:t>
      </w:r>
      <w:proofErr w:type="spellEnd"/>
      <w:r w:rsidRPr="00F77DB8">
        <w:t xml:space="preserve"> Agriscience LLC har indsendt;</w:t>
      </w:r>
    </w:p>
    <w:p w14:paraId="5DCE940E" w14:textId="77777777" w:rsidR="00E55E85" w:rsidRPr="00F77DB8" w:rsidRDefault="00E55E85" w:rsidP="00E55E85">
      <w:pPr>
        <w:pStyle w:val="NormalHanging12a"/>
        <w:widowControl/>
        <w:rPr>
          <w:b/>
          <w:i/>
          <w:iCs/>
          <w:szCs w:val="24"/>
        </w:rPr>
      </w:pPr>
      <w:r w:rsidRPr="00F77DB8">
        <w:rPr>
          <w:b/>
          <w:i/>
        </w:rPr>
        <w:t>Sikring af lige vilkår globalt og opretholdelse af Unionens internationale forpligtelser</w:t>
      </w:r>
    </w:p>
    <w:p w14:paraId="5912C682" w14:textId="13FD06B8" w:rsidR="00E55E85" w:rsidRPr="00F77DB8" w:rsidRDefault="00E55E85" w:rsidP="00E55E85">
      <w:pPr>
        <w:pStyle w:val="NormalHanging12a"/>
        <w:widowControl/>
        <w:rPr>
          <w:b/>
          <w:szCs w:val="24"/>
        </w:rPr>
      </w:pPr>
      <w:r w:rsidRPr="00F77DB8">
        <w:t>Y.</w:t>
      </w:r>
      <w:r w:rsidRPr="00F77DB8">
        <w:rPr>
          <w:b/>
        </w:rPr>
        <w:tab/>
      </w:r>
      <w:r w:rsidRPr="00F77DB8">
        <w:t>der henviser til, at dyrkning af GM-majsen ikke er tilladt i Unionen; der henviser til, at vedtagelse</w:t>
      </w:r>
      <w:r w:rsidR="008B2380" w:rsidRPr="00F77DB8">
        <w:t>n</w:t>
      </w:r>
      <w:r w:rsidRPr="00F77DB8">
        <w:t xml:space="preserve"> af Kommissionens afgørelse </w:t>
      </w:r>
      <w:r w:rsidR="008B2380" w:rsidRPr="00F77DB8">
        <w:t>(EU) 2025/1898</w:t>
      </w:r>
      <w:r w:rsidRPr="00F77DB8">
        <w:t xml:space="preserve"> muliggør import til Unionen, </w:t>
      </w:r>
      <w:r w:rsidRPr="00F77DB8">
        <w:lastRenderedPageBreak/>
        <w:t>der ikke lever op til de standarder, som Unionens landbrugere skal overholde, hvilket vil give dem en konkurrencemæssig ulempe;</w:t>
      </w:r>
    </w:p>
    <w:p w14:paraId="405658DF" w14:textId="77777777" w:rsidR="00E55E85" w:rsidRPr="00F77DB8" w:rsidRDefault="00E55E85" w:rsidP="00E55E85">
      <w:pPr>
        <w:pStyle w:val="NormalHanging12a"/>
        <w:widowControl/>
        <w:rPr>
          <w:b/>
          <w:szCs w:val="24"/>
        </w:rPr>
      </w:pPr>
      <w:r w:rsidRPr="00F77DB8">
        <w:t>Z.</w:t>
      </w:r>
      <w:r w:rsidRPr="00F77DB8">
        <w:tab/>
        <w:t>der henviser til, at Kommissionen i konklusionerne fra den strategiske dialog om fremtiden for EU's landbrug</w:t>
      </w:r>
      <w:r w:rsidRPr="00F77DB8">
        <w:rPr>
          <w:rStyle w:val="FootnoteReference"/>
          <w:szCs w:val="24"/>
        </w:rPr>
        <w:footnoteReference w:id="14"/>
      </w:r>
      <w:r w:rsidRPr="00F77DB8">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og 2024;</w:t>
      </w:r>
    </w:p>
    <w:p w14:paraId="4B9C2F37" w14:textId="77777777" w:rsidR="00E55E85" w:rsidRPr="00F77DB8" w:rsidRDefault="00E55E85" w:rsidP="00E55E85">
      <w:pPr>
        <w:pStyle w:val="NormalHanging12a"/>
        <w:widowControl/>
        <w:rPr>
          <w:szCs w:val="24"/>
        </w:rPr>
      </w:pPr>
      <w:r w:rsidRPr="00F77DB8">
        <w:t>AA.</w:t>
      </w:r>
      <w:r w:rsidRPr="00F77DB8">
        <w:tab/>
        <w:t>der henviser til, at en rapport fra 2017 fra FN's særlige rapportør om retten til fødevarer viste, at farlige pesticider har katastrofale konsekvenser for sundheden, især i udviklingslandene</w:t>
      </w:r>
      <w:r w:rsidRPr="00F77DB8">
        <w:rPr>
          <w:rStyle w:val="FootnoteReference"/>
          <w:szCs w:val="24"/>
        </w:rPr>
        <w:footnoteReference w:id="15"/>
      </w:r>
      <w:r w:rsidRPr="00F77DB8">
        <w:t>; der henviser til, at FN's verdensmål for bæredygtig udvikling 3.9 sigter mod senest i 2030 væsentligt at reducere antallet af dødsfald og sygdomstilfælde som følge af udsættelse for farlige kemikalier samt luft-, vand- og jordforurening</w:t>
      </w:r>
      <w:r w:rsidRPr="00F77DB8">
        <w:rPr>
          <w:rStyle w:val="FootnoteReference"/>
          <w:szCs w:val="24"/>
        </w:rPr>
        <w:footnoteReference w:id="16"/>
      </w:r>
      <w:r w:rsidRPr="00F77DB8">
        <w:t>;</w:t>
      </w:r>
    </w:p>
    <w:p w14:paraId="41CC2068" w14:textId="77777777" w:rsidR="00E55E85" w:rsidRPr="00F77DB8" w:rsidRDefault="00E55E85" w:rsidP="00E55E85">
      <w:pPr>
        <w:pStyle w:val="NormalHanging12a"/>
        <w:widowControl/>
        <w:rPr>
          <w:szCs w:val="24"/>
        </w:rPr>
      </w:pPr>
      <w:r w:rsidRPr="00F77DB8">
        <w:t>AB.</w:t>
      </w:r>
      <w:r w:rsidRPr="00F77DB8">
        <w:tab/>
        <w:t>der henviser til, at den globale Kunming-Montreal-ramme for biodiversitet, der blev vedtaget på COP15 under FN's konvention om den biologiske mangfoldighed i december 2022, indeholder et globalt mål om at reducere risikoen ved pesticider med mindst 50 % senest i 2030</w:t>
      </w:r>
      <w:r w:rsidRPr="00F77DB8">
        <w:rPr>
          <w:rStyle w:val="FootnoteReference"/>
          <w:szCs w:val="24"/>
        </w:rPr>
        <w:footnoteReference w:id="17"/>
      </w:r>
      <w:r w:rsidRPr="00F77DB8">
        <w:t>;</w:t>
      </w:r>
    </w:p>
    <w:p w14:paraId="4F03FDF0" w14:textId="77777777" w:rsidR="00E55E85" w:rsidRPr="00F77DB8" w:rsidRDefault="00E55E85" w:rsidP="00E55E85">
      <w:pPr>
        <w:pStyle w:val="NormalHanging12a"/>
        <w:widowControl/>
        <w:rPr>
          <w:szCs w:val="24"/>
        </w:rPr>
      </w:pPr>
      <w:r w:rsidRPr="00F77DB8">
        <w:t>AC.</w:t>
      </w:r>
      <w:r w:rsidRPr="00F77DB8">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den pågældende sag, når den udarbejder sin afgørelse; der henviser til, at sådanne legitime forhold bør omfatte Unionens forpligtelser i henhold til FN's mål for bæredygtig udvikling og FN's konvention om den biologiske mangfoldighed;</w:t>
      </w:r>
    </w:p>
    <w:p w14:paraId="6731B6F4" w14:textId="77777777" w:rsidR="00E55E85" w:rsidRPr="00F77DB8" w:rsidRDefault="00E55E85" w:rsidP="00E55E85">
      <w:pPr>
        <w:pStyle w:val="NormalHanging12a"/>
        <w:widowControl/>
        <w:rPr>
          <w:b/>
          <w:i/>
          <w:iCs/>
          <w:szCs w:val="24"/>
        </w:rPr>
      </w:pPr>
      <w:r w:rsidRPr="00F77DB8">
        <w:rPr>
          <w:b/>
          <w:i/>
        </w:rPr>
        <w:t>Mindskelse af afhængigheden af importeret foder</w:t>
      </w:r>
    </w:p>
    <w:p w14:paraId="79449584" w14:textId="77777777" w:rsidR="00E55E85" w:rsidRPr="00F77DB8" w:rsidRDefault="00E55E85" w:rsidP="00E55E85">
      <w:pPr>
        <w:pStyle w:val="NormalHanging12a"/>
        <w:widowControl/>
        <w:rPr>
          <w:szCs w:val="24"/>
        </w:rPr>
      </w:pPr>
      <w:r w:rsidRPr="00F77DB8">
        <w:t>AD.</w:t>
      </w:r>
      <w:r w:rsidRPr="00F77DB8">
        <w:tab/>
        <w:t xml:space="preserve">der henviser til, at en af erfaringerne fra covid‑19‑krisen og den stadig igangværende krig i Ukraine er behovet for, at Unionen bringer afhængigheden af visse kritiske materialer til ophør; der henviser til, at Kommissionens formand, Ursula von der </w:t>
      </w:r>
      <w:proofErr w:type="spellStart"/>
      <w:r w:rsidRPr="00F77DB8">
        <w:t>Leyen</w:t>
      </w:r>
      <w:proofErr w:type="spellEnd"/>
      <w:r w:rsidRPr="00F77DB8">
        <w:t>, i opgavebeskrivelsen til kommissær Christophe Hansen anmodede ham om at undersøge, hvordan man kan mindske importen af kritiske råvarer</w:t>
      </w:r>
      <w:r w:rsidRPr="00F77DB8">
        <w:rPr>
          <w:rStyle w:val="FootnoteReference"/>
          <w:szCs w:val="24"/>
        </w:rPr>
        <w:footnoteReference w:id="18"/>
      </w:r>
      <w:r w:rsidRPr="00F77DB8">
        <w:t>;</w:t>
      </w:r>
    </w:p>
    <w:p w14:paraId="5728D1DA" w14:textId="77777777" w:rsidR="00E55E85" w:rsidRPr="00F77DB8" w:rsidRDefault="00E55E85" w:rsidP="00E55E85">
      <w:pPr>
        <w:pStyle w:val="NormalHanging12a"/>
        <w:widowControl/>
        <w:rPr>
          <w:b/>
          <w:i/>
          <w:iCs/>
          <w:szCs w:val="24"/>
        </w:rPr>
      </w:pPr>
      <w:r w:rsidRPr="00F77DB8">
        <w:rPr>
          <w:b/>
          <w:i/>
        </w:rPr>
        <w:t>Udemokratisk beslutningstagning</w:t>
      </w:r>
    </w:p>
    <w:p w14:paraId="54077D6C" w14:textId="77777777" w:rsidR="00E55E85" w:rsidRPr="00F77DB8" w:rsidRDefault="00E55E85" w:rsidP="00E55E85">
      <w:pPr>
        <w:pStyle w:val="NormalHanging12a"/>
        <w:widowControl/>
        <w:rPr>
          <w:szCs w:val="24"/>
        </w:rPr>
      </w:pPr>
      <w:r w:rsidRPr="00F77DB8">
        <w:lastRenderedPageBreak/>
        <w:t>AE.</w:t>
      </w:r>
      <w:r w:rsidRPr="00F77DB8">
        <w:tab/>
        <w:t>der henviser til, at Parlamentet i sin ottende valgperiode vedtog i alt 36 beslutninger, hvori der blev gjort indsigelse mod markedsføring af GMO'er til fødevarer og foderstoffer (33 beslutninger) og mod dyrkning af GMO'er i Unionen (tre beslutninger); der henviser til, at Parlamentet i sin niende valgperiode vedtog 38 beslutninger, hvori det gjorde indsigelse mod markedsføring af GMO'er, og at det har vedtaget yderligere 11 beslutninger om indsigelse mod markedsføring af GMO'er allerede i indeværende tiende valgperiode;</w:t>
      </w:r>
    </w:p>
    <w:p w14:paraId="3E638149" w14:textId="77777777" w:rsidR="00E55E85" w:rsidRPr="00F77DB8" w:rsidRDefault="00E55E85" w:rsidP="00E55E85">
      <w:pPr>
        <w:pStyle w:val="NormalHanging12a"/>
        <w:widowControl/>
        <w:rPr>
          <w:szCs w:val="24"/>
        </w:rPr>
      </w:pPr>
      <w:r w:rsidRPr="00F77DB8">
        <w:t>AF.</w:t>
      </w:r>
      <w:r w:rsidRPr="00F77DB8">
        <w:tab/>
        <w:t>der henviser til, at Kommissionen – trods sin egen erkendelse af de demokratiske mangler, medlemsstaternes manglende støtte og Parlamentets indsigelser – fortsat giver tilladelse til GMO'er;</w:t>
      </w:r>
    </w:p>
    <w:p w14:paraId="0A639A53" w14:textId="77777777" w:rsidR="00E55E85" w:rsidRPr="00F77DB8" w:rsidRDefault="00E55E85" w:rsidP="00E55E85">
      <w:pPr>
        <w:pStyle w:val="NormalHanging12a"/>
        <w:widowControl/>
        <w:rPr>
          <w:szCs w:val="24"/>
        </w:rPr>
      </w:pPr>
      <w:r w:rsidRPr="00F77DB8">
        <w:t>AG.</w:t>
      </w:r>
      <w:r w:rsidRPr="00F77DB8">
        <w:tab/>
        <w:t>der henviser til, at der ikke kræves nogen ændring af lovgivningen, for at Kommissionen kan undlade at give tilladelse til GMO'er, når der ikke er tilslutning blandt et kvalificeret flertal af medlemsstaterne i appeludvalget</w:t>
      </w:r>
      <w:r w:rsidRPr="00F77DB8">
        <w:rPr>
          <w:rStyle w:val="FootnoteReference"/>
          <w:szCs w:val="24"/>
        </w:rPr>
        <w:footnoteReference w:id="19"/>
      </w:r>
      <w:r w:rsidRPr="00F77DB8">
        <w:t>;</w:t>
      </w:r>
    </w:p>
    <w:p w14:paraId="2A241C99" w14:textId="77777777" w:rsidR="00E55E85" w:rsidRPr="00F77DB8" w:rsidRDefault="00E55E85" w:rsidP="00E55E85">
      <w:pPr>
        <w:pStyle w:val="NormalHanging12a"/>
        <w:widowControl/>
        <w:rPr>
          <w:szCs w:val="24"/>
        </w:rPr>
      </w:pPr>
      <w:r w:rsidRPr="00F77DB8">
        <w:t>AH.</w:t>
      </w:r>
      <w:r w:rsidRPr="00F77DB8">
        <w:tab/>
        <w:t>der henviser til, at afstemningen den 13. juni 2025 i Den Stående Komité for Planter, Dyr, Fødevarer og Foder, jf. artikel 35 i forordning (EF) nr. 1829/2003, ikke mundede ud i en udtalelse, hvilket betyder, at godkendelsen ikke blev støttet af et kvalificeret flertal af medlemsstaterne</w:t>
      </w:r>
      <w:r w:rsidRPr="00F77DB8">
        <w:rPr>
          <w:rStyle w:val="FootnoteReference"/>
          <w:szCs w:val="24"/>
        </w:rPr>
        <w:footnoteReference w:id="20"/>
      </w:r>
      <w:r w:rsidRPr="00F77DB8">
        <w:t xml:space="preserve">; </w:t>
      </w:r>
      <w:r w:rsidRPr="00F77DB8">
        <w:rPr>
          <w:shd w:val="clear" w:color="auto" w:fill="FFFFFF"/>
        </w:rPr>
        <w:t>der henviser til, at afstemningen i appeludvalget den 15. juli 2025 heller ikke mundede ud i en udtalelse;</w:t>
      </w:r>
    </w:p>
    <w:p w14:paraId="4669E722" w14:textId="6CF76F4C" w:rsidR="00E55E85" w:rsidRPr="00F77DB8" w:rsidRDefault="00E55E85" w:rsidP="00E55E85">
      <w:pPr>
        <w:pStyle w:val="NormalBold"/>
        <w:widowControl/>
        <w:spacing w:after="240"/>
        <w:ind w:left="567" w:hanging="567"/>
        <w:rPr>
          <w:b w:val="0"/>
          <w:szCs w:val="24"/>
        </w:rPr>
      </w:pPr>
      <w:r w:rsidRPr="00F77DB8">
        <w:rPr>
          <w:b w:val="0"/>
        </w:rPr>
        <w:t>1.</w:t>
      </w:r>
      <w:r w:rsidRPr="00F77DB8">
        <w:rPr>
          <w:b w:val="0"/>
        </w:rPr>
        <w:tab/>
        <w:t xml:space="preserve">mener, at Kommissionens gennemførelsesafgørelse </w:t>
      </w:r>
      <w:r w:rsidR="008B2380" w:rsidRPr="00F77DB8">
        <w:rPr>
          <w:b w:val="0"/>
        </w:rPr>
        <w:t xml:space="preserve">(EU) 2025/1898 </w:t>
      </w:r>
      <w:r w:rsidRPr="00F77DB8">
        <w:rPr>
          <w:b w:val="0"/>
        </w:rPr>
        <w:t>indebærer en overskridelse af de gennemførelsesbeføjelser, der er fastsat i forordning (EF) nr.</w:t>
      </w:r>
      <w:r w:rsidR="0090554C" w:rsidRPr="00F77DB8">
        <w:rPr>
          <w:b w:val="0"/>
        </w:rPr>
        <w:t> </w:t>
      </w:r>
      <w:r w:rsidRPr="00F77DB8">
        <w:rPr>
          <w:b w:val="0"/>
        </w:rPr>
        <w:t>1829/2003;</w:t>
      </w:r>
    </w:p>
    <w:p w14:paraId="67D4DD1D" w14:textId="6B75A820" w:rsidR="00E55E85" w:rsidRPr="00F77DB8" w:rsidRDefault="00E55E85" w:rsidP="00E55E85">
      <w:pPr>
        <w:pStyle w:val="NormalBold"/>
        <w:widowControl/>
        <w:spacing w:after="240"/>
        <w:ind w:left="567" w:hanging="567"/>
        <w:rPr>
          <w:b w:val="0"/>
          <w:szCs w:val="24"/>
        </w:rPr>
      </w:pPr>
      <w:r w:rsidRPr="00F77DB8">
        <w:rPr>
          <w:b w:val="0"/>
        </w:rPr>
        <w:t>2.</w:t>
      </w:r>
      <w:r w:rsidRPr="00F77DB8">
        <w:rPr>
          <w:b w:val="0"/>
        </w:rPr>
        <w:tab/>
        <w:t xml:space="preserve">mener, at Kommissionens gennemførelsesafgørelse </w:t>
      </w:r>
      <w:r w:rsidR="008B2380" w:rsidRPr="00F77DB8">
        <w:rPr>
          <w:b w:val="0"/>
        </w:rPr>
        <w:t xml:space="preserve">(EU) 2025/1898 </w:t>
      </w:r>
      <w:r w:rsidRPr="00F77DB8">
        <w:rPr>
          <w:b w:val="0"/>
        </w:rPr>
        <w:t>ikke er i overensstemmelse med EU-retten, idet det ikke er foreneligt med målet for forordning (EF) nr. 1829/2003, som i overensstemmelse med de generelle principper, der er fastlagt i Europa-Parlamentets og Rådets forordning (EF) nr. 178/2002</w:t>
      </w:r>
      <w:r w:rsidRPr="00F77DB8">
        <w:rPr>
          <w:rStyle w:val="FootnoteReference"/>
          <w:b w:val="0"/>
          <w:szCs w:val="24"/>
        </w:rPr>
        <w:footnoteReference w:id="21"/>
      </w:r>
      <w:r w:rsidRPr="00F77DB8">
        <w:rPr>
          <w:b w:val="0"/>
        </w:rPr>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w:t>
      </w:r>
    </w:p>
    <w:p w14:paraId="6C339299" w14:textId="1BBFB4A9" w:rsidR="00E55E85" w:rsidRPr="00F77DB8" w:rsidRDefault="00E55E85" w:rsidP="00E55E85">
      <w:pPr>
        <w:pStyle w:val="NormalBold"/>
        <w:widowControl/>
        <w:spacing w:after="240"/>
        <w:ind w:left="567" w:hanging="567"/>
        <w:rPr>
          <w:b w:val="0"/>
          <w:szCs w:val="24"/>
        </w:rPr>
      </w:pPr>
      <w:r w:rsidRPr="00F77DB8">
        <w:rPr>
          <w:b w:val="0"/>
        </w:rPr>
        <w:t>3.</w:t>
      </w:r>
      <w:r w:rsidRPr="00F77DB8">
        <w:rPr>
          <w:b w:val="0"/>
        </w:rPr>
        <w:tab/>
        <w:t>anmoder Kommissionen om at trække gennemførelsesafgørelse</w:t>
      </w:r>
      <w:r w:rsidR="008B2380" w:rsidRPr="00F77DB8">
        <w:rPr>
          <w:b w:val="0"/>
        </w:rPr>
        <w:t xml:space="preserve"> (EU) 2025/1898</w:t>
      </w:r>
      <w:r w:rsidRPr="00F77DB8">
        <w:rPr>
          <w:b w:val="0"/>
        </w:rPr>
        <w:t xml:space="preserve"> tilbage og forelægge udvalget et nyt udkast;</w:t>
      </w:r>
    </w:p>
    <w:p w14:paraId="118BFB75" w14:textId="77777777" w:rsidR="00E55E85" w:rsidRPr="00F77DB8" w:rsidRDefault="00E55E85" w:rsidP="00E55E85">
      <w:pPr>
        <w:pStyle w:val="NormalBold"/>
        <w:widowControl/>
        <w:spacing w:after="240"/>
        <w:ind w:left="567" w:hanging="567"/>
        <w:rPr>
          <w:b w:val="0"/>
          <w:szCs w:val="24"/>
        </w:rPr>
      </w:pPr>
      <w:r w:rsidRPr="00F77DB8">
        <w:rPr>
          <w:b w:val="0"/>
        </w:rPr>
        <w:t>4.</w:t>
      </w:r>
      <w:r w:rsidRPr="00F77DB8">
        <w:rPr>
          <w:b w:val="0"/>
        </w:rPr>
        <w:tab/>
        <w:t>opfordrer Kommissionen til at sikre konvergens med hensyn til standarder mellem Unionen og dens partnere ved forhandlinger om frihandelsaftaler med henblik på at tilgodese Unionens sikkerhedsstandarder;</w:t>
      </w:r>
    </w:p>
    <w:p w14:paraId="423A855B" w14:textId="77777777" w:rsidR="00E55E85" w:rsidRPr="00F77DB8" w:rsidRDefault="00E55E85" w:rsidP="00E55E85">
      <w:pPr>
        <w:pStyle w:val="NormalBold"/>
        <w:widowControl/>
        <w:spacing w:after="240"/>
        <w:ind w:left="567" w:hanging="567"/>
        <w:rPr>
          <w:b w:val="0"/>
          <w:szCs w:val="24"/>
        </w:rPr>
      </w:pPr>
      <w:r w:rsidRPr="00F77DB8">
        <w:rPr>
          <w:b w:val="0"/>
        </w:rPr>
        <w:lastRenderedPageBreak/>
        <w:t>5.</w:t>
      </w:r>
      <w:r w:rsidRPr="00F77DB8">
        <w:rPr>
          <w:b w:val="0"/>
        </w:rPr>
        <w:tab/>
        <w:t>opfordrer Kommissionen til ikke at godkende GM-majsen på grund af de øgede risici for biodiversiteten, fødevaresikkerheden og arbejdstagernes sundhed i overensstemmelse med One Health-modellen;</w:t>
      </w:r>
    </w:p>
    <w:p w14:paraId="5A1AC355" w14:textId="77777777" w:rsidR="00E55E85" w:rsidRPr="00F77DB8" w:rsidRDefault="00E55E85" w:rsidP="00E55E85">
      <w:pPr>
        <w:pStyle w:val="NormalBold"/>
        <w:widowControl/>
        <w:spacing w:after="240"/>
        <w:ind w:left="567" w:hanging="567"/>
        <w:rPr>
          <w:b w:val="0"/>
          <w:szCs w:val="24"/>
        </w:rPr>
      </w:pPr>
      <w:r w:rsidRPr="00F77DB8">
        <w:rPr>
          <w:b w:val="0"/>
        </w:rPr>
        <w:t>6.</w:t>
      </w:r>
      <w:r w:rsidRPr="00F77DB8">
        <w:rPr>
          <w:b w:val="0"/>
        </w:rPr>
        <w:tab/>
        <w:t>forventer, at Kommissionen hurtigst muligt opfylder sit tilsagn</w:t>
      </w:r>
      <w:r w:rsidRPr="00F77DB8">
        <w:rPr>
          <w:rStyle w:val="FootnoteReference"/>
          <w:b w:val="0"/>
          <w:szCs w:val="24"/>
        </w:rPr>
        <w:footnoteReference w:id="22"/>
      </w:r>
      <w:r w:rsidRPr="00F77DB8">
        <w:rPr>
          <w:b w:val="0"/>
        </w:rPr>
        <w:t xml:space="preserve"> om at fremsætte et forslag til at sikre, at farlige kemikalier, der er forbudt i Unionen, ikke produceres til eksport;</w:t>
      </w:r>
    </w:p>
    <w:p w14:paraId="4FC47476" w14:textId="77777777" w:rsidR="00E55E85" w:rsidRPr="00F77DB8" w:rsidRDefault="00E55E85" w:rsidP="00E55E85">
      <w:pPr>
        <w:pStyle w:val="NormalBold"/>
        <w:widowControl/>
        <w:spacing w:after="240"/>
        <w:ind w:left="567" w:hanging="567"/>
        <w:rPr>
          <w:b w:val="0"/>
          <w:szCs w:val="24"/>
        </w:rPr>
      </w:pPr>
      <w:r w:rsidRPr="00F77DB8">
        <w:rPr>
          <w:b w:val="0"/>
        </w:rPr>
        <w:t>7.</w:t>
      </w:r>
      <w:r w:rsidRPr="00F77DB8">
        <w:rPr>
          <w:b w:val="0"/>
        </w:rPr>
        <w:tab/>
        <w:t>glæder sig over, at Kommissionen i en skrivelse af 11. september 2020 til medlemmerne endelig anerkendte behovet for at tage højde for bæredygtighed, når det gælder afgørelser om godkendelse af GMO'er</w:t>
      </w:r>
      <w:r w:rsidRPr="00F77DB8">
        <w:rPr>
          <w:rStyle w:val="FootnoteReference"/>
          <w:b w:val="0"/>
          <w:szCs w:val="24"/>
        </w:rPr>
        <w:footnoteReference w:id="23"/>
      </w:r>
      <w:r w:rsidRPr="00F77DB8">
        <w:rPr>
          <w:b w:val="0"/>
        </w:rPr>
        <w:t>; udtrykker imidlertid sin dybe skuffelse over, at Kommissionen siden da er fortsat med at give tilladelse til import af GMO'er til Unionen, selv om Parlamentet løbende har gjort indsigelse, og et flertal af medlemsstaterne har stemt imod;</w:t>
      </w:r>
    </w:p>
    <w:p w14:paraId="3EB4B1E0" w14:textId="77777777" w:rsidR="00E55E85" w:rsidRPr="00F77DB8" w:rsidRDefault="00E55E85" w:rsidP="00E55E85">
      <w:pPr>
        <w:pStyle w:val="NormalBold"/>
        <w:widowControl/>
        <w:spacing w:after="240"/>
        <w:ind w:left="567" w:hanging="567"/>
        <w:rPr>
          <w:b w:val="0"/>
          <w:szCs w:val="24"/>
        </w:rPr>
      </w:pPr>
      <w:r w:rsidRPr="00F77DB8">
        <w:rPr>
          <w:b w:val="0"/>
        </w:rPr>
        <w:t>8.</w:t>
      </w:r>
      <w:r w:rsidRPr="00F77DB8">
        <w:rPr>
          <w:b w:val="0"/>
        </w:rPr>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Pr="00F77DB8">
        <w:rPr>
          <w:rStyle w:val="FootnoteReference"/>
          <w:b w:val="0"/>
          <w:szCs w:val="24"/>
        </w:rPr>
        <w:footnoteReference w:id="24"/>
      </w:r>
      <w:r w:rsidRPr="00F77DB8">
        <w:rPr>
          <w:b w:val="0"/>
        </w:rPr>
        <w:t>;</w:t>
      </w:r>
    </w:p>
    <w:p w14:paraId="34B3735D" w14:textId="3C6EC94A" w:rsidR="00E365E1" w:rsidRPr="00F77DB8" w:rsidRDefault="00E55E85" w:rsidP="0008057B">
      <w:pPr>
        <w:ind w:left="567" w:hanging="567"/>
      </w:pPr>
      <w:r w:rsidRPr="00F77DB8">
        <w:t>9.</w:t>
      </w:r>
      <w:r w:rsidRPr="00F77DB8">
        <w:tab/>
        <w:t>pålægger sin formand at sende denne beslutning til Rådet og Kommissionen samt til medlemsstaternes regeringer og parlamenter.</w:t>
      </w:r>
    </w:p>
    <w:sectPr w:rsidR="00E365E1" w:rsidRPr="00F77DB8" w:rsidSect="00AC3E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C2CED" w14:textId="77777777" w:rsidR="00EE1234" w:rsidRPr="00AC3E45" w:rsidRDefault="00EE1234">
      <w:r w:rsidRPr="00AC3E45">
        <w:separator/>
      </w:r>
    </w:p>
  </w:endnote>
  <w:endnote w:type="continuationSeparator" w:id="0">
    <w:p w14:paraId="0DF7814C" w14:textId="77777777" w:rsidR="00EE1234" w:rsidRPr="00AC3E45" w:rsidRDefault="00EE1234">
      <w:r w:rsidRPr="00AC3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9375" w14:textId="77777777" w:rsidR="00064002" w:rsidRPr="00AC3E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41C8" w14:textId="77777777" w:rsidR="00064002" w:rsidRPr="00AC3E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D4BBE" w14:textId="77777777" w:rsidR="00064002" w:rsidRPr="00AC3E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24DD5" w14:textId="77777777" w:rsidR="00EE1234" w:rsidRPr="00AC3E45" w:rsidRDefault="00EE1234">
      <w:r w:rsidRPr="00AC3E45">
        <w:separator/>
      </w:r>
    </w:p>
  </w:footnote>
  <w:footnote w:type="continuationSeparator" w:id="0">
    <w:p w14:paraId="2BEE52B9" w14:textId="77777777" w:rsidR="00EE1234" w:rsidRPr="00AC3E45" w:rsidRDefault="00EE1234">
      <w:r w:rsidRPr="00AC3E45">
        <w:continuationSeparator/>
      </w:r>
    </w:p>
  </w:footnote>
  <w:footnote w:id="1">
    <w:p w14:paraId="3DFF03B5" w14:textId="72ABBB82" w:rsidR="008B2380" w:rsidRPr="00D2388C" w:rsidRDefault="008B2380" w:rsidP="00D2388C">
      <w:pPr>
        <w:pStyle w:val="FootnoteText"/>
        <w:ind w:left="567" w:hanging="567"/>
        <w:rPr>
          <w:sz w:val="24"/>
          <w:szCs w:val="22"/>
          <w:lang w:val="fi-FI"/>
        </w:rPr>
      </w:pPr>
      <w:r w:rsidRPr="00D2388C">
        <w:rPr>
          <w:rStyle w:val="FootnoteReference"/>
          <w:sz w:val="24"/>
          <w:szCs w:val="22"/>
        </w:rPr>
        <w:footnoteRef/>
      </w:r>
      <w:r w:rsidRPr="00D2388C">
        <w:rPr>
          <w:sz w:val="24"/>
          <w:szCs w:val="22"/>
          <w:lang w:val="fi-FI"/>
        </w:rPr>
        <w:t xml:space="preserve"> </w:t>
      </w:r>
      <w:r w:rsidRPr="00D2388C">
        <w:rPr>
          <w:sz w:val="24"/>
          <w:szCs w:val="22"/>
          <w:lang w:val="fi-FI"/>
        </w:rPr>
        <w:tab/>
        <w:t xml:space="preserve">EUT L, 2025/1898, 23.9.2025, ELI: </w:t>
      </w:r>
      <w:hyperlink r:id="rId1" w:history="1">
        <w:r w:rsidRPr="00D2388C">
          <w:rPr>
            <w:rStyle w:val="Hyperlink"/>
            <w:sz w:val="24"/>
            <w:szCs w:val="22"/>
            <w:lang w:val="fi-FI"/>
          </w:rPr>
          <w:t>http://data.europa.eu/eli/dec_impl/2025/1898/oj</w:t>
        </w:r>
      </w:hyperlink>
      <w:r w:rsidR="00B54926">
        <w:rPr>
          <w:sz w:val="24"/>
          <w:szCs w:val="22"/>
          <w:lang w:val="fi-FI"/>
        </w:rPr>
        <w:t>.</w:t>
      </w:r>
    </w:p>
  </w:footnote>
  <w:footnote w:id="2">
    <w:p w14:paraId="12375272" w14:textId="1C4B9B0F" w:rsidR="00E55E85" w:rsidRPr="00AC3E45" w:rsidRDefault="00E55E85" w:rsidP="00AC3E45">
      <w:pPr>
        <w:pStyle w:val="FootnoteText"/>
        <w:ind w:left="567" w:hanging="567"/>
        <w:rPr>
          <w:b/>
          <w:bCs/>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EUT L 268 af 18.10.2003, s. 1, ELI: </w:t>
      </w:r>
      <w:hyperlink r:id="rId2" w:history="1">
        <w:r w:rsidRPr="00AC3E45">
          <w:rPr>
            <w:rStyle w:val="Hyperlink"/>
            <w:sz w:val="24"/>
            <w:lang w:val="da-DK"/>
          </w:rPr>
          <w:t>http://data.europa.eu/eli/reg/2003/1829/oj</w:t>
        </w:r>
      </w:hyperlink>
      <w:r w:rsidRPr="00AC3E45">
        <w:rPr>
          <w:sz w:val="24"/>
          <w:u w:val="single"/>
          <w:lang w:val="da-DK"/>
        </w:rPr>
        <w:t>.</w:t>
      </w:r>
    </w:p>
  </w:footnote>
  <w:footnote w:id="3">
    <w:p w14:paraId="6F62A120" w14:textId="1F8E0D85"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EUT L 55 af 28.2.2011, s. 13, ELI: </w:t>
      </w:r>
      <w:hyperlink r:id="rId3" w:history="1">
        <w:r w:rsidRPr="00AC3E45">
          <w:rPr>
            <w:rStyle w:val="Hyperlink"/>
            <w:sz w:val="24"/>
            <w:lang w:val="da-DK"/>
          </w:rPr>
          <w:t>http://data.europa.eu/eli/reg/2011/182/oj</w:t>
        </w:r>
      </w:hyperlink>
      <w:r w:rsidRPr="00AC3E45">
        <w:rPr>
          <w:sz w:val="24"/>
          <w:lang w:val="da-DK"/>
        </w:rPr>
        <w:t>.</w:t>
      </w:r>
    </w:p>
  </w:footnote>
  <w:footnote w:id="4">
    <w:p w14:paraId="35CC2DEE" w14:textId="658B82ED" w:rsidR="00E55E85" w:rsidRPr="00AC3E45" w:rsidRDefault="00E55E85" w:rsidP="00AC3E45">
      <w:pPr>
        <w:pStyle w:val="FootnoteText"/>
        <w:ind w:left="567" w:hanging="567"/>
        <w:rPr>
          <w:sz w:val="24"/>
          <w:lang w:val="da-DK"/>
        </w:rPr>
      </w:pPr>
      <w:r w:rsidRPr="00AC3E45">
        <w:rPr>
          <w:rStyle w:val="Funotenzeichen"/>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Videnskabelig udtalelse fra </w:t>
      </w:r>
      <w:proofErr w:type="spellStart"/>
      <w:r w:rsidRPr="00AC3E45">
        <w:rPr>
          <w:sz w:val="24"/>
          <w:lang w:val="da-DK"/>
        </w:rPr>
        <w:t>EFSA's</w:t>
      </w:r>
      <w:proofErr w:type="spellEnd"/>
      <w:r w:rsidRPr="00AC3E45">
        <w:rPr>
          <w:sz w:val="24"/>
          <w:lang w:val="da-DK"/>
        </w:rPr>
        <w:t xml:space="preserve"> Ekspertpanel for Genetisk Modificerede Organismer om vurdering af den genetisk modificerede DP51291-majs (ansøgning GMFF-2021-0071), EFSA Journal 2024:22(11):9059: </w:t>
      </w:r>
      <w:hyperlink r:id="rId4" w:history="1">
        <w:r w:rsidRPr="00AC3E45">
          <w:rPr>
            <w:rStyle w:val="Hyperlink"/>
            <w:sz w:val="24"/>
            <w:lang w:val="da-DK"/>
          </w:rPr>
          <w:t>https://doi.org/10.2903/j.efsa.2024.9059</w:t>
        </w:r>
      </w:hyperlink>
      <w:r w:rsidRPr="00AC3E45">
        <w:rPr>
          <w:sz w:val="24"/>
          <w:lang w:val="da-DK"/>
        </w:rPr>
        <w:t xml:space="preserve">. </w:t>
      </w:r>
    </w:p>
  </w:footnote>
  <w:footnote w:id="5">
    <w:p w14:paraId="750ACD1D" w14:textId="2921F595" w:rsidR="00E55E85" w:rsidRPr="00AC3E45" w:rsidRDefault="00E55E85" w:rsidP="00AC3E45">
      <w:pPr>
        <w:pStyle w:val="FootnoteText"/>
        <w:ind w:left="567" w:hanging="567"/>
        <w:rPr>
          <w:color w:val="000000" w:themeColor="text1"/>
          <w:sz w:val="24"/>
          <w:vertAlign w:val="superscript"/>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Parlamentet vedtog i sin ottende valgperiode 36 beslutninger og i sin niende valgperiode 38 beslutninger, hvori det gjorde indsigelse mod godkendelsen af GMO'er.</w:t>
      </w:r>
      <w:r w:rsidRPr="00AC3E45">
        <w:rPr>
          <w:color w:val="000000" w:themeColor="text1"/>
          <w:sz w:val="24"/>
          <w:lang w:val="da-DK"/>
        </w:rPr>
        <w:t xml:space="preserve"> Desuden har Europa-Parlamentet i sin tiende valgperiode vedtaget følgende beslutninger:</w:t>
      </w:r>
    </w:p>
    <w:p w14:paraId="3A6BC094" w14:textId="16D71160"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r w:rsidR="0030652D">
        <w:fldChar w:fldCharType="begin"/>
      </w:r>
      <w:r w:rsidR="0030652D" w:rsidRPr="0030652D">
        <w:rPr>
          <w:lang w:val="da-DK"/>
        </w:rPr>
        <w:instrText>HYPERLINK "http://data.europa.eu/eli/C/2025/1797/oj"</w:instrText>
      </w:r>
      <w:r w:rsidR="0030652D">
        <w:fldChar w:fldCharType="separate"/>
      </w:r>
      <w:r w:rsidR="00E55E85" w:rsidRPr="00AC3E45">
        <w:rPr>
          <w:rStyle w:val="Hyperlink"/>
          <w:sz w:val="24"/>
          <w:lang w:val="da-DK"/>
        </w:rPr>
        <w:t>http://data.europa.eu/eli/C/2025/1797/oj</w:t>
      </w:r>
      <w:r w:rsidR="0030652D">
        <w:rPr>
          <w:rStyle w:val="Hyperlink"/>
          <w:sz w:val="24"/>
          <w:lang w:val="da-DK"/>
        </w:rPr>
        <w:fldChar w:fldCharType="end"/>
      </w:r>
      <w:r w:rsidR="00E55E85" w:rsidRPr="00AC3E45">
        <w:rPr>
          <w:color w:val="000000" w:themeColor="text1"/>
          <w:sz w:val="24"/>
          <w:lang w:val="da-DK"/>
        </w:rPr>
        <w:t>).</w:t>
      </w:r>
    </w:p>
    <w:p w14:paraId="52C7CF19" w14:textId="1B75E656"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(EUT C, C/2025/1798, 4.4.2025, ELI: </w:t>
      </w:r>
      <w:r w:rsidR="0030652D">
        <w:fldChar w:fldCharType="begin"/>
      </w:r>
      <w:r w:rsidR="0030652D" w:rsidRPr="0030652D">
        <w:rPr>
          <w:lang w:val="da-DK"/>
        </w:rPr>
        <w:instrText>HYPERLINK "http://data.europa.eu/eli/C/2025/1798/oj"</w:instrText>
      </w:r>
      <w:r w:rsidR="0030652D">
        <w:fldChar w:fldCharType="separate"/>
      </w:r>
      <w:r w:rsidR="00E55E85" w:rsidRPr="00AC3E45">
        <w:rPr>
          <w:rStyle w:val="Hyperlink"/>
          <w:sz w:val="24"/>
          <w:lang w:val="da-DK"/>
        </w:rPr>
        <w:t>http://data.europa.eu/eli/C/2025/1798/oj</w:t>
      </w:r>
      <w:r w:rsidR="0030652D">
        <w:rPr>
          <w:rStyle w:val="Hyperlink"/>
          <w:sz w:val="24"/>
          <w:lang w:val="da-DK"/>
        </w:rPr>
        <w:fldChar w:fldCharType="end"/>
      </w:r>
      <w:r w:rsidR="00E55E85" w:rsidRPr="00AC3E45">
        <w:rPr>
          <w:color w:val="000000" w:themeColor="text1"/>
          <w:sz w:val="24"/>
          <w:lang w:val="da-DK"/>
        </w:rPr>
        <w:t>).</w:t>
      </w:r>
    </w:p>
    <w:p w14:paraId="5660CA0C" w14:textId="7422F7FF"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(EUT C, C/2025/1799, 4.4.2025, ELI: </w:t>
      </w:r>
      <w:r w:rsidR="0030652D">
        <w:fldChar w:fldCharType="begin"/>
      </w:r>
      <w:r w:rsidR="0030652D" w:rsidRPr="0030652D">
        <w:rPr>
          <w:lang w:val="da-DK"/>
        </w:rPr>
        <w:instrText>HYPERLINK "http://data.europa.eu/eli/C/2025/1799/oj"</w:instrText>
      </w:r>
      <w:r w:rsidR="0030652D">
        <w:fldChar w:fldCharType="separate"/>
      </w:r>
      <w:r w:rsidR="00E55E85" w:rsidRPr="00AC3E45">
        <w:rPr>
          <w:rStyle w:val="Hyperlink"/>
          <w:sz w:val="24"/>
          <w:lang w:val="da-DK"/>
        </w:rPr>
        <w:t>http://data.europa.eu/eli/C/2025/1799/oj</w:t>
      </w:r>
      <w:r w:rsidR="0030652D">
        <w:rPr>
          <w:rStyle w:val="Hyperlink"/>
          <w:sz w:val="24"/>
          <w:lang w:val="da-DK"/>
        </w:rPr>
        <w:fldChar w:fldCharType="end"/>
      </w:r>
      <w:r w:rsidR="00E55E85" w:rsidRPr="00AC3E45">
        <w:rPr>
          <w:color w:val="000000" w:themeColor="text1"/>
          <w:sz w:val="24"/>
          <w:lang w:val="da-DK"/>
        </w:rPr>
        <w:t>).</w:t>
      </w:r>
    </w:p>
    <w:p w14:paraId="5A3411A3" w14:textId="5D10F414"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og om ophævelse af Kommissionens gennemførelsesafgørelse (EU) 2017/1207 (EUT C, C/2025/1800, 4.4.2025, ELI: </w:t>
      </w:r>
      <w:r w:rsidR="0030652D">
        <w:fldChar w:fldCharType="begin"/>
      </w:r>
      <w:r w:rsidR="0030652D" w:rsidRPr="0030652D">
        <w:rPr>
          <w:lang w:val="da-DK"/>
        </w:rPr>
        <w:instrText>HYPERLINK "http://data.europa.eu/eli/C/2025/1800/oj"</w:instrText>
      </w:r>
      <w:r w:rsidR="0030652D">
        <w:fldChar w:fldCharType="separate"/>
      </w:r>
      <w:r w:rsidR="00E55E85" w:rsidRPr="00AC3E45">
        <w:rPr>
          <w:rStyle w:val="Hyperlink"/>
          <w:sz w:val="24"/>
          <w:lang w:val="da-DK"/>
        </w:rPr>
        <w:t>http://data.europa.eu/eli/C/2025/1800/oj</w:t>
      </w:r>
      <w:r w:rsidR="0030652D">
        <w:rPr>
          <w:rStyle w:val="Hyperlink"/>
          <w:sz w:val="24"/>
          <w:lang w:val="da-DK"/>
        </w:rPr>
        <w:fldChar w:fldCharType="end"/>
      </w:r>
      <w:r w:rsidR="00E55E85" w:rsidRPr="00AC3E45">
        <w:rPr>
          <w:color w:val="000000" w:themeColor="text1"/>
          <w:sz w:val="24"/>
          <w:lang w:val="da-DK"/>
        </w:rPr>
        <w:t>).</w:t>
      </w:r>
    </w:p>
    <w:p w14:paraId="1A958DE8" w14:textId="6F1168BC"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(EUT C, C/2025/1801, 4.4.2025, ELI: </w:t>
      </w:r>
      <w:r w:rsidR="0030652D">
        <w:fldChar w:fldCharType="begin"/>
      </w:r>
      <w:r w:rsidR="0030652D" w:rsidRPr="0030652D">
        <w:rPr>
          <w:lang w:val="da-DK"/>
        </w:rPr>
        <w:instrText>HYPERLINK "http://data.europa.eu/eli/C/2025/1801/oj"</w:instrText>
      </w:r>
      <w:r w:rsidR="0030652D">
        <w:fldChar w:fldCharType="separate"/>
      </w:r>
      <w:r w:rsidR="00E55E85" w:rsidRPr="00AC3E45">
        <w:rPr>
          <w:rStyle w:val="Hyperlink"/>
          <w:sz w:val="24"/>
          <w:lang w:val="da-DK"/>
        </w:rPr>
        <w:t>http://data.europa.eu/eli/C/2025/1801/oj</w:t>
      </w:r>
      <w:r w:rsidR="0030652D">
        <w:rPr>
          <w:rStyle w:val="Hyperlink"/>
          <w:sz w:val="24"/>
          <w:lang w:val="da-DK"/>
        </w:rPr>
        <w:fldChar w:fldCharType="end"/>
      </w:r>
      <w:r w:rsidR="00E55E85" w:rsidRPr="00AC3E45">
        <w:rPr>
          <w:color w:val="000000" w:themeColor="text1"/>
          <w:sz w:val="24"/>
          <w:lang w:val="da-DK"/>
        </w:rPr>
        <w:t>).</w:t>
      </w:r>
    </w:p>
    <w:p w14:paraId="7671C223" w14:textId="37EDD3D7"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(EUT C, C/2025/1802, 4.4.2025, ELI: </w:t>
      </w:r>
      <w:r w:rsidR="0030652D">
        <w:fldChar w:fldCharType="begin"/>
      </w:r>
      <w:r w:rsidR="0030652D" w:rsidRPr="0030652D">
        <w:rPr>
          <w:lang w:val="da-DK"/>
        </w:rPr>
        <w:instrText>HYPERLINK "http://data.europa.eu/eli/C/2025/1802/oj"</w:instrText>
      </w:r>
      <w:r w:rsidR="0030652D">
        <w:fldChar w:fldCharType="separate"/>
      </w:r>
      <w:r w:rsidR="00E55E85" w:rsidRPr="00AC3E45">
        <w:rPr>
          <w:rStyle w:val="Hyperlink"/>
          <w:sz w:val="24"/>
          <w:lang w:val="da-DK"/>
        </w:rPr>
        <w:t>http://data.europa.eu/eli/C/2025/1802/oj</w:t>
      </w:r>
      <w:r w:rsidR="0030652D">
        <w:rPr>
          <w:rStyle w:val="Hyperlink"/>
          <w:sz w:val="24"/>
          <w:lang w:val="da-DK"/>
        </w:rPr>
        <w:fldChar w:fldCharType="end"/>
      </w:r>
      <w:r w:rsidR="00E55E85" w:rsidRPr="00AC3E45">
        <w:rPr>
          <w:color w:val="000000" w:themeColor="text1"/>
          <w:sz w:val="24"/>
          <w:lang w:val="da-DK"/>
        </w:rPr>
        <w:t>).</w:t>
      </w:r>
    </w:p>
    <w:p w14:paraId="0531B626" w14:textId="14E02160"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w:t>
      </w:r>
      <w:r w:rsidR="0090554C">
        <w:rPr>
          <w:color w:val="000000" w:themeColor="text1"/>
          <w:sz w:val="24"/>
          <w:lang w:val="da-DK"/>
        </w:rPr>
        <w:t> </w:t>
      </w:r>
      <w:r w:rsidR="00E55E85" w:rsidRPr="00AC3E45">
        <w:rPr>
          <w:color w:val="000000" w:themeColor="text1"/>
          <w:sz w:val="24"/>
          <w:lang w:val="da-DK"/>
        </w:rPr>
        <w:t xml:space="preserve">1829/2003 (EUT C, C/2025/1803, 4.4.2025, ELI: </w:t>
      </w:r>
      <w:r w:rsidR="0030652D">
        <w:fldChar w:fldCharType="begin"/>
      </w:r>
      <w:r w:rsidR="0030652D" w:rsidRPr="0030652D">
        <w:rPr>
          <w:lang w:val="da-DK"/>
        </w:rPr>
        <w:instrText>HYPERLINK "http://data.europa.eu/eli/C/2025/1803/oj"</w:instrText>
      </w:r>
      <w:r w:rsidR="0030652D">
        <w:fldChar w:fldCharType="separate"/>
      </w:r>
      <w:r w:rsidR="00E55E85" w:rsidRPr="00AC3E45">
        <w:rPr>
          <w:rStyle w:val="Hyperlink"/>
          <w:sz w:val="24"/>
          <w:lang w:val="da-DK"/>
        </w:rPr>
        <w:t>http://data.europa.eu/eli/C/2025/1803/oj</w:t>
      </w:r>
      <w:r w:rsidR="0030652D">
        <w:rPr>
          <w:rStyle w:val="Hyperlink"/>
          <w:sz w:val="24"/>
          <w:lang w:val="da-DK"/>
        </w:rPr>
        <w:fldChar w:fldCharType="end"/>
      </w:r>
      <w:r w:rsidR="00E55E85" w:rsidRPr="00AC3E45">
        <w:rPr>
          <w:color w:val="000000" w:themeColor="text1"/>
          <w:sz w:val="24"/>
          <w:lang w:val="da-DK"/>
        </w:rPr>
        <w:t>).</w:t>
      </w:r>
    </w:p>
    <w:p w14:paraId="5F2585FA" w14:textId="03E5BF21" w:rsidR="00E55E85" w:rsidRPr="00AC3E45" w:rsidRDefault="00AC3E45" w:rsidP="00AC3E45">
      <w:pPr>
        <w:pStyle w:val="FootnoteText"/>
        <w:ind w:left="567" w:hanging="567"/>
        <w:rPr>
          <w:color w:val="000000" w:themeColor="text1"/>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r w:rsidR="0030652D">
        <w:fldChar w:fldCharType="begin"/>
      </w:r>
      <w:r w:rsidR="0030652D" w:rsidRPr="0030652D">
        <w:rPr>
          <w:lang w:val="da-DK"/>
        </w:rPr>
        <w:instrText>HYPERLINK "http://data.europa.eu/eli/C/2025/1804/oj"</w:instrText>
      </w:r>
      <w:r w:rsidR="0030652D">
        <w:fldChar w:fldCharType="separate"/>
      </w:r>
      <w:r w:rsidR="00E55E85" w:rsidRPr="00AC3E45">
        <w:rPr>
          <w:rStyle w:val="Hyperlink"/>
          <w:sz w:val="24"/>
          <w:lang w:val="da-DK"/>
        </w:rPr>
        <w:t>http://data.europa.eu/eli/C/2025/1804/oj</w:t>
      </w:r>
      <w:r w:rsidR="0030652D">
        <w:rPr>
          <w:rStyle w:val="Hyperlink"/>
          <w:sz w:val="24"/>
          <w:lang w:val="da-DK"/>
        </w:rPr>
        <w:fldChar w:fldCharType="end"/>
      </w:r>
      <w:r w:rsidR="00E55E85" w:rsidRPr="00AC3E45">
        <w:rPr>
          <w:color w:val="000000" w:themeColor="text1"/>
          <w:sz w:val="24"/>
          <w:lang w:val="da-DK"/>
        </w:rPr>
        <w:t>).</w:t>
      </w:r>
    </w:p>
    <w:p w14:paraId="3D91AE2C" w14:textId="01FCF762" w:rsidR="00E55E85" w:rsidRPr="00AC3E45" w:rsidRDefault="00AC3E45" w:rsidP="00AC3E45">
      <w:pPr>
        <w:pStyle w:val="FootnoteText"/>
        <w:ind w:left="567" w:hanging="567"/>
        <w:rPr>
          <w:sz w:val="24"/>
          <w:vertAlign w:val="superscript"/>
          <w:lang w:val="da-DK"/>
        </w:rPr>
      </w:pPr>
      <w:r w:rsidRPr="00AC3E45">
        <w:rPr>
          <w:color w:val="000000" w:themeColor="text1"/>
          <w:sz w:val="24"/>
          <w:lang w:val="da-DK"/>
        </w:rPr>
        <w:t xml:space="preserve"> </w:t>
      </w:r>
      <w:r w:rsidRPr="00AC3E45">
        <w:rPr>
          <w:color w:val="000000" w:themeColor="text1"/>
          <w:sz w:val="24"/>
          <w:lang w:val="da-DK"/>
        </w:rPr>
        <w:tab/>
      </w:r>
      <w:r w:rsidR="00E55E85" w:rsidRPr="00AC3E45">
        <w:rPr>
          <w:color w:val="000000" w:themeColor="text1"/>
          <w:sz w:val="24"/>
          <w:lang w:val="da-DK"/>
        </w:rPr>
        <w:t>–</w:t>
      </w:r>
      <w:r w:rsidR="00E55E85" w:rsidRPr="00AC3E45">
        <w:rPr>
          <w:color w:val="000000" w:themeColor="text1"/>
          <w:sz w:val="24"/>
          <w:lang w:val="da-DK"/>
        </w:rPr>
        <w:tab/>
      </w:r>
      <w:r w:rsidR="00E55E85" w:rsidRPr="00AC3E45">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w:t>
      </w:r>
      <w:r w:rsidR="0090554C">
        <w:rPr>
          <w:sz w:val="24"/>
          <w:lang w:val="da-DK"/>
        </w:rPr>
        <w:t> </w:t>
      </w:r>
      <w:r w:rsidR="00E55E85" w:rsidRPr="00AC3E45">
        <w:rPr>
          <w:sz w:val="24"/>
          <w:lang w:val="da-DK"/>
        </w:rPr>
        <w:t xml:space="preserve">1829/2003 </w:t>
      </w:r>
      <w:r w:rsidR="00E55E85" w:rsidRPr="00AC3E45">
        <w:rPr>
          <w:sz w:val="24"/>
          <w:lang w:val="da-DK"/>
        </w:rPr>
        <w:t>(</w:t>
      </w:r>
      <w:r w:rsidR="0030652D">
        <w:rPr>
          <w:sz w:val="24"/>
          <w:lang w:val="da-DK"/>
        </w:rPr>
        <w:t>EUT</w:t>
      </w:r>
      <w:r w:rsidR="00E55E85" w:rsidRPr="00AC3E45">
        <w:rPr>
          <w:sz w:val="24"/>
          <w:lang w:val="da-DK"/>
        </w:rPr>
        <w:t xml:space="preserve"> C, C/2025/2246, 29.4.2025, ELI: </w:t>
      </w:r>
      <w:hyperlink r:id="rId5" w:tooltip="Giver adgang til dokumentet via dets ELI URI." w:history="1">
        <w:r w:rsidR="00E55E85" w:rsidRPr="00AC3E45">
          <w:rPr>
            <w:rStyle w:val="Hyperlink"/>
            <w:sz w:val="24"/>
            <w:lang w:val="da-DK"/>
          </w:rPr>
          <w:t>http://data.europa.eu/eli/C/2025/2246/oj</w:t>
        </w:r>
      </w:hyperlink>
      <w:r w:rsidR="00E55E85" w:rsidRPr="00AC3E45">
        <w:rPr>
          <w:sz w:val="24"/>
          <w:lang w:val="da-DK"/>
        </w:rPr>
        <w:t>).</w:t>
      </w:r>
    </w:p>
    <w:p w14:paraId="18D3AC79" w14:textId="3B9703FC" w:rsidR="00E55E85" w:rsidRPr="00AC3E45" w:rsidRDefault="00AC3E45" w:rsidP="00AC3E45">
      <w:pPr>
        <w:pStyle w:val="FootnoteText"/>
        <w:ind w:left="567" w:hanging="567"/>
        <w:rPr>
          <w:sz w:val="24"/>
          <w:vertAlign w:val="superscript"/>
          <w:lang w:val="da-DK"/>
        </w:rPr>
      </w:pPr>
      <w:r w:rsidRPr="00AC3E45">
        <w:rPr>
          <w:sz w:val="24"/>
          <w:lang w:val="da-DK"/>
        </w:rPr>
        <w:t xml:space="preserve"> </w:t>
      </w:r>
      <w:r w:rsidRPr="00AC3E45">
        <w:rPr>
          <w:sz w:val="24"/>
          <w:lang w:val="da-DK"/>
        </w:rPr>
        <w:tab/>
      </w:r>
      <w:r w:rsidR="00E55E85" w:rsidRPr="00AC3E45">
        <w:rPr>
          <w:sz w:val="24"/>
          <w:lang w:val="da-DK"/>
        </w:rPr>
        <w:t>–</w:t>
      </w:r>
      <w:r w:rsidR="00E55E85" w:rsidRPr="00AC3E45">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6" w:tooltip="Giver adgang til dokumentet via dets ELI URI." w:history="1">
        <w:r w:rsidR="00E55E85" w:rsidRPr="00AC3E45">
          <w:rPr>
            <w:rStyle w:val="Hyperlink"/>
            <w:sz w:val="24"/>
            <w:lang w:val="da-DK"/>
          </w:rPr>
          <w:t>http://data.europa.eu/eli/C/2025/2247/oj</w:t>
        </w:r>
      </w:hyperlink>
      <w:r w:rsidR="00E55E85" w:rsidRPr="00AC3E45">
        <w:rPr>
          <w:sz w:val="24"/>
          <w:lang w:val="da-DK"/>
        </w:rPr>
        <w:t>).</w:t>
      </w:r>
    </w:p>
    <w:p w14:paraId="0B8C534F" w14:textId="4F4DC84E" w:rsidR="00E55E85" w:rsidRPr="00AC3E45" w:rsidRDefault="00AC3E45" w:rsidP="00AC3E45">
      <w:pPr>
        <w:pStyle w:val="FootnoteText"/>
        <w:ind w:left="567" w:hanging="567"/>
        <w:rPr>
          <w:sz w:val="24"/>
          <w:lang w:val="da-DK"/>
        </w:rPr>
      </w:pPr>
      <w:r w:rsidRPr="00AC3E45">
        <w:rPr>
          <w:sz w:val="24"/>
          <w:lang w:val="da-DK"/>
        </w:rPr>
        <w:t xml:space="preserve"> </w:t>
      </w:r>
      <w:r w:rsidRPr="00AC3E45">
        <w:rPr>
          <w:sz w:val="24"/>
          <w:lang w:val="da-DK"/>
        </w:rPr>
        <w:tab/>
      </w:r>
      <w:r w:rsidR="00E55E85" w:rsidRPr="00AC3E45">
        <w:rPr>
          <w:sz w:val="24"/>
          <w:lang w:val="da-DK"/>
        </w:rPr>
        <w:t>–</w:t>
      </w:r>
      <w:r w:rsidR="00E55E85" w:rsidRPr="00AC3E45">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w:t>
      </w:r>
      <w:r w:rsidR="0090554C">
        <w:rPr>
          <w:sz w:val="24"/>
          <w:lang w:val="da-DK"/>
        </w:rPr>
        <w:t> </w:t>
      </w:r>
      <w:r w:rsidR="00E55E85" w:rsidRPr="00AC3E45">
        <w:rPr>
          <w:sz w:val="24"/>
          <w:lang w:val="da-DK"/>
        </w:rPr>
        <w:t>1829/2003 (P10_</w:t>
      </w:r>
      <w:proofErr w:type="gramStart"/>
      <w:r w:rsidR="00E55E85" w:rsidRPr="00AC3E45">
        <w:rPr>
          <w:sz w:val="24"/>
          <w:lang w:val="da-DK"/>
        </w:rPr>
        <w:t>TA(</w:t>
      </w:r>
      <w:proofErr w:type="gramEnd"/>
      <w:r w:rsidR="00E55E85" w:rsidRPr="00AC3E45">
        <w:rPr>
          <w:sz w:val="24"/>
          <w:lang w:val="da-DK"/>
        </w:rPr>
        <w:t>2025)0106).</w:t>
      </w:r>
    </w:p>
  </w:footnote>
  <w:footnote w:id="6">
    <w:p w14:paraId="2164BDC4" w14:textId="3E9A956D"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Europa-Parlamentets og Rådets forordning (EF) nr. 1107/2009 af 21. oktober 2009 om markedsføring af plantebeskyttelsesmidler og om ophævelse af Rådets direktiv 79/117/EØF og 91/414/EØF (EUT L 309 af 24.11.2009, s. 1 ELI: </w:t>
      </w:r>
      <w:hyperlink r:id="rId7" w:tooltip="Giver adgang til dokumentet via dets ELI URI." w:history="1">
        <w:r w:rsidRPr="00AC3E45">
          <w:rPr>
            <w:rStyle w:val="Hyperlink"/>
            <w:sz w:val="24"/>
            <w:lang w:val="da-DK"/>
          </w:rPr>
          <w:t>http://data.europa.eu/eli/reg/2009/1107/oj</w:t>
        </w:r>
      </w:hyperlink>
      <w:r w:rsidRPr="00AC3E45">
        <w:rPr>
          <w:sz w:val="24"/>
          <w:lang w:val="da-DK"/>
        </w:rPr>
        <w:t>).</w:t>
      </w:r>
    </w:p>
  </w:footnote>
  <w:footnote w:id="7">
    <w:p w14:paraId="30D0C74B" w14:textId="71A4777D"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8" w:history="1">
        <w:r w:rsidRPr="00AC3E45">
          <w:rPr>
            <w:rStyle w:val="Hyperlink"/>
            <w:sz w:val="24"/>
            <w:lang w:val="da-DK"/>
          </w:rPr>
          <w:t>https://www.testbiotech.org/wp-content/uploads/2024/12/Testbiotech_comment_‌maize_DP51291.pdf</w:t>
        </w:r>
      </w:hyperlink>
      <w:r w:rsidRPr="00AC3E45">
        <w:rPr>
          <w:sz w:val="24"/>
          <w:lang w:val="da-DK"/>
        </w:rPr>
        <w:t>.</w:t>
      </w:r>
    </w:p>
  </w:footnote>
  <w:footnote w:id="8">
    <w:p w14:paraId="547A5FD6" w14:textId="531CA7C1"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Kommissionens gennemførelsesforordning (EU) nr.</w:t>
      </w:r>
      <w:r w:rsidR="0090554C">
        <w:rPr>
          <w:sz w:val="24"/>
          <w:lang w:val="da-DK"/>
        </w:rPr>
        <w:t> </w:t>
      </w:r>
      <w:r w:rsidRPr="00AC3E45">
        <w:rPr>
          <w:sz w:val="24"/>
          <w:lang w:val="da-DK"/>
        </w:rPr>
        <w:t>503/2013 af 3. april 2013 om ansøgninger om tilladelse til genetisk modificerede fødevarer og foderstoffer i henhold til Europa-Parlamentets og Rådets forordning (EF) nr.</w:t>
      </w:r>
      <w:r w:rsidR="0090554C">
        <w:rPr>
          <w:sz w:val="24"/>
          <w:lang w:val="da-DK"/>
        </w:rPr>
        <w:t> </w:t>
      </w:r>
      <w:r w:rsidRPr="00AC3E45">
        <w:rPr>
          <w:sz w:val="24"/>
          <w:lang w:val="da-DK"/>
        </w:rPr>
        <w:t>1829/2003 og om ændring af Kommissionens forordning (EF) nr.</w:t>
      </w:r>
      <w:r w:rsidR="0090554C">
        <w:rPr>
          <w:sz w:val="24"/>
          <w:lang w:val="da-DK"/>
        </w:rPr>
        <w:t> </w:t>
      </w:r>
      <w:r w:rsidRPr="00AC3E45">
        <w:rPr>
          <w:sz w:val="24"/>
          <w:lang w:val="da-DK"/>
        </w:rPr>
        <w:t>641/2004 og (EF) nr.</w:t>
      </w:r>
      <w:r w:rsidR="0090554C">
        <w:rPr>
          <w:sz w:val="24"/>
          <w:lang w:val="da-DK"/>
        </w:rPr>
        <w:t> </w:t>
      </w:r>
      <w:r w:rsidRPr="00AC3E45">
        <w:rPr>
          <w:sz w:val="24"/>
          <w:lang w:val="da-DK"/>
        </w:rPr>
        <w:t xml:space="preserve">1981/2006 (EUT L 157 af 8.6.2013, s. 1, ELI: </w:t>
      </w:r>
      <w:hyperlink r:id="rId9" w:history="1">
        <w:r w:rsidRPr="00AC3E45">
          <w:rPr>
            <w:rStyle w:val="Hyperlink"/>
            <w:sz w:val="24"/>
            <w:lang w:val="da-DK"/>
          </w:rPr>
          <w:t>http://data.europa.eu/eli/reg_impl/2013/503/oj</w:t>
        </w:r>
      </w:hyperlink>
      <w:r w:rsidRPr="00AC3E45">
        <w:rPr>
          <w:sz w:val="24"/>
          <w:lang w:val="da-DK"/>
        </w:rPr>
        <w:t>).</w:t>
      </w:r>
    </w:p>
  </w:footnote>
  <w:footnote w:id="9">
    <w:p w14:paraId="75BB7B8A" w14:textId="71C3D430"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proofErr w:type="spellStart"/>
      <w:r w:rsidRPr="00AC3E45">
        <w:rPr>
          <w:sz w:val="24"/>
          <w:lang w:val="da-DK"/>
        </w:rPr>
        <w:t>Trtikova</w:t>
      </w:r>
      <w:proofErr w:type="spellEnd"/>
      <w:r w:rsidRPr="00AC3E45">
        <w:rPr>
          <w:sz w:val="24"/>
          <w:lang w:val="da-DK"/>
        </w:rPr>
        <w:t xml:space="preserve">, M., </w:t>
      </w:r>
      <w:proofErr w:type="spellStart"/>
      <w:r w:rsidRPr="00AC3E45">
        <w:rPr>
          <w:sz w:val="24"/>
          <w:lang w:val="da-DK"/>
        </w:rPr>
        <w:t>Wikmark</w:t>
      </w:r>
      <w:proofErr w:type="spellEnd"/>
      <w:r w:rsidRPr="00AC3E45">
        <w:rPr>
          <w:sz w:val="24"/>
          <w:lang w:val="da-DK"/>
        </w:rPr>
        <w:t xml:space="preserve"> O. G., </w:t>
      </w:r>
      <w:proofErr w:type="spellStart"/>
      <w:r w:rsidRPr="00AC3E45">
        <w:rPr>
          <w:sz w:val="24"/>
          <w:lang w:val="da-DK"/>
        </w:rPr>
        <w:t>Zemp</w:t>
      </w:r>
      <w:proofErr w:type="spellEnd"/>
      <w:r w:rsidRPr="00AC3E45">
        <w:rPr>
          <w:sz w:val="24"/>
          <w:lang w:val="da-DK"/>
        </w:rPr>
        <w:t xml:space="preserve">, N., </w:t>
      </w:r>
      <w:proofErr w:type="spellStart"/>
      <w:r w:rsidRPr="00AC3E45">
        <w:rPr>
          <w:sz w:val="24"/>
          <w:lang w:val="da-DK"/>
        </w:rPr>
        <w:t>Widmer</w:t>
      </w:r>
      <w:proofErr w:type="spellEnd"/>
      <w:r w:rsidRPr="00AC3E45">
        <w:rPr>
          <w:sz w:val="24"/>
          <w:lang w:val="da-DK"/>
        </w:rPr>
        <w:t xml:space="preserve">, A., </w:t>
      </w:r>
      <w:proofErr w:type="spellStart"/>
      <w:r w:rsidRPr="00AC3E45">
        <w:rPr>
          <w:sz w:val="24"/>
          <w:lang w:val="da-DK"/>
        </w:rPr>
        <w:t>Hilbeck</w:t>
      </w:r>
      <w:proofErr w:type="spellEnd"/>
      <w:r w:rsidRPr="00AC3E45">
        <w:rPr>
          <w:sz w:val="24"/>
          <w:lang w:val="da-DK"/>
        </w:rPr>
        <w:t xml:space="preserve">, A., (2015) "Transgene Expression and Bt Protein Content in </w:t>
      </w:r>
      <w:proofErr w:type="spellStart"/>
      <w:r w:rsidRPr="00AC3E45">
        <w:rPr>
          <w:sz w:val="24"/>
          <w:lang w:val="da-DK"/>
        </w:rPr>
        <w:t>Transgenic</w:t>
      </w:r>
      <w:proofErr w:type="spellEnd"/>
      <w:r w:rsidRPr="00AC3E45">
        <w:rPr>
          <w:sz w:val="24"/>
          <w:lang w:val="da-DK"/>
        </w:rPr>
        <w:t xml:space="preserve"> Bt </w:t>
      </w:r>
      <w:proofErr w:type="spellStart"/>
      <w:r w:rsidRPr="00AC3E45">
        <w:rPr>
          <w:sz w:val="24"/>
          <w:lang w:val="da-DK"/>
        </w:rPr>
        <w:t>Maize</w:t>
      </w:r>
      <w:proofErr w:type="spellEnd"/>
      <w:r w:rsidRPr="00AC3E45">
        <w:rPr>
          <w:sz w:val="24"/>
          <w:lang w:val="da-DK"/>
        </w:rPr>
        <w:t xml:space="preserve"> (MON810) under Optimal and Stressful </w:t>
      </w:r>
      <w:proofErr w:type="spellStart"/>
      <w:r w:rsidRPr="00AC3E45">
        <w:rPr>
          <w:sz w:val="24"/>
          <w:lang w:val="da-DK"/>
        </w:rPr>
        <w:t>Environmental</w:t>
      </w:r>
      <w:proofErr w:type="spellEnd"/>
      <w:r w:rsidRPr="00AC3E45">
        <w:rPr>
          <w:sz w:val="24"/>
          <w:lang w:val="da-DK"/>
        </w:rPr>
        <w:t xml:space="preserve"> </w:t>
      </w:r>
      <w:proofErr w:type="spellStart"/>
      <w:r w:rsidRPr="00AC3E45">
        <w:rPr>
          <w:sz w:val="24"/>
          <w:lang w:val="da-DK"/>
        </w:rPr>
        <w:t>Conditions</w:t>
      </w:r>
      <w:proofErr w:type="spellEnd"/>
      <w:r w:rsidRPr="00AC3E45">
        <w:rPr>
          <w:sz w:val="24"/>
          <w:lang w:val="da-DK"/>
        </w:rPr>
        <w:t xml:space="preserve">", </w:t>
      </w:r>
      <w:proofErr w:type="spellStart"/>
      <w:r w:rsidRPr="00AC3E45">
        <w:rPr>
          <w:sz w:val="24"/>
          <w:lang w:val="da-DK"/>
        </w:rPr>
        <w:t>PLoS</w:t>
      </w:r>
      <w:proofErr w:type="spellEnd"/>
      <w:r w:rsidRPr="00AC3E45">
        <w:rPr>
          <w:sz w:val="24"/>
          <w:lang w:val="da-DK"/>
        </w:rPr>
        <w:t xml:space="preserve"> ONE 10(4): e0123011, </w:t>
      </w:r>
      <w:hyperlink r:id="rId10" w:history="1">
        <w:r w:rsidRPr="00AC3E45">
          <w:rPr>
            <w:rStyle w:val="Hyperlink"/>
            <w:sz w:val="24"/>
            <w:lang w:val="da-DK"/>
          </w:rPr>
          <w:t>https://doi.org/10.1371/journal.pone.0123011</w:t>
        </w:r>
      </w:hyperlink>
      <w:r w:rsidRPr="00AC3E45">
        <w:rPr>
          <w:sz w:val="24"/>
          <w:lang w:val="da-DK"/>
        </w:rPr>
        <w:t>.</w:t>
      </w:r>
    </w:p>
  </w:footnote>
  <w:footnote w:id="10">
    <w:p w14:paraId="347F656E" w14:textId="197E01DF"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Se eksempelvis Schulz, R., </w:t>
      </w:r>
      <w:proofErr w:type="spellStart"/>
      <w:r w:rsidRPr="00AC3E45">
        <w:rPr>
          <w:sz w:val="24"/>
          <w:lang w:val="da-DK"/>
        </w:rPr>
        <w:t>Bub</w:t>
      </w:r>
      <w:proofErr w:type="spellEnd"/>
      <w:r w:rsidRPr="00AC3E45">
        <w:rPr>
          <w:sz w:val="24"/>
          <w:lang w:val="da-DK"/>
        </w:rPr>
        <w:t xml:space="preserve">, S., </w:t>
      </w:r>
      <w:proofErr w:type="spellStart"/>
      <w:r w:rsidRPr="00AC3E45">
        <w:rPr>
          <w:sz w:val="24"/>
          <w:lang w:val="da-DK"/>
        </w:rPr>
        <w:t>Petschick</w:t>
      </w:r>
      <w:proofErr w:type="spellEnd"/>
      <w:r w:rsidRPr="00AC3E45">
        <w:rPr>
          <w:sz w:val="24"/>
          <w:lang w:val="da-DK"/>
        </w:rPr>
        <w:t xml:space="preserve">, L. L., </w:t>
      </w:r>
      <w:proofErr w:type="spellStart"/>
      <w:r w:rsidRPr="00AC3E45">
        <w:rPr>
          <w:sz w:val="24"/>
          <w:lang w:val="da-DK"/>
        </w:rPr>
        <w:t>Stehle</w:t>
      </w:r>
      <w:proofErr w:type="spellEnd"/>
      <w:r w:rsidRPr="00AC3E45">
        <w:rPr>
          <w:sz w:val="24"/>
          <w:lang w:val="da-DK"/>
        </w:rPr>
        <w:t xml:space="preserve">, S., Wolfram, J. (2021), "Applied </w:t>
      </w:r>
      <w:proofErr w:type="spellStart"/>
      <w:r w:rsidRPr="00AC3E45">
        <w:rPr>
          <w:sz w:val="24"/>
          <w:lang w:val="da-DK"/>
        </w:rPr>
        <w:t>pesticide</w:t>
      </w:r>
      <w:proofErr w:type="spellEnd"/>
      <w:r w:rsidRPr="00AC3E45">
        <w:rPr>
          <w:sz w:val="24"/>
          <w:lang w:val="da-DK"/>
        </w:rPr>
        <w:t xml:space="preserve"> </w:t>
      </w:r>
      <w:proofErr w:type="spellStart"/>
      <w:r w:rsidRPr="00AC3E45">
        <w:rPr>
          <w:sz w:val="24"/>
          <w:lang w:val="da-DK"/>
        </w:rPr>
        <w:t>toxicity</w:t>
      </w:r>
      <w:proofErr w:type="spellEnd"/>
      <w:r w:rsidRPr="00AC3E45">
        <w:rPr>
          <w:sz w:val="24"/>
          <w:lang w:val="da-DK"/>
        </w:rPr>
        <w:t xml:space="preserve"> shifts </w:t>
      </w:r>
      <w:proofErr w:type="spellStart"/>
      <w:r w:rsidRPr="00AC3E45">
        <w:rPr>
          <w:sz w:val="24"/>
          <w:lang w:val="da-DK"/>
        </w:rPr>
        <w:t>toward</w:t>
      </w:r>
      <w:proofErr w:type="spellEnd"/>
      <w:r w:rsidRPr="00AC3E45">
        <w:rPr>
          <w:sz w:val="24"/>
          <w:lang w:val="da-DK"/>
        </w:rPr>
        <w:t xml:space="preserve"> </w:t>
      </w:r>
      <w:proofErr w:type="spellStart"/>
      <w:r w:rsidRPr="00AC3E45">
        <w:rPr>
          <w:sz w:val="24"/>
          <w:lang w:val="da-DK"/>
        </w:rPr>
        <w:t>plants</w:t>
      </w:r>
      <w:proofErr w:type="spellEnd"/>
      <w:r w:rsidRPr="00AC3E45">
        <w:rPr>
          <w:sz w:val="24"/>
          <w:lang w:val="da-DK"/>
        </w:rPr>
        <w:t xml:space="preserve"> and </w:t>
      </w:r>
      <w:proofErr w:type="spellStart"/>
      <w:r w:rsidRPr="00AC3E45">
        <w:rPr>
          <w:sz w:val="24"/>
          <w:lang w:val="da-DK"/>
        </w:rPr>
        <w:t>invertebrates</w:t>
      </w:r>
      <w:proofErr w:type="spellEnd"/>
      <w:r w:rsidRPr="00AC3E45">
        <w:rPr>
          <w:sz w:val="24"/>
          <w:lang w:val="da-DK"/>
        </w:rPr>
        <w:t xml:space="preserve">, </w:t>
      </w:r>
      <w:proofErr w:type="spellStart"/>
      <w:r w:rsidRPr="00AC3E45">
        <w:rPr>
          <w:sz w:val="24"/>
          <w:lang w:val="da-DK"/>
        </w:rPr>
        <w:t>even</w:t>
      </w:r>
      <w:proofErr w:type="spellEnd"/>
      <w:r w:rsidRPr="00AC3E45">
        <w:rPr>
          <w:sz w:val="24"/>
          <w:lang w:val="da-DK"/>
        </w:rPr>
        <w:t xml:space="preserve"> in GM </w:t>
      </w:r>
      <w:proofErr w:type="spellStart"/>
      <w:r w:rsidRPr="00AC3E45">
        <w:rPr>
          <w:sz w:val="24"/>
          <w:lang w:val="da-DK"/>
        </w:rPr>
        <w:t>crops</w:t>
      </w:r>
      <w:proofErr w:type="spellEnd"/>
      <w:r w:rsidRPr="00AC3E45">
        <w:rPr>
          <w:sz w:val="24"/>
          <w:lang w:val="da-DK"/>
        </w:rPr>
        <w:t xml:space="preserve">", Science 372(6537), s. 81-84, </w:t>
      </w:r>
      <w:hyperlink r:id="rId11" w:history="1">
        <w:r w:rsidRPr="00AC3E45">
          <w:rPr>
            <w:rStyle w:val="Hyperlink"/>
            <w:sz w:val="24"/>
            <w:lang w:val="da-DK"/>
          </w:rPr>
          <w:t>https://doi.org/10.1126/science.abe1148</w:t>
        </w:r>
      </w:hyperlink>
      <w:r w:rsidRPr="00AC3E45">
        <w:rPr>
          <w:sz w:val="24"/>
          <w:lang w:val="da-DK"/>
        </w:rPr>
        <w:t>, Bonny, S., "</w:t>
      </w:r>
      <w:proofErr w:type="spellStart"/>
      <w:r w:rsidRPr="00AC3E45">
        <w:rPr>
          <w:sz w:val="24"/>
          <w:lang w:val="da-DK"/>
        </w:rPr>
        <w:t>Genetically</w:t>
      </w:r>
      <w:proofErr w:type="spellEnd"/>
      <w:r w:rsidRPr="00AC3E45">
        <w:rPr>
          <w:sz w:val="24"/>
          <w:lang w:val="da-DK"/>
        </w:rPr>
        <w:t xml:space="preserve"> </w:t>
      </w:r>
      <w:proofErr w:type="spellStart"/>
      <w:r w:rsidRPr="00AC3E45">
        <w:rPr>
          <w:sz w:val="24"/>
          <w:lang w:val="da-DK"/>
        </w:rPr>
        <w:t>Modified</w:t>
      </w:r>
      <w:proofErr w:type="spellEnd"/>
      <w:r w:rsidRPr="00AC3E45">
        <w:rPr>
          <w:sz w:val="24"/>
          <w:lang w:val="da-DK"/>
        </w:rPr>
        <w:t xml:space="preserve"> </w:t>
      </w:r>
      <w:proofErr w:type="spellStart"/>
      <w:r w:rsidRPr="00AC3E45">
        <w:rPr>
          <w:sz w:val="24"/>
          <w:lang w:val="da-DK"/>
        </w:rPr>
        <w:t>Herbicide</w:t>
      </w:r>
      <w:proofErr w:type="spellEnd"/>
      <w:r w:rsidRPr="00AC3E45">
        <w:rPr>
          <w:sz w:val="24"/>
          <w:lang w:val="da-DK"/>
        </w:rPr>
        <w:t xml:space="preserve">-Tolerant </w:t>
      </w:r>
      <w:proofErr w:type="spellStart"/>
      <w:r w:rsidRPr="00AC3E45">
        <w:rPr>
          <w:sz w:val="24"/>
          <w:lang w:val="da-DK"/>
        </w:rPr>
        <w:t>Crops</w:t>
      </w:r>
      <w:proofErr w:type="spellEnd"/>
      <w:r w:rsidRPr="00AC3E45">
        <w:rPr>
          <w:sz w:val="24"/>
          <w:lang w:val="da-DK"/>
        </w:rPr>
        <w:t xml:space="preserve">, </w:t>
      </w:r>
      <w:proofErr w:type="spellStart"/>
      <w:r w:rsidRPr="00AC3E45">
        <w:rPr>
          <w:sz w:val="24"/>
          <w:lang w:val="da-DK"/>
        </w:rPr>
        <w:t>Weeds</w:t>
      </w:r>
      <w:proofErr w:type="spellEnd"/>
      <w:r w:rsidRPr="00AC3E45">
        <w:rPr>
          <w:sz w:val="24"/>
          <w:lang w:val="da-DK"/>
        </w:rPr>
        <w:t xml:space="preserve">, and </w:t>
      </w:r>
      <w:proofErr w:type="spellStart"/>
      <w:r w:rsidRPr="00AC3E45">
        <w:rPr>
          <w:sz w:val="24"/>
          <w:lang w:val="da-DK"/>
        </w:rPr>
        <w:t>Herbicides</w:t>
      </w:r>
      <w:proofErr w:type="spellEnd"/>
      <w:r w:rsidRPr="00AC3E45">
        <w:rPr>
          <w:sz w:val="24"/>
          <w:lang w:val="da-DK"/>
        </w:rPr>
        <w:t xml:space="preserve">: Overview and </w:t>
      </w:r>
      <w:proofErr w:type="spellStart"/>
      <w:r w:rsidRPr="00AC3E45">
        <w:rPr>
          <w:sz w:val="24"/>
          <w:lang w:val="da-DK"/>
        </w:rPr>
        <w:t>Impact</w:t>
      </w:r>
      <w:proofErr w:type="spellEnd"/>
      <w:r w:rsidRPr="00AC3E45">
        <w:rPr>
          <w:sz w:val="24"/>
          <w:lang w:val="da-DK"/>
        </w:rPr>
        <w:t xml:space="preserve">", </w:t>
      </w:r>
      <w:proofErr w:type="spellStart"/>
      <w:r w:rsidRPr="00AC3E45">
        <w:rPr>
          <w:sz w:val="24"/>
          <w:lang w:val="da-DK"/>
        </w:rPr>
        <w:t>Environmental</w:t>
      </w:r>
      <w:proofErr w:type="spellEnd"/>
      <w:r w:rsidRPr="00AC3E45">
        <w:rPr>
          <w:sz w:val="24"/>
          <w:lang w:val="da-DK"/>
        </w:rPr>
        <w:t xml:space="preserve"> Management, januar 2016;57(1), s. 31-48, </w:t>
      </w:r>
      <w:hyperlink r:id="rId12" w:history="1">
        <w:r w:rsidRPr="00AC3E45">
          <w:rPr>
            <w:rStyle w:val="Hyperlink"/>
            <w:sz w:val="24"/>
            <w:lang w:val="da-DK"/>
          </w:rPr>
          <w:t>https://www.ncbi.nlm.nih.gov/pubmed/26296738</w:t>
        </w:r>
      </w:hyperlink>
      <w:r w:rsidRPr="00AC3E45">
        <w:rPr>
          <w:sz w:val="24"/>
          <w:lang w:val="da-DK"/>
        </w:rPr>
        <w:t xml:space="preserve">, og </w:t>
      </w:r>
      <w:proofErr w:type="spellStart"/>
      <w:r w:rsidRPr="00AC3E45">
        <w:rPr>
          <w:sz w:val="24"/>
          <w:lang w:val="da-DK"/>
        </w:rPr>
        <w:t>Benbrook</w:t>
      </w:r>
      <w:proofErr w:type="spellEnd"/>
      <w:r w:rsidRPr="00AC3E45">
        <w:rPr>
          <w:sz w:val="24"/>
          <w:lang w:val="da-DK"/>
        </w:rPr>
        <w:t>, C.M., "</w:t>
      </w:r>
      <w:proofErr w:type="spellStart"/>
      <w:r w:rsidRPr="00AC3E45">
        <w:rPr>
          <w:sz w:val="24"/>
          <w:lang w:val="da-DK"/>
        </w:rPr>
        <w:t>Impacts</w:t>
      </w:r>
      <w:proofErr w:type="spellEnd"/>
      <w:r w:rsidRPr="00AC3E45">
        <w:rPr>
          <w:sz w:val="24"/>
          <w:lang w:val="da-DK"/>
        </w:rPr>
        <w:t xml:space="preserve"> of </w:t>
      </w:r>
      <w:proofErr w:type="spellStart"/>
      <w:r w:rsidRPr="00AC3E45">
        <w:rPr>
          <w:sz w:val="24"/>
          <w:lang w:val="da-DK"/>
        </w:rPr>
        <w:t>genetically</w:t>
      </w:r>
      <w:proofErr w:type="spellEnd"/>
      <w:r w:rsidRPr="00AC3E45">
        <w:rPr>
          <w:sz w:val="24"/>
          <w:lang w:val="da-DK"/>
        </w:rPr>
        <w:t xml:space="preserve"> </w:t>
      </w:r>
      <w:proofErr w:type="spellStart"/>
      <w:r w:rsidRPr="00AC3E45">
        <w:rPr>
          <w:sz w:val="24"/>
          <w:lang w:val="da-DK"/>
        </w:rPr>
        <w:t>engineered</w:t>
      </w:r>
      <w:proofErr w:type="spellEnd"/>
      <w:r w:rsidRPr="00AC3E45">
        <w:rPr>
          <w:sz w:val="24"/>
          <w:lang w:val="da-DK"/>
        </w:rPr>
        <w:t xml:space="preserve"> </w:t>
      </w:r>
      <w:proofErr w:type="spellStart"/>
      <w:r w:rsidRPr="00AC3E45">
        <w:rPr>
          <w:sz w:val="24"/>
          <w:lang w:val="da-DK"/>
        </w:rPr>
        <w:t>crops</w:t>
      </w:r>
      <w:proofErr w:type="spellEnd"/>
      <w:r w:rsidRPr="00AC3E45">
        <w:rPr>
          <w:sz w:val="24"/>
          <w:lang w:val="da-DK"/>
        </w:rPr>
        <w:t xml:space="preserve"> on </w:t>
      </w:r>
      <w:proofErr w:type="spellStart"/>
      <w:r w:rsidRPr="00AC3E45">
        <w:rPr>
          <w:sz w:val="24"/>
          <w:lang w:val="da-DK"/>
        </w:rPr>
        <w:t>pesticide</w:t>
      </w:r>
      <w:proofErr w:type="spellEnd"/>
      <w:r w:rsidRPr="00AC3E45">
        <w:rPr>
          <w:sz w:val="24"/>
          <w:lang w:val="da-DK"/>
        </w:rPr>
        <w:t xml:space="preserve"> </w:t>
      </w:r>
      <w:proofErr w:type="spellStart"/>
      <w:r w:rsidRPr="00AC3E45">
        <w:rPr>
          <w:sz w:val="24"/>
          <w:lang w:val="da-DK"/>
        </w:rPr>
        <w:t>use</w:t>
      </w:r>
      <w:proofErr w:type="spellEnd"/>
      <w:r w:rsidRPr="00AC3E45">
        <w:rPr>
          <w:sz w:val="24"/>
          <w:lang w:val="da-DK"/>
        </w:rPr>
        <w:t xml:space="preserve"> in the U.S. – the </w:t>
      </w:r>
      <w:proofErr w:type="spellStart"/>
      <w:r w:rsidRPr="00AC3E45">
        <w:rPr>
          <w:sz w:val="24"/>
          <w:lang w:val="da-DK"/>
        </w:rPr>
        <w:t>first</w:t>
      </w:r>
      <w:proofErr w:type="spellEnd"/>
      <w:r w:rsidRPr="00AC3E45">
        <w:rPr>
          <w:sz w:val="24"/>
          <w:lang w:val="da-DK"/>
        </w:rPr>
        <w:t xml:space="preserve"> </w:t>
      </w:r>
      <w:proofErr w:type="spellStart"/>
      <w:r w:rsidRPr="00AC3E45">
        <w:rPr>
          <w:sz w:val="24"/>
          <w:lang w:val="da-DK"/>
        </w:rPr>
        <w:t>sixteen</w:t>
      </w:r>
      <w:proofErr w:type="spellEnd"/>
      <w:r w:rsidRPr="00AC3E45">
        <w:rPr>
          <w:sz w:val="24"/>
          <w:lang w:val="da-DK"/>
        </w:rPr>
        <w:t xml:space="preserve"> </w:t>
      </w:r>
      <w:proofErr w:type="spellStart"/>
      <w:r w:rsidRPr="00AC3E45">
        <w:rPr>
          <w:sz w:val="24"/>
          <w:lang w:val="da-DK"/>
        </w:rPr>
        <w:t>years</w:t>
      </w:r>
      <w:proofErr w:type="spellEnd"/>
      <w:r w:rsidRPr="00AC3E45">
        <w:rPr>
          <w:sz w:val="24"/>
          <w:lang w:val="da-DK"/>
        </w:rPr>
        <w:t xml:space="preserve">", </w:t>
      </w:r>
      <w:proofErr w:type="spellStart"/>
      <w:r w:rsidRPr="00AC3E45">
        <w:rPr>
          <w:sz w:val="24"/>
          <w:lang w:val="da-DK"/>
        </w:rPr>
        <w:t>Environmental</w:t>
      </w:r>
      <w:proofErr w:type="spellEnd"/>
      <w:r w:rsidRPr="00AC3E45">
        <w:rPr>
          <w:sz w:val="24"/>
          <w:lang w:val="da-DK"/>
        </w:rPr>
        <w:t xml:space="preserve"> Sciences Europe, den 28. september 2012, bind 24(24), </w:t>
      </w:r>
      <w:hyperlink r:id="rId13" w:history="1">
        <w:r w:rsidRPr="00AC3E45">
          <w:rPr>
            <w:rStyle w:val="Hyperlink"/>
            <w:sz w:val="24"/>
            <w:lang w:val="da-DK"/>
          </w:rPr>
          <w:t>https://enveurope.springeropen.com/articles/10.1186/2190-4715-24-24</w:t>
        </w:r>
      </w:hyperlink>
      <w:r w:rsidRPr="00AC3E45">
        <w:rPr>
          <w:sz w:val="24"/>
          <w:lang w:val="da-DK"/>
        </w:rPr>
        <w:t>.</w:t>
      </w:r>
    </w:p>
  </w:footnote>
  <w:footnote w:id="11">
    <w:p w14:paraId="1662F006" w14:textId="2B91C557" w:rsidR="00E55E85" w:rsidRPr="00D2388C" w:rsidRDefault="00E55E85" w:rsidP="00AC3E45">
      <w:pPr>
        <w:pStyle w:val="FootnoteText"/>
        <w:ind w:left="567" w:hanging="567"/>
        <w:rPr>
          <w:sz w:val="24"/>
          <w:lang w:val="en-GB"/>
        </w:rPr>
      </w:pPr>
      <w:r w:rsidRPr="00AC3E45">
        <w:rPr>
          <w:rStyle w:val="FootnoteReference"/>
          <w:sz w:val="24"/>
          <w:lang w:val="da-DK"/>
        </w:rPr>
        <w:footnoteRef/>
      </w:r>
      <w:r w:rsidR="00AC3E45" w:rsidRPr="00D2388C">
        <w:rPr>
          <w:sz w:val="24"/>
          <w:lang w:val="en-GB"/>
        </w:rPr>
        <w:t xml:space="preserve"> </w:t>
      </w:r>
      <w:r w:rsidR="00AC3E45" w:rsidRPr="00D2388C">
        <w:rPr>
          <w:sz w:val="24"/>
          <w:lang w:val="en-GB"/>
        </w:rPr>
        <w:tab/>
      </w:r>
      <w:r w:rsidRPr="00D2388C">
        <w:rPr>
          <w:sz w:val="24"/>
          <w:lang w:val="en-GB"/>
        </w:rPr>
        <w:t xml:space="preserve">En </w:t>
      </w:r>
      <w:proofErr w:type="spellStart"/>
      <w:r w:rsidRPr="00D2388C">
        <w:rPr>
          <w:sz w:val="24"/>
          <w:lang w:val="en-GB"/>
        </w:rPr>
        <w:t>oversigt</w:t>
      </w:r>
      <w:proofErr w:type="spellEnd"/>
      <w:r w:rsidRPr="00D2388C">
        <w:rPr>
          <w:sz w:val="24"/>
          <w:lang w:val="en-GB"/>
        </w:rPr>
        <w:t xml:space="preserve"> </w:t>
      </w:r>
      <w:proofErr w:type="spellStart"/>
      <w:r w:rsidRPr="00D2388C">
        <w:rPr>
          <w:sz w:val="24"/>
          <w:lang w:val="en-GB"/>
        </w:rPr>
        <w:t>kan</w:t>
      </w:r>
      <w:proofErr w:type="spellEnd"/>
      <w:r w:rsidRPr="00D2388C">
        <w:rPr>
          <w:sz w:val="24"/>
          <w:lang w:val="en-GB"/>
        </w:rPr>
        <w:t xml:space="preserve"> </w:t>
      </w:r>
      <w:proofErr w:type="spellStart"/>
      <w:r w:rsidRPr="00D2388C">
        <w:rPr>
          <w:sz w:val="24"/>
          <w:lang w:val="en-GB"/>
        </w:rPr>
        <w:t>findes</w:t>
      </w:r>
      <w:proofErr w:type="spellEnd"/>
      <w:r w:rsidRPr="00D2388C">
        <w:rPr>
          <w:sz w:val="24"/>
          <w:lang w:val="en-GB"/>
        </w:rPr>
        <w:t xml:space="preserve"> </w:t>
      </w:r>
      <w:proofErr w:type="spellStart"/>
      <w:r w:rsidRPr="00D2388C">
        <w:rPr>
          <w:sz w:val="24"/>
          <w:lang w:val="en-GB"/>
        </w:rPr>
        <w:t>i</w:t>
      </w:r>
      <w:proofErr w:type="spellEnd"/>
      <w:r w:rsidRPr="00D2388C">
        <w:rPr>
          <w:sz w:val="24"/>
          <w:lang w:val="en-GB"/>
        </w:rPr>
        <w:t xml:space="preserve"> N. Rubio-Infante, L. Moreno-</w:t>
      </w:r>
      <w:proofErr w:type="spellStart"/>
      <w:r w:rsidRPr="00D2388C">
        <w:rPr>
          <w:sz w:val="24"/>
          <w:lang w:val="en-GB"/>
        </w:rPr>
        <w:t>Fierros</w:t>
      </w:r>
      <w:proofErr w:type="spellEnd"/>
      <w:r w:rsidRPr="00D2388C">
        <w:rPr>
          <w:sz w:val="24"/>
          <w:lang w:val="en-GB"/>
        </w:rPr>
        <w:t xml:space="preserve">, "An overview of the safety and biological effects of Bacillus thuringiensis Cry toxins in mammals", Journal of Applied Toxicology, </w:t>
      </w:r>
      <w:proofErr w:type="spellStart"/>
      <w:r w:rsidRPr="00D2388C">
        <w:rPr>
          <w:sz w:val="24"/>
          <w:lang w:val="en-GB"/>
        </w:rPr>
        <w:t>maj</w:t>
      </w:r>
      <w:proofErr w:type="spellEnd"/>
      <w:r w:rsidRPr="00D2388C">
        <w:rPr>
          <w:sz w:val="24"/>
          <w:lang w:val="en-GB"/>
        </w:rPr>
        <w:t xml:space="preserve"> 2016, 36(5), s. 630-648, </w:t>
      </w:r>
      <w:hyperlink r:id="rId14" w:history="1">
        <w:r w:rsidRPr="00D2388C">
          <w:rPr>
            <w:rStyle w:val="Hyperlink"/>
            <w:sz w:val="24"/>
            <w:lang w:val="en-GB"/>
          </w:rPr>
          <w:t>https://onlinelibrary.wiley.com/doi/full/10.1002/jat.3252</w:t>
        </w:r>
      </w:hyperlink>
      <w:r w:rsidRPr="00D2388C">
        <w:rPr>
          <w:sz w:val="24"/>
          <w:lang w:val="en-GB"/>
        </w:rPr>
        <w:t>.</w:t>
      </w:r>
    </w:p>
  </w:footnote>
  <w:footnote w:id="12">
    <w:p w14:paraId="6C9EDF75" w14:textId="4909B79E" w:rsidR="00E55E85" w:rsidRPr="00D2388C" w:rsidRDefault="00E55E85" w:rsidP="00AC3E45">
      <w:pPr>
        <w:pStyle w:val="FootnoteText"/>
        <w:ind w:left="567" w:hanging="567"/>
        <w:rPr>
          <w:sz w:val="24"/>
          <w:lang w:val="en-GB"/>
        </w:rPr>
      </w:pPr>
      <w:r w:rsidRPr="00AC3E45">
        <w:rPr>
          <w:rStyle w:val="FootnoteReference"/>
          <w:sz w:val="24"/>
          <w:lang w:val="da-DK"/>
        </w:rPr>
        <w:footnoteRef/>
      </w:r>
      <w:r w:rsidR="00AC3E45" w:rsidRPr="00D2388C">
        <w:rPr>
          <w:sz w:val="24"/>
          <w:lang w:val="en-GB"/>
        </w:rPr>
        <w:t xml:space="preserve"> </w:t>
      </w:r>
      <w:r w:rsidR="00AC3E45" w:rsidRPr="00D2388C">
        <w:rPr>
          <w:sz w:val="24"/>
          <w:lang w:val="en-GB"/>
        </w:rPr>
        <w:tab/>
      </w:r>
      <w:proofErr w:type="spellStart"/>
      <w:r w:rsidRPr="00D2388C">
        <w:rPr>
          <w:sz w:val="24"/>
          <w:lang w:val="en-GB"/>
        </w:rPr>
        <w:t>Bøhn</w:t>
      </w:r>
      <w:proofErr w:type="spellEnd"/>
      <w:r w:rsidRPr="00D2388C">
        <w:rPr>
          <w:sz w:val="24"/>
          <w:lang w:val="en-GB"/>
        </w:rPr>
        <w:t xml:space="preserve">, T., </w:t>
      </w:r>
      <w:proofErr w:type="spellStart"/>
      <w:r w:rsidRPr="00D2388C">
        <w:rPr>
          <w:sz w:val="24"/>
          <w:lang w:val="en-GB"/>
        </w:rPr>
        <w:t>Macagnan</w:t>
      </w:r>
      <w:proofErr w:type="spellEnd"/>
      <w:r w:rsidRPr="00D2388C">
        <w:rPr>
          <w:sz w:val="24"/>
          <w:lang w:val="en-GB"/>
        </w:rPr>
        <w:t xml:space="preserve"> Rover, C., </w:t>
      </w:r>
      <w:proofErr w:type="spellStart"/>
      <w:r w:rsidRPr="00D2388C">
        <w:rPr>
          <w:sz w:val="24"/>
          <w:lang w:val="en-GB"/>
        </w:rPr>
        <w:t>Semenchuk</w:t>
      </w:r>
      <w:proofErr w:type="spellEnd"/>
      <w:r w:rsidRPr="00D2388C">
        <w:rPr>
          <w:sz w:val="24"/>
          <w:lang w:val="en-GB"/>
        </w:rPr>
        <w:t>, P. R., "</w:t>
      </w:r>
      <w:r w:rsidRPr="00D2388C">
        <w:rPr>
          <w:i/>
          <w:sz w:val="24"/>
          <w:lang w:val="en-GB"/>
        </w:rPr>
        <w:t>Daphnia magna</w:t>
      </w:r>
      <w:r w:rsidRPr="00D2388C">
        <w:rPr>
          <w:sz w:val="24"/>
          <w:lang w:val="en-GB"/>
        </w:rPr>
        <w:t xml:space="preserve"> negatively affected by chronic exposure to purified Cry-toxins", Food and Chemical Toxicology, </w:t>
      </w:r>
      <w:proofErr w:type="spellStart"/>
      <w:r w:rsidRPr="00D2388C">
        <w:rPr>
          <w:sz w:val="24"/>
          <w:lang w:val="en-GB"/>
        </w:rPr>
        <w:t>maj</w:t>
      </w:r>
      <w:proofErr w:type="spellEnd"/>
      <w:r w:rsidRPr="00D2388C">
        <w:rPr>
          <w:sz w:val="24"/>
          <w:lang w:val="en-GB"/>
        </w:rPr>
        <w:t xml:space="preserve"> 2016, bind 91, s. 130-140, </w:t>
      </w:r>
      <w:hyperlink r:id="rId15" w:history="1">
        <w:r w:rsidRPr="00D2388C">
          <w:rPr>
            <w:rStyle w:val="Hyperlink"/>
            <w:sz w:val="24"/>
            <w:lang w:val="en-GB"/>
          </w:rPr>
          <w:t>https://doi.org/10.1016/j.fct.2016.03.009</w:t>
        </w:r>
      </w:hyperlink>
      <w:r w:rsidRPr="00D2388C">
        <w:rPr>
          <w:sz w:val="24"/>
          <w:lang w:val="en-GB"/>
        </w:rPr>
        <w:t>.</w:t>
      </w:r>
    </w:p>
  </w:footnote>
  <w:footnote w:id="13">
    <w:p w14:paraId="25EF7E12" w14:textId="0BD03B01" w:rsidR="00E55E85" w:rsidRPr="00D2388C" w:rsidRDefault="00E55E85" w:rsidP="00AC3E45">
      <w:pPr>
        <w:pStyle w:val="FootnoteText"/>
        <w:ind w:left="567" w:hanging="567"/>
        <w:rPr>
          <w:sz w:val="24"/>
          <w:lang w:val="en-GB"/>
        </w:rPr>
      </w:pPr>
      <w:r w:rsidRPr="00AC3E45">
        <w:rPr>
          <w:rStyle w:val="FootnoteReference"/>
          <w:sz w:val="24"/>
          <w:lang w:val="da-DK"/>
        </w:rPr>
        <w:footnoteRef/>
      </w:r>
      <w:r w:rsidR="00AC3E45" w:rsidRPr="00D2388C">
        <w:rPr>
          <w:sz w:val="24"/>
          <w:lang w:val="en-GB"/>
        </w:rPr>
        <w:t xml:space="preserve"> </w:t>
      </w:r>
      <w:r w:rsidR="00AC3E45" w:rsidRPr="00D2388C">
        <w:rPr>
          <w:sz w:val="24"/>
          <w:lang w:val="en-GB"/>
        </w:rPr>
        <w:tab/>
      </w:r>
      <w:proofErr w:type="spellStart"/>
      <w:r w:rsidRPr="00D2388C">
        <w:rPr>
          <w:sz w:val="24"/>
          <w:lang w:val="en-GB"/>
        </w:rPr>
        <w:t>Trtikova</w:t>
      </w:r>
      <w:proofErr w:type="spellEnd"/>
      <w:r w:rsidRPr="00D2388C">
        <w:rPr>
          <w:sz w:val="24"/>
          <w:lang w:val="en-GB"/>
        </w:rPr>
        <w:t xml:space="preserve">, M., </w:t>
      </w:r>
      <w:proofErr w:type="spellStart"/>
      <w:r w:rsidRPr="00D2388C">
        <w:rPr>
          <w:sz w:val="24"/>
          <w:lang w:val="en-GB"/>
        </w:rPr>
        <w:t>Lohn</w:t>
      </w:r>
      <w:proofErr w:type="spellEnd"/>
      <w:r w:rsidRPr="00D2388C">
        <w:rPr>
          <w:sz w:val="24"/>
          <w:lang w:val="en-GB"/>
        </w:rPr>
        <w:t xml:space="preserve">, A., </w:t>
      </w:r>
      <w:proofErr w:type="spellStart"/>
      <w:r w:rsidRPr="00D2388C">
        <w:rPr>
          <w:sz w:val="24"/>
          <w:lang w:val="en-GB"/>
        </w:rPr>
        <w:t>Binimelis</w:t>
      </w:r>
      <w:proofErr w:type="spellEnd"/>
      <w:r w:rsidRPr="00D2388C">
        <w:rPr>
          <w:sz w:val="24"/>
          <w:lang w:val="en-GB"/>
        </w:rPr>
        <w:t xml:space="preserve">, R., </w:t>
      </w:r>
      <w:proofErr w:type="spellStart"/>
      <w:r w:rsidRPr="00D2388C">
        <w:rPr>
          <w:sz w:val="24"/>
          <w:lang w:val="en-GB"/>
        </w:rPr>
        <w:t>Chapela</w:t>
      </w:r>
      <w:proofErr w:type="spellEnd"/>
      <w:r w:rsidRPr="00D2388C">
        <w:rPr>
          <w:sz w:val="24"/>
          <w:lang w:val="en-GB"/>
        </w:rPr>
        <w:t xml:space="preserve">, I., </w:t>
      </w:r>
      <w:proofErr w:type="spellStart"/>
      <w:r w:rsidRPr="00D2388C">
        <w:rPr>
          <w:sz w:val="24"/>
          <w:lang w:val="en-GB"/>
        </w:rPr>
        <w:t>Oehen</w:t>
      </w:r>
      <w:proofErr w:type="spellEnd"/>
      <w:r w:rsidRPr="00D2388C">
        <w:rPr>
          <w:sz w:val="24"/>
          <w:lang w:val="en-GB"/>
        </w:rPr>
        <w:t xml:space="preserve">, B., </w:t>
      </w:r>
      <w:proofErr w:type="spellStart"/>
      <w:r w:rsidRPr="00D2388C">
        <w:rPr>
          <w:sz w:val="24"/>
          <w:lang w:val="en-GB"/>
        </w:rPr>
        <w:t>Zemp</w:t>
      </w:r>
      <w:proofErr w:type="spellEnd"/>
      <w:r w:rsidRPr="00D2388C">
        <w:rPr>
          <w:sz w:val="24"/>
          <w:lang w:val="en-GB"/>
        </w:rPr>
        <w:t xml:space="preserve">, N., Widmer, A., </w:t>
      </w:r>
      <w:proofErr w:type="spellStart"/>
      <w:r w:rsidRPr="00D2388C">
        <w:rPr>
          <w:sz w:val="24"/>
          <w:lang w:val="en-GB"/>
        </w:rPr>
        <w:t>Hilbeck</w:t>
      </w:r>
      <w:proofErr w:type="spellEnd"/>
      <w:r w:rsidRPr="00D2388C">
        <w:rPr>
          <w:sz w:val="24"/>
          <w:lang w:val="en-GB"/>
        </w:rPr>
        <w:t xml:space="preserve">, A., (2017), "Teosinte in Europe – Searching for the Origin of a Novel Weed", Scientific Reports, 7:1560, </w:t>
      </w:r>
      <w:hyperlink r:id="rId16" w:history="1">
        <w:r w:rsidRPr="00D2388C">
          <w:rPr>
            <w:rStyle w:val="Hyperlink"/>
            <w:sz w:val="24"/>
            <w:lang w:val="en-GB"/>
          </w:rPr>
          <w:t>https://doi.org/10.1038/s41598-017-01478-w</w:t>
        </w:r>
      </w:hyperlink>
      <w:r w:rsidRPr="00D2388C">
        <w:rPr>
          <w:sz w:val="24"/>
          <w:lang w:val="en-GB"/>
        </w:rPr>
        <w:t>.</w:t>
      </w:r>
    </w:p>
  </w:footnote>
  <w:footnote w:id="14">
    <w:p w14:paraId="6FC44809" w14:textId="0514E15A"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"Strategic </w:t>
      </w:r>
      <w:proofErr w:type="spellStart"/>
      <w:r w:rsidRPr="00AC3E45">
        <w:rPr>
          <w:sz w:val="24"/>
          <w:lang w:val="da-DK"/>
        </w:rPr>
        <w:t>Dialogue</w:t>
      </w:r>
      <w:proofErr w:type="spellEnd"/>
      <w:r w:rsidRPr="00AC3E45">
        <w:rPr>
          <w:sz w:val="24"/>
          <w:lang w:val="da-DK"/>
        </w:rPr>
        <w:t xml:space="preserve"> on the Future of EU </w:t>
      </w:r>
      <w:proofErr w:type="spellStart"/>
      <w:r w:rsidRPr="00AC3E45">
        <w:rPr>
          <w:sz w:val="24"/>
          <w:lang w:val="da-DK"/>
        </w:rPr>
        <w:t>Agriculture</w:t>
      </w:r>
      <w:proofErr w:type="spellEnd"/>
      <w:r w:rsidRPr="00AC3E45">
        <w:rPr>
          <w:sz w:val="24"/>
          <w:lang w:val="da-DK"/>
        </w:rPr>
        <w:t xml:space="preserve"> – A </w:t>
      </w:r>
      <w:proofErr w:type="spellStart"/>
      <w:r w:rsidRPr="00AC3E45">
        <w:rPr>
          <w:sz w:val="24"/>
          <w:lang w:val="da-DK"/>
        </w:rPr>
        <w:t>shared</w:t>
      </w:r>
      <w:proofErr w:type="spellEnd"/>
      <w:r w:rsidRPr="00AC3E45">
        <w:rPr>
          <w:sz w:val="24"/>
          <w:lang w:val="da-DK"/>
        </w:rPr>
        <w:t xml:space="preserve"> prospect for </w:t>
      </w:r>
      <w:proofErr w:type="spellStart"/>
      <w:r w:rsidRPr="00AC3E45">
        <w:rPr>
          <w:sz w:val="24"/>
          <w:lang w:val="da-DK"/>
        </w:rPr>
        <w:t>farming</w:t>
      </w:r>
      <w:proofErr w:type="spellEnd"/>
      <w:r w:rsidRPr="00AC3E45">
        <w:rPr>
          <w:sz w:val="24"/>
          <w:lang w:val="da-DK"/>
        </w:rPr>
        <w:t xml:space="preserve"> and food in Europe" (Strategisk dialog om fremtiden for EU's landbrug – En fælles udsigt til landbrug og fødevarer i Europa), september 2024, </w:t>
      </w:r>
      <w:hyperlink r:id="rId17" w:history="1">
        <w:r w:rsidRPr="00AC3E45">
          <w:rPr>
            <w:rStyle w:val="Hyperlink"/>
            <w:sz w:val="24"/>
            <w:lang w:val="da-DK"/>
          </w:rPr>
          <w:t>https://agriculture.ec.europa.eu/document/download/171329ff-0f50-4fa5-946f-aea11032172e_en?filename=strategic-dialogue-report-2024_en.pdf</w:t>
        </w:r>
      </w:hyperlink>
      <w:r w:rsidRPr="00AC3E45">
        <w:rPr>
          <w:sz w:val="24"/>
          <w:lang w:val="da-DK"/>
        </w:rPr>
        <w:t xml:space="preserve">. </w:t>
      </w:r>
    </w:p>
  </w:footnote>
  <w:footnote w:id="15">
    <w:p w14:paraId="580C76C2" w14:textId="31809EA9"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18" w:history="1">
        <w:r w:rsidRPr="00AC3E45">
          <w:rPr>
            <w:rStyle w:val="Hyperlink"/>
            <w:sz w:val="24"/>
            <w:lang w:val="da-DK"/>
          </w:rPr>
          <w:t>https://www.ohchr.org/en/documents/thematic-reports/ahrc3448-report-special-rapporteur-right-food</w:t>
        </w:r>
      </w:hyperlink>
      <w:r w:rsidRPr="00AC3E45">
        <w:rPr>
          <w:sz w:val="24"/>
          <w:lang w:val="da-DK"/>
        </w:rPr>
        <w:t xml:space="preserve">. </w:t>
      </w:r>
    </w:p>
  </w:footnote>
  <w:footnote w:id="16">
    <w:p w14:paraId="7134C31F" w14:textId="0919651A"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19" w:history="1">
        <w:r w:rsidRPr="00AC3E45">
          <w:rPr>
            <w:rStyle w:val="Hyperlink"/>
            <w:sz w:val="24"/>
            <w:lang w:val="da-DK"/>
          </w:rPr>
          <w:t>https://www.un.org/sustainabledevelopment/health/</w:t>
        </w:r>
      </w:hyperlink>
      <w:r w:rsidRPr="00AC3E45">
        <w:rPr>
          <w:sz w:val="24"/>
          <w:lang w:val="da-DK"/>
        </w:rPr>
        <w:t xml:space="preserve">. </w:t>
      </w:r>
    </w:p>
  </w:footnote>
  <w:footnote w:id="17">
    <w:p w14:paraId="102E6384" w14:textId="3301C8BE"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20" w:history="1">
        <w:r w:rsidRPr="00AC3E45">
          <w:rPr>
            <w:rStyle w:val="Hyperlink"/>
            <w:sz w:val="24"/>
            <w:lang w:val="da-DK"/>
          </w:rPr>
          <w:t>https://ec.europa.eu/commission/presscorner/detail/da/ip_22_7834</w:t>
        </w:r>
      </w:hyperlink>
      <w:r w:rsidRPr="00AC3E45">
        <w:rPr>
          <w:sz w:val="24"/>
          <w:lang w:val="da-DK"/>
        </w:rPr>
        <w:t xml:space="preserve">. </w:t>
      </w:r>
    </w:p>
  </w:footnote>
  <w:footnote w:id="18">
    <w:p w14:paraId="5EAC7E1E" w14:textId="5778EC3C"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21" w:history="1">
        <w:r w:rsidRPr="00AC3E45">
          <w:rPr>
            <w:rStyle w:val="Hyperlink"/>
            <w:sz w:val="24"/>
            <w:lang w:val="da-DK"/>
          </w:rPr>
          <w:t>https://commission.europa.eu/document/2c64e540-c07a-4376-a1da-368d289f4afe_en?prefLang=da</w:t>
        </w:r>
      </w:hyperlink>
      <w:r w:rsidRPr="00AC3E45">
        <w:rPr>
          <w:sz w:val="24"/>
          <w:lang w:val="da-DK"/>
        </w:rPr>
        <w:t>.</w:t>
      </w:r>
    </w:p>
  </w:footnote>
  <w:footnote w:id="19">
    <w:p w14:paraId="1A6F2376" w14:textId="45F7B409"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20">
    <w:p w14:paraId="34B0222F" w14:textId="07F6AAAC"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22" w:history="1">
        <w:r w:rsidRPr="00AC3E45">
          <w:rPr>
            <w:rStyle w:val="Hyperlink"/>
            <w:sz w:val="24"/>
            <w:lang w:val="da-DK"/>
          </w:rPr>
          <w:t>https://food.ec.europa.eu/document/download/ee1a5aed-5303-4c32-bb59-813143a1df47_en?filename=sc_modif-genet_20250613_sum.pdf</w:t>
        </w:r>
      </w:hyperlink>
      <w:r w:rsidRPr="00AC3E45">
        <w:rPr>
          <w:sz w:val="24"/>
          <w:lang w:val="da-DK"/>
        </w:rPr>
        <w:t>.</w:t>
      </w:r>
    </w:p>
  </w:footnote>
  <w:footnote w:id="21">
    <w:p w14:paraId="641C4761" w14:textId="2F7E87AC"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Europa-Parlamentets og Rådets forordning (EF) nr.</w:t>
      </w:r>
      <w:r w:rsidR="0090554C">
        <w:rPr>
          <w:sz w:val="24"/>
          <w:lang w:val="da-DK"/>
        </w:rPr>
        <w:t> </w:t>
      </w:r>
      <w:r w:rsidRPr="00AC3E45">
        <w:rPr>
          <w:sz w:val="24"/>
          <w:lang w:val="da-DK"/>
        </w:rPr>
        <w:t>178/2002 af 28. januar 2002 om generelle principper og krav i fødevarelovgivningen, om oprettelse af Den Europæiske Fødevaresikkerhedsautoritet og om procedurer vedrørende fødevaresikkerhed (E</w:t>
      </w:r>
      <w:r w:rsidR="00B54926">
        <w:rPr>
          <w:sz w:val="24"/>
          <w:lang w:val="da-DK"/>
        </w:rPr>
        <w:t>F</w:t>
      </w:r>
      <w:r w:rsidRPr="00AC3E45">
        <w:rPr>
          <w:sz w:val="24"/>
          <w:lang w:val="da-DK"/>
        </w:rPr>
        <w:t>T L 31 af 1.2.20</w:t>
      </w:r>
      <w:r w:rsidR="00B54926">
        <w:rPr>
          <w:sz w:val="24"/>
          <w:lang w:val="da-DK"/>
        </w:rPr>
        <w:t>0</w:t>
      </w:r>
      <w:r w:rsidRPr="00AC3E45">
        <w:rPr>
          <w:sz w:val="24"/>
          <w:lang w:val="da-DK"/>
        </w:rPr>
        <w:t xml:space="preserve">2, s. 1, ELI: </w:t>
      </w:r>
      <w:hyperlink r:id="rId23" w:history="1">
        <w:r w:rsidRPr="00AC3E45">
          <w:rPr>
            <w:rStyle w:val="Hyperlink"/>
            <w:sz w:val="24"/>
            <w:lang w:val="da-DK"/>
          </w:rPr>
          <w:t>http://data.europa.eu/eli/reg/2002/178/oj</w:t>
        </w:r>
      </w:hyperlink>
      <w:r w:rsidRPr="00AC3E45">
        <w:rPr>
          <w:sz w:val="24"/>
          <w:lang w:val="da-DK"/>
        </w:rPr>
        <w:t>).</w:t>
      </w:r>
    </w:p>
  </w:footnote>
  <w:footnote w:id="22">
    <w:p w14:paraId="2BEB3A11" w14:textId="5EAFEDED"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 xml:space="preserve">Som beskrevet i bilaget til Kommissionens meddelelse af 14. oktober 2020 med titlen "En kemikaliestrategi med bæredygtighed for øje – På vej mod et giftfrit miljø", </w:t>
      </w:r>
      <w:proofErr w:type="gramStart"/>
      <w:r w:rsidRPr="00AC3E45">
        <w:rPr>
          <w:sz w:val="24"/>
          <w:lang w:val="da-DK"/>
        </w:rPr>
        <w:t>COM(</w:t>
      </w:r>
      <w:proofErr w:type="gramEnd"/>
      <w:r w:rsidRPr="00AC3E45">
        <w:rPr>
          <w:sz w:val="24"/>
          <w:lang w:val="da-DK"/>
        </w:rPr>
        <w:t xml:space="preserve">2020)0667, </w:t>
      </w:r>
      <w:hyperlink r:id="rId24" w:anchor="document2" w:history="1">
        <w:r w:rsidRPr="00AC3E45">
          <w:rPr>
            <w:rStyle w:val="Hyperlink"/>
            <w:sz w:val="24"/>
            <w:lang w:val="da-DK"/>
          </w:rPr>
          <w:t>https://eur-lex.europa.eu/legal-content/DA/TXT/?uri=COM%3A2020%3A667%3AFIN#document2</w:t>
        </w:r>
      </w:hyperlink>
      <w:r w:rsidRPr="00AC3E45">
        <w:rPr>
          <w:sz w:val="24"/>
          <w:lang w:val="da-DK"/>
        </w:rPr>
        <w:t>.</w:t>
      </w:r>
    </w:p>
  </w:footnote>
  <w:footnote w:id="23">
    <w:p w14:paraId="7A1F723E" w14:textId="58C30470"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hyperlink r:id="rId25" w:history="1">
        <w:r w:rsidRPr="00AC3E45">
          <w:rPr>
            <w:rStyle w:val="Hyperlink"/>
            <w:sz w:val="24"/>
            <w:lang w:val="da-DK"/>
          </w:rPr>
          <w:t>https://tillymetz.lu/wp-content/uploads/2020/09/Co-signed-letter-MEP-Metz.pdf</w:t>
        </w:r>
      </w:hyperlink>
      <w:r w:rsidRPr="00AC3E45">
        <w:rPr>
          <w:sz w:val="24"/>
          <w:lang w:val="da-DK"/>
        </w:rPr>
        <w:t xml:space="preserve">. </w:t>
      </w:r>
    </w:p>
  </w:footnote>
  <w:footnote w:id="24">
    <w:p w14:paraId="236EAD16" w14:textId="128C2460" w:rsidR="00E55E85" w:rsidRPr="00AC3E45" w:rsidRDefault="00E55E85" w:rsidP="00AC3E45">
      <w:pPr>
        <w:pStyle w:val="FootnoteText"/>
        <w:ind w:left="567" w:hanging="567"/>
        <w:rPr>
          <w:sz w:val="24"/>
          <w:lang w:val="da-DK"/>
        </w:rPr>
      </w:pPr>
      <w:r w:rsidRPr="00AC3E45">
        <w:rPr>
          <w:rStyle w:val="FootnoteReference"/>
          <w:sz w:val="24"/>
          <w:lang w:val="da-DK"/>
        </w:rPr>
        <w:footnoteRef/>
      </w:r>
      <w:r w:rsidR="00AC3E45" w:rsidRPr="00AC3E45">
        <w:rPr>
          <w:sz w:val="24"/>
          <w:lang w:val="da-DK"/>
        </w:rPr>
        <w:t xml:space="preserve"> </w:t>
      </w:r>
      <w:r w:rsidR="00AC3E45" w:rsidRPr="00AC3E45">
        <w:rPr>
          <w:sz w:val="24"/>
          <w:lang w:val="da-DK"/>
        </w:rPr>
        <w:tab/>
      </w:r>
      <w:r w:rsidRPr="00AC3E45">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A5BA" w14:textId="77777777" w:rsidR="00064002" w:rsidRPr="00AC3E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19BA5" w14:textId="77777777" w:rsidR="00064002" w:rsidRPr="00AC3E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3441" w14:textId="77777777" w:rsidR="00064002" w:rsidRPr="00AC3E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0732649">
    <w:abstractNumId w:val="9"/>
  </w:num>
  <w:num w:numId="2" w16cid:durableId="566768909">
    <w:abstractNumId w:val="9"/>
  </w:num>
  <w:num w:numId="3" w16cid:durableId="735126178">
    <w:abstractNumId w:val="7"/>
  </w:num>
  <w:num w:numId="4" w16cid:durableId="2012172609">
    <w:abstractNumId w:val="7"/>
  </w:num>
  <w:num w:numId="5" w16cid:durableId="1763912749">
    <w:abstractNumId w:val="6"/>
  </w:num>
  <w:num w:numId="6" w16cid:durableId="31270244">
    <w:abstractNumId w:val="6"/>
  </w:num>
  <w:num w:numId="7" w16cid:durableId="1962959188">
    <w:abstractNumId w:val="5"/>
  </w:num>
  <w:num w:numId="8" w16cid:durableId="1906066990">
    <w:abstractNumId w:val="5"/>
  </w:num>
  <w:num w:numId="9" w16cid:durableId="147946118">
    <w:abstractNumId w:val="4"/>
  </w:num>
  <w:num w:numId="10" w16cid:durableId="810945262">
    <w:abstractNumId w:val="4"/>
  </w:num>
  <w:num w:numId="11" w16cid:durableId="1832986065">
    <w:abstractNumId w:val="8"/>
  </w:num>
  <w:num w:numId="12" w16cid:durableId="1732579317">
    <w:abstractNumId w:val="8"/>
  </w:num>
  <w:num w:numId="13" w16cid:durableId="1933467150">
    <w:abstractNumId w:val="3"/>
  </w:num>
  <w:num w:numId="14" w16cid:durableId="85076603">
    <w:abstractNumId w:val="3"/>
  </w:num>
  <w:num w:numId="15" w16cid:durableId="235625568">
    <w:abstractNumId w:val="2"/>
  </w:num>
  <w:num w:numId="16" w16cid:durableId="1272661868">
    <w:abstractNumId w:val="2"/>
  </w:num>
  <w:num w:numId="17" w16cid:durableId="1552615699">
    <w:abstractNumId w:val="1"/>
  </w:num>
  <w:num w:numId="18" w16cid:durableId="785193888">
    <w:abstractNumId w:val="1"/>
  </w:num>
  <w:num w:numId="19" w16cid:durableId="1356615513">
    <w:abstractNumId w:val="0"/>
  </w:num>
  <w:num w:numId="20" w16cid:durableId="346057436">
    <w:abstractNumId w:val="0"/>
  </w:num>
  <w:num w:numId="21" w16cid:durableId="1595626795">
    <w:abstractNumId w:val="9"/>
  </w:num>
  <w:num w:numId="22" w16cid:durableId="1090467513">
    <w:abstractNumId w:val="7"/>
  </w:num>
  <w:num w:numId="23" w16cid:durableId="1055596">
    <w:abstractNumId w:val="6"/>
  </w:num>
  <w:num w:numId="24" w16cid:durableId="690768300">
    <w:abstractNumId w:val="5"/>
  </w:num>
  <w:num w:numId="25" w16cid:durableId="556820950">
    <w:abstractNumId w:val="4"/>
  </w:num>
  <w:num w:numId="26" w16cid:durableId="1266695189">
    <w:abstractNumId w:val="8"/>
  </w:num>
  <w:num w:numId="27" w16cid:durableId="1408380188">
    <w:abstractNumId w:val="3"/>
  </w:num>
  <w:num w:numId="28" w16cid:durableId="1584140943">
    <w:abstractNumId w:val="2"/>
  </w:num>
  <w:num w:numId="29" w16cid:durableId="2120568786">
    <w:abstractNumId w:val="1"/>
  </w:num>
  <w:num w:numId="30" w16cid:durableId="1404452117">
    <w:abstractNumId w:val="0"/>
  </w:num>
  <w:num w:numId="31" w16cid:durableId="1277058699">
    <w:abstractNumId w:val="9"/>
  </w:num>
  <w:num w:numId="32" w16cid:durableId="1892645488">
    <w:abstractNumId w:val="7"/>
  </w:num>
  <w:num w:numId="33" w16cid:durableId="390811316">
    <w:abstractNumId w:val="6"/>
  </w:num>
  <w:num w:numId="34" w16cid:durableId="984628202">
    <w:abstractNumId w:val="5"/>
  </w:num>
  <w:num w:numId="35" w16cid:durableId="1495342708">
    <w:abstractNumId w:val="4"/>
  </w:num>
  <w:num w:numId="36" w16cid:durableId="166941102">
    <w:abstractNumId w:val="8"/>
  </w:num>
  <w:num w:numId="37" w16cid:durableId="771707480">
    <w:abstractNumId w:val="3"/>
  </w:num>
  <w:num w:numId="38" w16cid:durableId="164519255">
    <w:abstractNumId w:val="2"/>
  </w:num>
  <w:num w:numId="39" w16cid:durableId="1713505107">
    <w:abstractNumId w:val="1"/>
  </w:num>
  <w:num w:numId="40" w16cid:durableId="835655947">
    <w:abstractNumId w:val="0"/>
  </w:num>
  <w:num w:numId="41" w16cid:durableId="476991778">
    <w:abstractNumId w:val="10"/>
  </w:num>
  <w:num w:numId="42" w16cid:durableId="2056613266">
    <w:abstractNumId w:val="10"/>
  </w:num>
  <w:num w:numId="43" w16cid:durableId="1615408285">
    <w:abstractNumId w:val="10"/>
  </w:num>
  <w:num w:numId="44" w16cid:durableId="1528762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DA"/>
    <w:docVar w:name="dvnumam" w:val="0"/>
    <w:docVar w:name="dvpe" w:val="775.588"/>
    <w:docVar w:name="dvtitre" w:val="Europa-Parlamentets beslutning af xx. oktober 2025 om udkast til Kommissionens gennemførelsesafgørelse om tilladelse til markedsføring af produkter, der indeholder, består af eller er fremstillet af genetisk modificeret DP51291-majs, i henhold til Europa-Parlamentets og Rådets forordning (EF) nr. 1829/2003(D108064/03 – 2025/2807(RSP))"/>
  </w:docVars>
  <w:rsids>
    <w:rsidRoot w:val="00EE1234"/>
    <w:rsid w:val="00002272"/>
    <w:rsid w:val="00064002"/>
    <w:rsid w:val="000677B9"/>
    <w:rsid w:val="0008057B"/>
    <w:rsid w:val="000831BA"/>
    <w:rsid w:val="000A18C1"/>
    <w:rsid w:val="000A42CC"/>
    <w:rsid w:val="000E7DD9"/>
    <w:rsid w:val="0010095E"/>
    <w:rsid w:val="00125B37"/>
    <w:rsid w:val="00187494"/>
    <w:rsid w:val="001F32AE"/>
    <w:rsid w:val="002767FF"/>
    <w:rsid w:val="002B18FE"/>
    <w:rsid w:val="002B5493"/>
    <w:rsid w:val="0030652D"/>
    <w:rsid w:val="00343214"/>
    <w:rsid w:val="00361C00"/>
    <w:rsid w:val="00395FA1"/>
    <w:rsid w:val="003E15D4"/>
    <w:rsid w:val="003F42B7"/>
    <w:rsid w:val="00411CCE"/>
    <w:rsid w:val="0041666E"/>
    <w:rsid w:val="00421060"/>
    <w:rsid w:val="0043635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6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80"/>
    <w:rsid w:val="008C2AC6"/>
    <w:rsid w:val="0090554C"/>
    <w:rsid w:val="00930C23"/>
    <w:rsid w:val="0093193B"/>
    <w:rsid w:val="009509D8"/>
    <w:rsid w:val="00950B64"/>
    <w:rsid w:val="00981893"/>
    <w:rsid w:val="00A1687D"/>
    <w:rsid w:val="00A43E52"/>
    <w:rsid w:val="00A4678D"/>
    <w:rsid w:val="00A778C7"/>
    <w:rsid w:val="00A90C7F"/>
    <w:rsid w:val="00AB441E"/>
    <w:rsid w:val="00AB6293"/>
    <w:rsid w:val="00AC3E45"/>
    <w:rsid w:val="00AE0928"/>
    <w:rsid w:val="00AF3B82"/>
    <w:rsid w:val="00B12E95"/>
    <w:rsid w:val="00B22876"/>
    <w:rsid w:val="00B54926"/>
    <w:rsid w:val="00B558F0"/>
    <w:rsid w:val="00BD48FE"/>
    <w:rsid w:val="00BD7BD8"/>
    <w:rsid w:val="00BE6ADC"/>
    <w:rsid w:val="00C05BFE"/>
    <w:rsid w:val="00C23CD4"/>
    <w:rsid w:val="00C61C0C"/>
    <w:rsid w:val="00C941CB"/>
    <w:rsid w:val="00CC2357"/>
    <w:rsid w:val="00CF071A"/>
    <w:rsid w:val="00D058B8"/>
    <w:rsid w:val="00D2388C"/>
    <w:rsid w:val="00D56C11"/>
    <w:rsid w:val="00D834A0"/>
    <w:rsid w:val="00D872DF"/>
    <w:rsid w:val="00D91E21"/>
    <w:rsid w:val="00DA7FCD"/>
    <w:rsid w:val="00E365E1"/>
    <w:rsid w:val="00E55E85"/>
    <w:rsid w:val="00E820A4"/>
    <w:rsid w:val="00EB006A"/>
    <w:rsid w:val="00EB4772"/>
    <w:rsid w:val="00ED169E"/>
    <w:rsid w:val="00ED4235"/>
    <w:rsid w:val="00EE1234"/>
    <w:rsid w:val="00F04346"/>
    <w:rsid w:val="00F075DC"/>
    <w:rsid w:val="00F149E9"/>
    <w:rsid w:val="00F5134D"/>
    <w:rsid w:val="00F74202"/>
    <w:rsid w:val="00F77DB8"/>
    <w:rsid w:val="00F87713"/>
    <w:rsid w:val="00FB4360"/>
    <w:rsid w:val="00FD0C70"/>
    <w:rsid w:val="00FE641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C35B6"/>
  <w15:chartTrackingRefBased/>
  <w15:docId w15:val="{570CA248-8F9A-4AE6-84FC-AC5A3D41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5E85"/>
    <w:pPr>
      <w:spacing w:before="480" w:after="240"/>
    </w:pPr>
  </w:style>
  <w:style w:type="paragraph" w:customStyle="1" w:styleId="NormalHanging12a">
    <w:name w:val="NormalHanging12a"/>
    <w:basedOn w:val="Normal"/>
    <w:rsid w:val="00E55E85"/>
    <w:pPr>
      <w:spacing w:after="240"/>
      <w:ind w:left="567" w:hanging="567"/>
    </w:pPr>
  </w:style>
  <w:style w:type="paragraph" w:customStyle="1" w:styleId="NormalBold">
    <w:name w:val="NormalBold"/>
    <w:basedOn w:val="Normal"/>
    <w:rsid w:val="00E55E85"/>
    <w:rPr>
      <w:b/>
    </w:rPr>
  </w:style>
  <w:style w:type="character" w:styleId="Hyperlink">
    <w:name w:val="Hyperlink"/>
    <w:basedOn w:val="DefaultParagraphFont"/>
    <w:uiPriority w:val="99"/>
    <w:rsid w:val="00E55E85"/>
    <w:rPr>
      <w:color w:val="0563C1" w:themeColor="hyperlink"/>
      <w:u w:val="single"/>
    </w:rPr>
  </w:style>
  <w:style w:type="character" w:customStyle="1" w:styleId="Funotenzeichen">
    <w:name w:val="Fußnotenzeichen"/>
    <w:qFormat/>
    <w:rsid w:val="00E55E85"/>
    <w:rPr>
      <w:vertAlign w:val="superscript"/>
    </w:rPr>
  </w:style>
  <w:style w:type="character" w:styleId="CommentReference">
    <w:name w:val="annotation reference"/>
    <w:basedOn w:val="DefaultParagraphFont"/>
    <w:rsid w:val="0090554C"/>
    <w:rPr>
      <w:sz w:val="16"/>
      <w:szCs w:val="16"/>
    </w:rPr>
  </w:style>
  <w:style w:type="paragraph" w:styleId="CommentText">
    <w:name w:val="annotation text"/>
    <w:basedOn w:val="Normal"/>
    <w:link w:val="CommentTextChar"/>
    <w:rsid w:val="0090554C"/>
    <w:rPr>
      <w:sz w:val="20"/>
    </w:rPr>
  </w:style>
  <w:style w:type="character" w:customStyle="1" w:styleId="CommentTextChar">
    <w:name w:val="Comment Text Char"/>
    <w:basedOn w:val="DefaultParagraphFont"/>
    <w:link w:val="CommentText"/>
    <w:rsid w:val="0090554C"/>
    <w:rPr>
      <w:lang w:val="da-DK"/>
    </w:rPr>
  </w:style>
  <w:style w:type="paragraph" w:styleId="CommentSubject">
    <w:name w:val="annotation subject"/>
    <w:basedOn w:val="CommentText"/>
    <w:next w:val="CommentText"/>
    <w:link w:val="CommentSubjectChar"/>
    <w:rsid w:val="0090554C"/>
    <w:rPr>
      <w:b/>
      <w:bCs/>
    </w:rPr>
  </w:style>
  <w:style w:type="character" w:customStyle="1" w:styleId="CommentSubjectChar">
    <w:name w:val="Comment Subject Char"/>
    <w:basedOn w:val="CommentTextChar"/>
    <w:link w:val="CommentSubject"/>
    <w:rsid w:val="0090554C"/>
    <w:rPr>
      <w:b/>
      <w:bCs/>
      <w:lang w:val="da-DK"/>
    </w:rPr>
  </w:style>
  <w:style w:type="paragraph" w:styleId="Revision">
    <w:name w:val="Revision"/>
    <w:hidden/>
    <w:uiPriority w:val="99"/>
    <w:semiHidden/>
    <w:rsid w:val="008B2380"/>
    <w:rPr>
      <w:sz w:val="24"/>
      <w:lang w:val="da-DK"/>
    </w:rPr>
  </w:style>
  <w:style w:type="character" w:styleId="UnresolvedMention">
    <w:name w:val="Unresolved Mention"/>
    <w:basedOn w:val="DefaultParagraphFont"/>
    <w:uiPriority w:val="99"/>
    <w:semiHidden/>
    <w:unhideWhenUsed/>
    <w:rsid w:val="008B2380"/>
    <w:rPr>
      <w:color w:val="605E5C"/>
      <w:shd w:val="clear" w:color="auto" w:fill="E1DFDD"/>
    </w:rPr>
  </w:style>
  <w:style w:type="character" w:styleId="FollowedHyperlink">
    <w:name w:val="FollowedHyperlink"/>
    <w:basedOn w:val="DefaultParagraphFont"/>
    <w:rsid w:val="008B23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4/12/Testbiotech_comment_&#8204;maize_DP51291.pdf" TargetMode="External"/><Relationship Id="rId13" Type="http://schemas.openxmlformats.org/officeDocument/2006/relationships/hyperlink" Target="https://doi.org/10.1186/2190-4715-24-24"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prefLang=da" TargetMode="External"/><Relationship Id="rId7" Type="http://schemas.openxmlformats.org/officeDocument/2006/relationships/hyperlink" Target="http://data.europa.eu/eli/reg/2009/1107/oj" TargetMode="External"/><Relationship Id="rId12" Type="http://schemas.openxmlformats.org/officeDocument/2006/relationships/hyperlink" Target="https://www.ncbi.nlm.nih.gov/pubmed/26296738" TargetMode="External"/><Relationship Id="rId17" Type="http://schemas.openxmlformats.org/officeDocument/2006/relationships/hyperlink" Target="https://agriculture.ec.europa.eu/document/download/171329ff-0f50-4fa5-946f-aea11032172e_en?filename=strategic-dialogue-report-2024_en.pdf" TargetMode="External"/><Relationship Id="rId25"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doi.org/10.1038/s41598-017-01478-w" TargetMode="External"/><Relationship Id="rId20" Type="http://schemas.openxmlformats.org/officeDocument/2006/relationships/hyperlink" Target="https://ec.europa.eu/commission/presscorner/detail/da/ip_22_7834"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2247/oj" TargetMode="External"/><Relationship Id="rId11" Type="http://schemas.openxmlformats.org/officeDocument/2006/relationships/hyperlink" Target="https://doi.org/10.1126/science.abe1148" TargetMode="External"/><Relationship Id="rId24" Type="http://schemas.openxmlformats.org/officeDocument/2006/relationships/hyperlink" Target="https://eur-lex.europa.eu/legal-content/DA/TXT/?uri=COM:2020:667:FIN" TargetMode="External"/><Relationship Id="rId5" Type="http://schemas.openxmlformats.org/officeDocument/2006/relationships/hyperlink" Target="http://data.europa.eu/eli/C/2025/2246/oj" TargetMode="External"/><Relationship Id="rId15" Type="http://schemas.openxmlformats.org/officeDocument/2006/relationships/hyperlink" Target="https://doi.org/10.1016/j.fct.2016.03.009" TargetMode="External"/><Relationship Id="rId23" Type="http://schemas.openxmlformats.org/officeDocument/2006/relationships/hyperlink" Target="http://data.europa.eu/eli/reg/2002/178/oj" TargetMode="External"/><Relationship Id="rId10" Type="http://schemas.openxmlformats.org/officeDocument/2006/relationships/hyperlink" Target="https://doi.org/10.1371/journal.pone.0123011" TargetMode="External"/><Relationship Id="rId19" Type="http://schemas.openxmlformats.org/officeDocument/2006/relationships/hyperlink" Target="https://www.un.org/sustainabledevelopment/health/"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reg_impl/2013/503/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s://food.ec.europa.eu/document/download/ee1a5aed-5303-4c32-bb59-813143a1df47_en?filename=sc_modif-genet_20250613_s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2350</Words>
  <Characters>14352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BUNDGAARD Benthe Vase Kock</cp:lastModifiedBy>
  <cp:revision>2</cp:revision>
  <cp:lastPrinted>2004-11-19T15:42:00Z</cp:lastPrinted>
  <dcterms:created xsi:type="dcterms:W3CDTF">2025-11-05T08:09:00Z</dcterms:created>
  <dcterms:modified xsi:type="dcterms:W3CDTF">2025-11-05T08:09:00Z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P10_TA-PROV(2025)0222_B10-0407_2025_</vt:lpwstr>
  </property>
  <property fmtid="{D5CDD505-2E9C-101B-9397-08002B2CF9AE}" pid="4" name="&lt;Type&gt;">
    <vt:lpwstr>RR</vt:lpwstr>
  </property>
</Properties>
</file>