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897" w14:paraId="7451C847" w14:textId="77777777" w:rsidTr="0010095E">
        <w:trPr>
          <w:trHeight w:hRule="exact" w:val="1418"/>
        </w:trPr>
        <w:tc>
          <w:tcPr>
            <w:tcW w:w="6804" w:type="dxa"/>
            <w:shd w:val="clear" w:color="auto" w:fill="auto"/>
            <w:vAlign w:val="center"/>
          </w:tcPr>
          <w:p w14:paraId="5887ED2A" w14:textId="77777777" w:rsidR="00751A4A" w:rsidRPr="003C1897" w:rsidRDefault="00C569DA" w:rsidP="0010095E">
            <w:pPr>
              <w:pStyle w:val="EPName"/>
            </w:pPr>
            <w:r w:rsidRPr="003C1897">
              <w:t>Ευρωπαϊκό Κοινοβούλιο</w:t>
            </w:r>
          </w:p>
          <w:p w14:paraId="71A245E3" w14:textId="77777777" w:rsidR="00751A4A" w:rsidRPr="003C1897" w:rsidRDefault="005F1B17" w:rsidP="005F1B17">
            <w:pPr>
              <w:pStyle w:val="EPTerm"/>
              <w:rPr>
                <w:rStyle w:val="HideTWBExt"/>
                <w:noProof w:val="0"/>
                <w:vanish w:val="0"/>
                <w:color w:val="auto"/>
              </w:rPr>
            </w:pPr>
            <w:r w:rsidRPr="003C1897">
              <w:t>2024</w:t>
            </w:r>
            <w:r w:rsidR="00817416" w:rsidRPr="003C1897">
              <w:t>-202</w:t>
            </w:r>
            <w:r w:rsidRPr="003C1897">
              <w:t>9</w:t>
            </w:r>
          </w:p>
        </w:tc>
        <w:tc>
          <w:tcPr>
            <w:tcW w:w="2268" w:type="dxa"/>
            <w:shd w:val="clear" w:color="auto" w:fill="auto"/>
          </w:tcPr>
          <w:p w14:paraId="7960094D" w14:textId="77777777" w:rsidR="00751A4A" w:rsidRPr="003C1897" w:rsidRDefault="00187494" w:rsidP="0010095E">
            <w:pPr>
              <w:pStyle w:val="EPLogo"/>
            </w:pPr>
            <w:r w:rsidRPr="003C1897">
              <w:rPr>
                <w:noProof/>
                <w:lang w:eastAsia="ja-JP"/>
              </w:rPr>
              <w:drawing>
                <wp:inline distT="0" distB="0" distL="0" distR="0" wp14:anchorId="53353D61" wp14:editId="3C80A33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07D4EFF" w14:textId="77777777" w:rsidR="00D058B8" w:rsidRPr="003C1897" w:rsidRDefault="00D058B8" w:rsidP="004C5D52">
      <w:pPr>
        <w:pStyle w:val="LineTop"/>
      </w:pPr>
    </w:p>
    <w:p w14:paraId="624C4235" w14:textId="77777777" w:rsidR="00680577" w:rsidRPr="003C1897" w:rsidRDefault="00C569DA" w:rsidP="00680577">
      <w:pPr>
        <w:pStyle w:val="EPBodyTA1"/>
      </w:pPr>
      <w:r w:rsidRPr="003C1897">
        <w:t>ΚΕΙΜΕΝΑ ΠΟΥ ΕΓΚΡΙΘΗΚΑΝ</w:t>
      </w:r>
    </w:p>
    <w:p w14:paraId="2294E697" w14:textId="77777777" w:rsidR="00D058B8" w:rsidRPr="003C1897" w:rsidRDefault="00D058B8" w:rsidP="00D058B8">
      <w:pPr>
        <w:pStyle w:val="LineBottom"/>
      </w:pPr>
    </w:p>
    <w:p w14:paraId="455EED0C" w14:textId="0092E794" w:rsidR="00C569DA" w:rsidRPr="00B74A39" w:rsidRDefault="00C569DA" w:rsidP="00C569DA">
      <w:pPr>
        <w:pStyle w:val="ATHeading1"/>
      </w:pPr>
      <w:bookmarkStart w:id="0" w:name="TANumber"/>
      <w:r w:rsidRPr="003C1897">
        <w:t>P10_TA(2025)0</w:t>
      </w:r>
      <w:r w:rsidR="00B74A39">
        <w:rPr>
          <w:lang w:val="en-GB"/>
        </w:rPr>
        <w:t>222</w:t>
      </w:r>
      <w:bookmarkEnd w:id="0"/>
    </w:p>
    <w:p w14:paraId="65B8B60E" w14:textId="3C550F19" w:rsidR="00C569DA" w:rsidRPr="003C1897" w:rsidRDefault="00EC587A" w:rsidP="00C569DA">
      <w:pPr>
        <w:pStyle w:val="ATHeading2"/>
      </w:pPr>
      <w:bookmarkStart w:id="1" w:name="title"/>
      <w:r>
        <w:t>Γ</w:t>
      </w:r>
      <w:r w:rsidRPr="00EC587A">
        <w:t>ενετικώς τροποποιημένο</w:t>
      </w:r>
      <w:r w:rsidR="00D061FC">
        <w:t>ς</w:t>
      </w:r>
      <w:r w:rsidRPr="00EC587A">
        <w:t xml:space="preserve"> αραβόσιτο</w:t>
      </w:r>
      <w:r w:rsidR="00D061FC">
        <w:t>ς</w:t>
      </w:r>
      <w:r w:rsidRPr="00EC587A">
        <w:t xml:space="preserve"> DP51291</w:t>
      </w:r>
      <w:bookmarkEnd w:id="1"/>
    </w:p>
    <w:p w14:paraId="7A2D28F9" w14:textId="77777777" w:rsidR="00C569DA" w:rsidRPr="003C1897" w:rsidRDefault="00C569DA" w:rsidP="00C569DA">
      <w:pPr>
        <w:rPr>
          <w:i/>
          <w:vanish/>
        </w:rPr>
      </w:pPr>
      <w:r w:rsidRPr="003C1897">
        <w:rPr>
          <w:i/>
        </w:rPr>
        <w:fldChar w:fldCharType="begin"/>
      </w:r>
      <w:r w:rsidRPr="003C1897">
        <w:rPr>
          <w:i/>
        </w:rPr>
        <w:instrText xml:space="preserve"> TC"(</w:instrText>
      </w:r>
      <w:bookmarkStart w:id="2" w:name="DocNumber"/>
      <w:r w:rsidRPr="003C1897">
        <w:rPr>
          <w:i/>
        </w:rPr>
        <w:instrText>B10-0407/2025</w:instrText>
      </w:r>
      <w:bookmarkEnd w:id="2"/>
      <w:r w:rsidRPr="003C1897">
        <w:rPr>
          <w:i/>
        </w:rPr>
        <w:instrText xml:space="preserve">)"\l3 \n&gt; \* MERGEFORMAT </w:instrText>
      </w:r>
      <w:r w:rsidRPr="003C1897">
        <w:rPr>
          <w:i/>
        </w:rPr>
        <w:fldChar w:fldCharType="end"/>
      </w:r>
    </w:p>
    <w:p w14:paraId="3189DC42" w14:textId="77777777" w:rsidR="00C569DA" w:rsidRPr="003C1897" w:rsidRDefault="00C569DA" w:rsidP="00C569DA">
      <w:pPr>
        <w:rPr>
          <w:vanish/>
        </w:rPr>
      </w:pPr>
      <w:bookmarkStart w:id="3" w:name="PE"/>
      <w:r w:rsidRPr="003C1897">
        <w:rPr>
          <w:vanish/>
        </w:rPr>
        <w:t>PE775.588</w:t>
      </w:r>
      <w:bookmarkEnd w:id="3"/>
    </w:p>
    <w:p w14:paraId="10D396F0" w14:textId="00709F1B" w:rsidR="00C569DA" w:rsidRPr="003C1897" w:rsidRDefault="00C569DA" w:rsidP="00C569DA">
      <w:pPr>
        <w:pStyle w:val="ATHeading3"/>
      </w:pPr>
      <w:bookmarkStart w:id="4" w:name="Sujet"/>
      <w:r w:rsidRPr="003C1897">
        <w:t xml:space="preserve">Ψήφισμα του Ευρωπαϊκού Κοινοβουλίου </w:t>
      </w:r>
      <w:r w:rsidR="00EC587A">
        <w:t xml:space="preserve">της 8ης Οκτωβρίου 2025 </w:t>
      </w:r>
      <w:r w:rsidRPr="003C1897">
        <w:t>σχετικά με τ</w:t>
      </w:r>
      <w:r w:rsidR="00EC587A">
        <w:t>ην</w:t>
      </w:r>
      <w:r w:rsidRPr="003C1897">
        <w:t xml:space="preserve"> εκτελεστική απόφαση </w:t>
      </w:r>
      <w:r w:rsidR="00EC587A">
        <w:t xml:space="preserve">(ΕΕ) 2025/1898 </w:t>
      </w:r>
      <w:r w:rsidRPr="003C1897">
        <w:t>της Επιτροπής</w:t>
      </w:r>
      <w:r w:rsidR="00EC587A">
        <w:t>, της 22ας Σεπτεμβρίου 2025,</w:t>
      </w:r>
      <w:r w:rsidRPr="003C1897">
        <w:t xml:space="preserve"> για την έγκριση της διάθεσης στην αγορά προϊόντων που περιέχουν, αποτελούνται ή παράγονται από γενετικώς τροποποιημένο αραβόσιτο DP51291</w:t>
      </w:r>
      <w:r w:rsidR="00EC587A">
        <w:t>,</w:t>
      </w:r>
      <w:r w:rsidRPr="003C1897">
        <w:t xml:space="preserve"> σύμφωνα με τον κανονισμό (ΕΚ) αριθ. 1829/2003 του Ευρωπαϊκού Κοινοβουλίου και του Συμβουλίου</w:t>
      </w:r>
      <w:bookmarkEnd w:id="4"/>
      <w:r w:rsidRPr="003C1897">
        <w:t xml:space="preserve"> </w:t>
      </w:r>
      <w:bookmarkStart w:id="5" w:name="References"/>
      <w:r w:rsidRPr="003C1897">
        <w:t>(2025/2807(RSP))</w:t>
      </w:r>
      <w:bookmarkEnd w:id="5"/>
    </w:p>
    <w:p w14:paraId="2FA671D4" w14:textId="77777777" w:rsidR="00A83200" w:rsidRPr="003C1897" w:rsidRDefault="00A83200" w:rsidP="00A83200">
      <w:pPr>
        <w:pStyle w:val="EPComma"/>
        <w:jc w:val="both"/>
      </w:pPr>
      <w:bookmarkStart w:id="6" w:name="TextBodyBegin"/>
      <w:bookmarkEnd w:id="6"/>
      <w:r w:rsidRPr="003C1897">
        <w:rPr>
          <w:i/>
        </w:rPr>
        <w:t>Το Ευρωπαϊκό Κοινοβούλιο</w:t>
      </w:r>
      <w:r w:rsidRPr="003C1897">
        <w:t>,</w:t>
      </w:r>
    </w:p>
    <w:p w14:paraId="1F699321" w14:textId="2558F57F" w:rsidR="00A83200" w:rsidRPr="003C1897" w:rsidRDefault="00A83200" w:rsidP="00A83200">
      <w:pPr>
        <w:pStyle w:val="NormalHanging12a"/>
        <w:widowControl/>
        <w:rPr>
          <w:szCs w:val="24"/>
        </w:rPr>
      </w:pPr>
      <w:r w:rsidRPr="003C1897">
        <w:t>–</w:t>
      </w:r>
      <w:r w:rsidRPr="003C1897">
        <w:tab/>
        <w:t>έχοντας υπόψη τ</w:t>
      </w:r>
      <w:r w:rsidR="00EC587A">
        <w:t>ην</w:t>
      </w:r>
      <w:r w:rsidRPr="003C1897">
        <w:t xml:space="preserve"> εκτελεστική απόφαση </w:t>
      </w:r>
      <w:r w:rsidR="00EC587A">
        <w:t xml:space="preserve">(ΕΕ) 2025/1898 </w:t>
      </w:r>
      <w:r w:rsidRPr="003C1897">
        <w:t>της Επιτροπής</w:t>
      </w:r>
      <w:r w:rsidR="00EC587A">
        <w:t>, της 22ας</w:t>
      </w:r>
      <w:r w:rsidR="00D061FC">
        <w:t> </w:t>
      </w:r>
      <w:r w:rsidR="00EC587A">
        <w:t>Σεπτεμβρίου 2025,</w:t>
      </w:r>
      <w:r w:rsidRPr="003C1897">
        <w:t xml:space="preserve"> για την έγκριση της διάθεσης στην αγορά προϊόντων που περιέχουν, αποτελούνται ή παράγονται από γενετικώς τροποποιημένο αραβόσιτο DP51291</w:t>
      </w:r>
      <w:r w:rsidR="00EC587A">
        <w:t>,</w:t>
      </w:r>
      <w:r w:rsidRPr="003C1897">
        <w:t xml:space="preserve"> σύμφωνα με τον κανονισμό (ΕΚ) αριθ. 1829/2003 του Ευρωπαϊκού Κοινοβουλίου και του Συμβουλίου</w:t>
      </w:r>
      <w:r w:rsidR="00EC587A">
        <w:rPr>
          <w:rStyle w:val="FootnoteReference"/>
        </w:rPr>
        <w:footnoteReference w:id="1"/>
      </w:r>
      <w:r w:rsidRPr="003C1897">
        <w:t>,</w:t>
      </w:r>
    </w:p>
    <w:p w14:paraId="303E2CE9" w14:textId="77777777" w:rsidR="00A83200" w:rsidRPr="003C1897" w:rsidRDefault="00A83200" w:rsidP="00A83200">
      <w:pPr>
        <w:pStyle w:val="NormalHanging12a"/>
        <w:widowControl/>
        <w:rPr>
          <w:szCs w:val="24"/>
        </w:rPr>
      </w:pPr>
      <w:r w:rsidRPr="003C1897">
        <w:t>–</w:t>
      </w:r>
      <w:r w:rsidRPr="003C1897">
        <w:tab/>
        <w:t>έχοντας υπόψη τον κανονισμό (ΕΚ) αριθ. 1829/2003 του Ευρωπαϊκού Κοινοβουλίου και του Συμβουλίου, της 22ας Σεπτεμβρίου 2003, για τα γενετικώς τροποποιημένα τρόφιμα και ζωοτροφές</w:t>
      </w:r>
      <w:r w:rsidRPr="003C1897">
        <w:rPr>
          <w:rStyle w:val="FootnoteReference"/>
          <w:szCs w:val="24"/>
        </w:rPr>
        <w:footnoteReference w:id="2"/>
      </w:r>
      <w:r w:rsidRPr="003C1897">
        <w:t>, και ειδικότερα το άρθρο 7 παράγραφος 3 και το άρθρο 19 παράγραφος 3,</w:t>
      </w:r>
    </w:p>
    <w:p w14:paraId="5C4DAAE7" w14:textId="77777777" w:rsidR="00A83200" w:rsidRPr="003C1897" w:rsidRDefault="00A83200" w:rsidP="00A83200">
      <w:pPr>
        <w:pStyle w:val="NormalHanging12a"/>
        <w:widowControl/>
        <w:rPr>
          <w:szCs w:val="24"/>
        </w:rPr>
      </w:pPr>
      <w:r w:rsidRPr="003C1897">
        <w:t>–</w:t>
      </w:r>
      <w:r w:rsidRPr="003C1897">
        <w:tab/>
        <w:t xml:space="preserve">έχοντας υπόψη την </w:t>
      </w:r>
      <w:r w:rsidRPr="003C1897">
        <w:rPr>
          <w:shd w:val="clear" w:color="auto" w:fill="FFFFFF"/>
        </w:rPr>
        <w:t xml:space="preserve">ψηφοφορία στη μόνιμη επιτροπή φυτών, ζώων, τροφίμων και ζωοτροφών, που αναφέρεται στο άρθρο 35 του κανονισμού (ΕΚ) αριθ. 1829/2003, η οποία πραγματοποιήθηκε στις 13 Ιουνίου 2025 και κατά την οποία δεν εκδόθηκε γνωμοδότηση, και την ψηφοφορία στην επιτροπή προσφυγών στις 15 Ιουλίου 2025, που κατέληξε επίσης σε μη </w:t>
      </w:r>
      <w:r w:rsidRPr="003C1897">
        <w:t>έκδοση γνωμοδότησης,</w:t>
      </w:r>
    </w:p>
    <w:p w14:paraId="2AA24BF7" w14:textId="77777777" w:rsidR="00A83200" w:rsidRPr="003C1897" w:rsidRDefault="00A83200" w:rsidP="00A83200">
      <w:pPr>
        <w:pStyle w:val="NormalHanging12a"/>
        <w:widowControl/>
        <w:rPr>
          <w:szCs w:val="24"/>
        </w:rPr>
      </w:pPr>
      <w:r w:rsidRPr="003C1897">
        <w:t>–</w:t>
      </w:r>
      <w:r w:rsidRPr="003C1897">
        <w:tab/>
        <w:t>έχοντας υπόψη το άρθρο 11 του κανονισμού (ΕE) αριθ. 182/2011 του Ευρωπαϊκού Κοινοβουλίου και του Συμβουλίου, της 16ης Φεβρουαρίου 2011, για τη θέσπιση κανόνων και γενικών αρχών σχετικά με τους τρόπους ελέγχου από τα κράτη μέλη της άσκησης των εκτελεστικών αρμοδιοτήτων από την Επιτροπή</w:t>
      </w:r>
      <w:r w:rsidRPr="003C1897">
        <w:rPr>
          <w:rStyle w:val="FootnoteReference"/>
          <w:szCs w:val="24"/>
        </w:rPr>
        <w:footnoteReference w:id="3"/>
      </w:r>
      <w:r w:rsidRPr="003C1897">
        <w:t>,</w:t>
      </w:r>
    </w:p>
    <w:p w14:paraId="2F4919B9" w14:textId="77777777" w:rsidR="00A83200" w:rsidRPr="003C1897" w:rsidRDefault="00A83200" w:rsidP="00A83200">
      <w:pPr>
        <w:pStyle w:val="NormalHanging12a"/>
        <w:widowControl/>
        <w:rPr>
          <w:szCs w:val="24"/>
        </w:rPr>
      </w:pPr>
      <w:r w:rsidRPr="003C1897">
        <w:lastRenderedPageBreak/>
        <w:t>–</w:t>
      </w:r>
      <w:r w:rsidRPr="003C1897">
        <w:tab/>
        <w:t>έχοντας υπόψη τη γνωμοδότηση που εκδόθηκε από την Ευρωπαϊκή Αρχή για την Ασφάλεια των Τροφίμων (EFSA) στις 2 Οκτωβρίου 2024 και δημοσιεύθηκε στις 11 Νοεμβρίου 2024</w:t>
      </w:r>
      <w:r w:rsidRPr="003C1897">
        <w:rPr>
          <w:rStyle w:val="FootnoteReference"/>
          <w:szCs w:val="24"/>
        </w:rPr>
        <w:footnoteReference w:id="4"/>
      </w:r>
      <w:r w:rsidRPr="003C1897">
        <w:t>,</w:t>
      </w:r>
    </w:p>
    <w:p w14:paraId="226CA3A1" w14:textId="77777777" w:rsidR="00A83200" w:rsidRPr="003C1897" w:rsidRDefault="00A83200" w:rsidP="00A83200">
      <w:pPr>
        <w:pStyle w:val="NormalHanging12a"/>
        <w:widowControl/>
        <w:rPr>
          <w:szCs w:val="24"/>
          <w:shd w:val="clear" w:color="auto" w:fill="FFFFFF"/>
        </w:rPr>
      </w:pPr>
      <w:r w:rsidRPr="003C1897">
        <w:t>–</w:t>
      </w:r>
      <w:r w:rsidRPr="003C1897">
        <w:tab/>
      </w:r>
      <w:r w:rsidRPr="003C1897">
        <w:rPr>
          <w:shd w:val="clear" w:color="auto" w:fill="FFFFFF"/>
        </w:rPr>
        <w:t>έχοντας υπόψη τα προηγούμενα ψηφίσματά του που διατύπωναν αντίρρηση στην έγκριση γενετικώς τροποποιημένων οργανισμών (ΓΤΟ)</w:t>
      </w:r>
      <w:r w:rsidRPr="003C1897">
        <w:rPr>
          <w:rStyle w:val="FootnoteReference"/>
          <w:szCs w:val="24"/>
          <w:shd w:val="clear" w:color="auto" w:fill="FFFFFF"/>
        </w:rPr>
        <w:footnoteReference w:id="5"/>
      </w:r>
      <w:r w:rsidRPr="003C1897">
        <w:rPr>
          <w:shd w:val="clear" w:color="auto" w:fill="FFFFFF"/>
        </w:rPr>
        <w:t>,</w:t>
      </w:r>
    </w:p>
    <w:p w14:paraId="3CCE0DA9" w14:textId="77777777" w:rsidR="00A83200" w:rsidRPr="003C1897" w:rsidRDefault="00A83200" w:rsidP="00A83200">
      <w:pPr>
        <w:pStyle w:val="NormalHanging12a"/>
        <w:widowControl/>
        <w:rPr>
          <w:szCs w:val="24"/>
        </w:rPr>
      </w:pPr>
      <w:r w:rsidRPr="003C1897">
        <w:lastRenderedPageBreak/>
        <w:t>–</w:t>
      </w:r>
      <w:r w:rsidRPr="003C1897">
        <w:tab/>
        <w:t>έχοντας υπόψη το άρθρο 115 παράγραφοι 2 και 3 του Κανονισμού του,</w:t>
      </w:r>
    </w:p>
    <w:p w14:paraId="47EEF2BF" w14:textId="77777777" w:rsidR="00A83200" w:rsidRPr="003C1897" w:rsidRDefault="00A83200" w:rsidP="00A83200">
      <w:pPr>
        <w:pStyle w:val="NormalHanging12a"/>
        <w:widowControl/>
        <w:rPr>
          <w:szCs w:val="24"/>
        </w:rPr>
      </w:pPr>
      <w:r w:rsidRPr="003C1897">
        <w:t>–</w:t>
      </w:r>
      <w:r w:rsidRPr="003C1897">
        <w:tab/>
        <w:t>έχοντας υπόψη την πρόταση ψηφίσματος της Επιτροπής Περιβάλλοντος, Κλίματος και Ασφάλειας των Τροφίμων,</w:t>
      </w:r>
    </w:p>
    <w:p w14:paraId="34E367DF" w14:textId="77777777" w:rsidR="00A83200" w:rsidRPr="003C1897" w:rsidRDefault="00A83200" w:rsidP="00A83200">
      <w:pPr>
        <w:pStyle w:val="NormalHanging12a"/>
        <w:widowControl/>
        <w:rPr>
          <w:szCs w:val="24"/>
        </w:rPr>
      </w:pPr>
      <w:r w:rsidRPr="003C1897">
        <w:t>Α.</w:t>
      </w:r>
      <w:r w:rsidRPr="003C1897">
        <w:tab/>
        <w:t xml:space="preserve">λαμβάνοντας υπόψη ότι, στις 27 Ιανουαρίου 2023, η </w:t>
      </w:r>
      <w:proofErr w:type="spellStart"/>
      <w:r w:rsidRPr="003C1897">
        <w:t>Corteva</w:t>
      </w:r>
      <w:proofErr w:type="spellEnd"/>
      <w:r w:rsidRPr="003C1897">
        <w:t xml:space="preserve"> </w:t>
      </w:r>
      <w:proofErr w:type="spellStart"/>
      <w:r w:rsidRPr="003C1897">
        <w:t>Agriscience</w:t>
      </w:r>
      <w:proofErr w:type="spellEnd"/>
      <w:r w:rsidRPr="003C1897">
        <w:t xml:space="preserve"> </w:t>
      </w:r>
      <w:proofErr w:type="spellStart"/>
      <w:r w:rsidRPr="003C1897">
        <w:t>Belgium</w:t>
      </w:r>
      <w:proofErr w:type="spellEnd"/>
      <w:r w:rsidRPr="003C1897">
        <w:t xml:space="preserve"> B.V., με έδρα το Βέλγιο, εξ ονόματος της </w:t>
      </w:r>
      <w:proofErr w:type="spellStart"/>
      <w:r w:rsidRPr="003C1897">
        <w:t>Corteva</w:t>
      </w:r>
      <w:proofErr w:type="spellEnd"/>
      <w:r w:rsidRPr="003C1897">
        <w:t xml:space="preserve"> </w:t>
      </w:r>
      <w:proofErr w:type="spellStart"/>
      <w:r w:rsidRPr="003C1897">
        <w:t>Agriscience</w:t>
      </w:r>
      <w:proofErr w:type="spellEnd"/>
      <w:r w:rsidRPr="003C1897">
        <w:t xml:space="preserve"> LLC, με έδρα τις Ηνωμένες Πολιτείες, υπέβαλε αίτηση στην αρμόδια εθνική αρχή των Κάτω Χωρών για τη διάθεση στην αγορά τροφίμων, συστατικών τροφίμων και ζωοτροφών που περιέχουν, αποτελούνται ή παράγονται από γενετικώς τροποποιημένο αραβόσιτο DP51291 («γενετικώς τροποποιημένος αραβόσιτος»)·</w:t>
      </w:r>
    </w:p>
    <w:p w14:paraId="1314B1BA" w14:textId="77777777" w:rsidR="00A83200" w:rsidRPr="003C1897" w:rsidRDefault="00A83200" w:rsidP="00A83200">
      <w:pPr>
        <w:pStyle w:val="NormalHanging12a"/>
        <w:widowControl/>
        <w:rPr>
          <w:szCs w:val="24"/>
        </w:rPr>
      </w:pPr>
      <w:r w:rsidRPr="003C1897">
        <w:t>Β.</w:t>
      </w:r>
      <w:r w:rsidRPr="003C1897">
        <w:tab/>
        <w:t xml:space="preserve">λαμβάνοντας υπόψη ότι ο γενετικώς τροποποιημένος αραβόσιτος παράγει την τοξίνη IPD072Aa για την καταπολέμηση της </w:t>
      </w:r>
      <w:proofErr w:type="spellStart"/>
      <w:r w:rsidRPr="003C1897">
        <w:t>χρυσομήλης</w:t>
      </w:r>
      <w:proofErr w:type="spellEnd"/>
      <w:r w:rsidRPr="003C1897">
        <w:t xml:space="preserve"> του αραβοσίτου, την πρωτεΐνη </w:t>
      </w:r>
      <w:proofErr w:type="spellStart"/>
      <w:r w:rsidRPr="003C1897">
        <w:lastRenderedPageBreak/>
        <w:t>ακετυλοτρανσφεράση</w:t>
      </w:r>
      <w:proofErr w:type="spellEnd"/>
      <w:r w:rsidRPr="003C1897">
        <w:t xml:space="preserve"> </w:t>
      </w:r>
      <w:proofErr w:type="spellStart"/>
      <w:r w:rsidRPr="003C1897">
        <w:t>φωσφινοθρικίνης</w:t>
      </w:r>
      <w:proofErr w:type="spellEnd"/>
      <w:r w:rsidRPr="003C1897">
        <w:t xml:space="preserve"> (PAT) για αντοχή σε ζιζανιοκτόνα που περιέχουν </w:t>
      </w:r>
      <w:proofErr w:type="spellStart"/>
      <w:r w:rsidRPr="003C1897">
        <w:t>γλουφοσινικό</w:t>
      </w:r>
      <w:proofErr w:type="spellEnd"/>
      <w:r w:rsidRPr="003C1897">
        <w:t xml:space="preserve"> και την πρωτεΐνη PMI ως δείκτη επιλογής·</w:t>
      </w:r>
    </w:p>
    <w:p w14:paraId="1BF2ECA3" w14:textId="77777777" w:rsidR="00A83200" w:rsidRPr="003C1897" w:rsidRDefault="00A83200" w:rsidP="00A83200">
      <w:pPr>
        <w:pStyle w:val="NormalHanging12a"/>
        <w:widowControl/>
        <w:rPr>
          <w:szCs w:val="24"/>
        </w:rPr>
      </w:pPr>
      <w:r w:rsidRPr="003C1897">
        <w:t>Γ.</w:t>
      </w:r>
      <w:r w:rsidRPr="003C1897">
        <w:tab/>
        <w:t xml:space="preserve">λαμβάνοντας υπόψη ότι το </w:t>
      </w:r>
      <w:proofErr w:type="spellStart"/>
      <w:r w:rsidRPr="003C1897">
        <w:t>γλουφοσινικό</w:t>
      </w:r>
      <w:proofErr w:type="spellEnd"/>
      <w:r w:rsidRPr="003C1897">
        <w:t>, το οποίο θεωρείται συμπληρωματικό ζιζανιοκτόνο, έχει ταξινομηθεί ως τοξική για την αναπαραγωγή ουσία κατηγορίας 1B και πληροί, επομένως, τα κριτήρια αποκλεισμού που ορίζονται στον κανονισμό (ΕΚ) αριθ. 1107/2009 του Ευρωπαϊκού Κοινοβουλίου και του Συμβουλίου</w:t>
      </w:r>
      <w:r w:rsidRPr="003C1897">
        <w:rPr>
          <w:rStyle w:val="FootnoteReference"/>
          <w:szCs w:val="24"/>
        </w:rPr>
        <w:footnoteReference w:id="6"/>
      </w:r>
      <w:r w:rsidRPr="003C1897">
        <w:t xml:space="preserve">· λαμβάνοντας υπόψη ότι η έγκριση του </w:t>
      </w:r>
      <w:proofErr w:type="spellStart"/>
      <w:r w:rsidRPr="003C1897">
        <w:t>γλουφοσινικού</w:t>
      </w:r>
      <w:proofErr w:type="spellEnd"/>
      <w:r w:rsidRPr="003C1897">
        <w:t xml:space="preserve"> για χρήση στην Ένωση έληξε στις 31 Ιουλίου 2018·</w:t>
      </w:r>
    </w:p>
    <w:p w14:paraId="516CE84E" w14:textId="77777777" w:rsidR="00A83200" w:rsidRPr="003C1897" w:rsidRDefault="00A83200" w:rsidP="00A83200">
      <w:pPr>
        <w:pStyle w:val="NormalHanging12a"/>
        <w:widowControl/>
        <w:rPr>
          <w:szCs w:val="24"/>
        </w:rPr>
      </w:pPr>
      <w:r w:rsidRPr="003C1897">
        <w:t>Δ.</w:t>
      </w:r>
      <w:r w:rsidRPr="003C1897">
        <w:tab/>
        <w:t xml:space="preserve">λαμβάνοντας υπόψη ότι η IPD072Aa είναι μια εντομοκτόνος τοξίνη που παράγεται από το βακτήριο </w:t>
      </w:r>
      <w:proofErr w:type="spellStart"/>
      <w:r w:rsidRPr="003C1897">
        <w:t>Pseudomonas</w:t>
      </w:r>
      <w:proofErr w:type="spellEnd"/>
      <w:r w:rsidRPr="003C1897">
        <w:t xml:space="preserve"> </w:t>
      </w:r>
      <w:proofErr w:type="spellStart"/>
      <w:r w:rsidRPr="003C1897">
        <w:t>chlororaphis</w:t>
      </w:r>
      <w:proofErr w:type="spellEnd"/>
      <w:r w:rsidRPr="003C1897">
        <w:t xml:space="preserve"> και έχει σχεδιαστεί για να δρα κατά της </w:t>
      </w:r>
      <w:proofErr w:type="spellStart"/>
      <w:r w:rsidRPr="003C1897">
        <w:t>χρυσομήλης</w:t>
      </w:r>
      <w:proofErr w:type="spellEnd"/>
      <w:r w:rsidRPr="003C1897">
        <w:t xml:space="preserve"> του αραβοσίτου· </w:t>
      </w:r>
    </w:p>
    <w:p w14:paraId="5A18CFED" w14:textId="77777777" w:rsidR="00A83200" w:rsidRPr="003C1897" w:rsidRDefault="00A83200" w:rsidP="00A83200">
      <w:pPr>
        <w:pStyle w:val="NormalHanging12a"/>
        <w:widowControl/>
        <w:rPr>
          <w:b/>
          <w:i/>
          <w:iCs/>
          <w:szCs w:val="24"/>
        </w:rPr>
      </w:pPr>
      <w:r w:rsidRPr="003C1897">
        <w:rPr>
          <w:b/>
          <w:i/>
        </w:rPr>
        <w:t>Σύνθετη γενετική μηχανική</w:t>
      </w:r>
    </w:p>
    <w:p w14:paraId="04ED9DE7" w14:textId="77777777" w:rsidR="00A83200" w:rsidRPr="003C1897" w:rsidRDefault="00A83200" w:rsidP="00A83200">
      <w:pPr>
        <w:pStyle w:val="NormalHanging12a"/>
        <w:widowControl/>
        <w:rPr>
          <w:szCs w:val="24"/>
        </w:rPr>
      </w:pPr>
      <w:r w:rsidRPr="003C1897">
        <w:t>Ε.</w:t>
      </w:r>
      <w:r w:rsidRPr="003C1897">
        <w:tab/>
        <w:t xml:space="preserve">λαμβάνοντας υπόψη ότι ο αραβόσιτος DP51291 αναπτύχθηκε μέσω μιας σύνθετης διαδικασίας γενετικής μηχανικής πολλαπλών σταδίων, η οποία περιλάμβανε τη δημιουργία μιας </w:t>
      </w:r>
      <w:proofErr w:type="spellStart"/>
      <w:r w:rsidRPr="003C1897">
        <w:t>γονιδιωματικής</w:t>
      </w:r>
      <w:proofErr w:type="spellEnd"/>
      <w:r w:rsidRPr="003C1897">
        <w:t xml:space="preserve"> «θέσης προσκόλλησης», ακολουθούμενη από βομβαρδισμό με </w:t>
      </w:r>
      <w:proofErr w:type="spellStart"/>
      <w:r w:rsidRPr="003C1897">
        <w:t>μικροβλήματα</w:t>
      </w:r>
      <w:proofErr w:type="spellEnd"/>
      <w:r w:rsidRPr="003C1897">
        <w:t xml:space="preserve"> με τη χρήση πέντε </w:t>
      </w:r>
      <w:proofErr w:type="spellStart"/>
      <w:r w:rsidRPr="003C1897">
        <w:t>πλασμιδίων</w:t>
      </w:r>
      <w:proofErr w:type="spellEnd"/>
      <w:r w:rsidRPr="003C1897">
        <w:t xml:space="preserve">, και επακόλουθη εισαγωγή, με τη μεσολάβηση του </w:t>
      </w:r>
      <w:proofErr w:type="spellStart"/>
      <w:r w:rsidRPr="003C1897">
        <w:t>agrobacterium</w:t>
      </w:r>
      <w:proofErr w:type="spellEnd"/>
      <w:r w:rsidRPr="003C1897">
        <w:t xml:space="preserve"> </w:t>
      </w:r>
      <w:proofErr w:type="spellStart"/>
      <w:r w:rsidRPr="003C1897">
        <w:t>tumefaciens</w:t>
      </w:r>
      <w:proofErr w:type="spellEnd"/>
      <w:r w:rsidRPr="003C1897">
        <w:t>, κασετών έκφρασης στη θέση προσκόλλησης·</w:t>
      </w:r>
    </w:p>
    <w:p w14:paraId="2ACF627D" w14:textId="77777777" w:rsidR="00A83200" w:rsidRPr="003C1897" w:rsidRDefault="00A83200" w:rsidP="00A83200">
      <w:pPr>
        <w:pStyle w:val="NormalHanging12a"/>
        <w:widowControl/>
        <w:rPr>
          <w:szCs w:val="24"/>
        </w:rPr>
      </w:pPr>
      <w:r w:rsidRPr="003C1897">
        <w:t>ΣΤ.</w:t>
      </w:r>
      <w:r w:rsidRPr="003C1897">
        <w:tab/>
        <w:t xml:space="preserve">λαμβάνοντας υπόψη ότι αυτή η διαδικασία γενετικής τροποποίησης είχε ως αποτέλεσμα τη διαγραφή 113 ζευγών βάσεων στο </w:t>
      </w:r>
      <w:proofErr w:type="spellStart"/>
      <w:r w:rsidRPr="003C1897">
        <w:t>γονιδιωματικό</w:t>
      </w:r>
      <w:proofErr w:type="spellEnd"/>
      <w:r w:rsidRPr="003C1897">
        <w:t xml:space="preserve"> DNA του αραβοσίτου, όπως προέκυψε από τη </w:t>
      </w:r>
      <w:proofErr w:type="spellStart"/>
      <w:r w:rsidRPr="003C1897">
        <w:t>βιοπληροφορική</w:t>
      </w:r>
      <w:proofErr w:type="spellEnd"/>
      <w:r w:rsidRPr="003C1897">
        <w:t xml:space="preserve"> ανάλυση, και οδήγησε στον σχηματισμό αρκετών νέων ανοικτών πλαισίων ανάγνωσης (ORF), που υποδεικνύουν πιθανές </w:t>
      </w:r>
      <w:proofErr w:type="spellStart"/>
      <w:r w:rsidRPr="003C1897">
        <w:t>γονιδιωματικές</w:t>
      </w:r>
      <w:proofErr w:type="spellEnd"/>
      <w:r w:rsidRPr="003C1897">
        <w:t xml:space="preserve"> διαταραχές που προκύπτουν από τη διαδικασία μετασχηματισμού· λαμβάνοντας υπόψη ότι πέντε από αυτά τα ORF παρουσίασαν ταυτοσημία αλληλουχίας πάνω από 35 % με γνωστά αλλεργιογόνα, υπερβαίνοντας έτσι το όριο που χρησιμοποιείται συνήθως στις αξιολογήσεις </w:t>
      </w:r>
      <w:proofErr w:type="spellStart"/>
      <w:r w:rsidRPr="003C1897">
        <w:t>αλλεργιογονικότητας</w:t>
      </w:r>
      <w:proofErr w:type="spellEnd"/>
      <w:r w:rsidRPr="003C1897">
        <w:rPr>
          <w:rStyle w:val="FootnoteReference"/>
          <w:szCs w:val="24"/>
        </w:rPr>
        <w:footnoteReference w:id="7"/>
      </w:r>
      <w:r w:rsidRPr="003C1897">
        <w:t xml:space="preserve">· </w:t>
      </w:r>
    </w:p>
    <w:p w14:paraId="71021865" w14:textId="77777777" w:rsidR="00A83200" w:rsidRPr="003C1897" w:rsidRDefault="00A83200" w:rsidP="00B74A39">
      <w:pPr>
        <w:pStyle w:val="NormalHanging12a"/>
        <w:widowControl/>
        <w:ind w:left="0" w:firstLine="0"/>
        <w:rPr>
          <w:b/>
          <w:i/>
          <w:iCs/>
          <w:szCs w:val="24"/>
        </w:rPr>
      </w:pPr>
      <w:r w:rsidRPr="003C1897">
        <w:rPr>
          <w:b/>
          <w:i/>
        </w:rPr>
        <w:t>Έλλειψη δεδομένων σχετικά με τις γεωργικές πρακτικές και τους περιβαλλοντικούς παράγοντες</w:t>
      </w:r>
    </w:p>
    <w:p w14:paraId="786EC35D" w14:textId="77777777" w:rsidR="00A83200" w:rsidRPr="003C1897" w:rsidRDefault="00A83200" w:rsidP="00A83200">
      <w:pPr>
        <w:pStyle w:val="NormalHanging12a"/>
        <w:widowControl/>
        <w:rPr>
          <w:szCs w:val="24"/>
        </w:rPr>
      </w:pPr>
      <w:r w:rsidRPr="003C1897">
        <w:t>Ζ.</w:t>
      </w:r>
      <w:r w:rsidRPr="003C1897">
        <w:tab/>
        <w:t>λαμβάνοντας υπόψη ότι ο εκτελεστικός κανονισμός (ΕΕ) αριθ. 503/2013 της Επιτροπής</w:t>
      </w:r>
      <w:r w:rsidRPr="003C1897">
        <w:rPr>
          <w:rStyle w:val="FootnoteReference"/>
          <w:szCs w:val="24"/>
        </w:rPr>
        <w:footnoteReference w:id="8"/>
      </w:r>
      <w:r w:rsidRPr="003C1897">
        <w:t xml:space="preserve"> απαιτεί αξιολόγηση του κατά πόσον οι αναμενόμενες γεωργικές πρακτικές επηρεάζουν την έκφραση των τελικών σημείων που εξετάστηκαν· λαμβάνοντας υπόψη </w:t>
      </w:r>
      <w:r w:rsidRPr="003C1897">
        <w:lastRenderedPageBreak/>
        <w:t>ότι, σύμφωνα με τον εν λόγω εκτελεστικό κανονισμό, αυτό έχει ιδιαίτερη σημασία για τα ανθεκτικά στα ζιζανιοκτόνα φυτά·</w:t>
      </w:r>
    </w:p>
    <w:p w14:paraId="4C49BD8C" w14:textId="77777777" w:rsidR="00A83200" w:rsidRPr="003C1897" w:rsidRDefault="00A83200" w:rsidP="00A83200">
      <w:pPr>
        <w:pStyle w:val="NormalHanging12a"/>
        <w:widowControl/>
        <w:rPr>
          <w:szCs w:val="24"/>
        </w:rPr>
      </w:pPr>
      <w:r w:rsidRPr="003C1897">
        <w:t>Η.</w:t>
      </w:r>
      <w:r w:rsidRPr="003C1897">
        <w:tab/>
        <w:t xml:space="preserve">λαμβάνοντας υπόψη ότι παράγοντες περιβαλλοντικής καταπόνησης, όπως η ξηρασία ή οι ακραίες θερμοκρασίες, μπορούν να προκαλέσουν απροσδόκητα πρότυπα γονιδιακής έκφρασης σε </w:t>
      </w:r>
      <w:proofErr w:type="spellStart"/>
      <w:r w:rsidRPr="003C1897">
        <w:t>νεοεισαχθείσες</w:t>
      </w:r>
      <w:proofErr w:type="spellEnd"/>
      <w:r w:rsidRPr="003C1897">
        <w:t xml:space="preserve"> αλληλουχίες DNA</w:t>
      </w:r>
      <w:r w:rsidRPr="003C1897">
        <w:rPr>
          <w:rStyle w:val="FootnoteReference"/>
          <w:szCs w:val="24"/>
        </w:rPr>
        <w:footnoteReference w:id="9"/>
      </w:r>
      <w:r w:rsidRPr="003C1897">
        <w:t xml:space="preserve">· </w:t>
      </w:r>
    </w:p>
    <w:p w14:paraId="43F979F4" w14:textId="77777777" w:rsidR="00A83200" w:rsidRPr="003C1897" w:rsidRDefault="00A83200" w:rsidP="00A83200">
      <w:pPr>
        <w:pStyle w:val="NormalHanging12a"/>
        <w:widowControl/>
        <w:rPr>
          <w:szCs w:val="24"/>
        </w:rPr>
      </w:pPr>
      <w:r w:rsidRPr="003C1897">
        <w:t>Θ.</w:t>
      </w:r>
      <w:r w:rsidRPr="003C1897">
        <w:tab/>
        <w:t xml:space="preserve">λαμβάνοντας υπόψη ότι οι επιτόπιες δοκιμές που χρησιμοποιήθηκαν για την υποστήριξη της ανάλυσης της σύνθεσης και της </w:t>
      </w:r>
      <w:proofErr w:type="spellStart"/>
      <w:r w:rsidRPr="003C1897">
        <w:t>φαινοτυπικής</w:t>
      </w:r>
      <w:proofErr w:type="spellEnd"/>
      <w:r w:rsidRPr="003C1897">
        <w:t xml:space="preserve"> ανάλυσης του γενετικώς τροποποιημένου αραβοσίτου πραγματοποιήθηκαν κατά τη διάρκεια μιας μόνο καλλιεργητικής περιόδου (2021) στις Ηνωμένες Πολιτείες και στον Καναδά υπό καιρικές συνθήκες που δεν αντιπροσωπεύουν επαρκώς την ποικιλομορφία των περιοχών όπου καλλιεργείται ο αραβόσιτος, ιδίως σε χώρες όπως η Βραζιλία·</w:t>
      </w:r>
    </w:p>
    <w:p w14:paraId="54C8542A" w14:textId="77777777" w:rsidR="00A83200" w:rsidRPr="003C1897" w:rsidRDefault="00A83200" w:rsidP="00A83200">
      <w:pPr>
        <w:pStyle w:val="NormalHanging12a"/>
        <w:widowControl/>
        <w:rPr>
          <w:szCs w:val="24"/>
        </w:rPr>
      </w:pPr>
      <w:r w:rsidRPr="003C1897">
        <w:t>Ι.</w:t>
      </w:r>
      <w:r w:rsidRPr="003C1897">
        <w:tab/>
        <w:t>λαμβάνοντας υπόψη ότι σε ορισμένες τοποθεσίες όπου διενεργήθηκαν δοκιμές αναφέρθηκαν ακραία καιρικά φαινόμενα· λαμβάνοντας υπόψη ότι δεν πραγματοποιήθηκαν ειδικές έρευνες για την αξιολόγηση των μελλοντικών συνθηκών που θα επηρεαστούν από τη συνεχιζόμενη κλιματική αλλαγή·</w:t>
      </w:r>
    </w:p>
    <w:p w14:paraId="2451B6E3" w14:textId="77777777" w:rsidR="00A83200" w:rsidRPr="003C1897" w:rsidRDefault="00A83200" w:rsidP="00A83200">
      <w:pPr>
        <w:pStyle w:val="NormalHanging12a"/>
        <w:widowControl/>
        <w:rPr>
          <w:szCs w:val="24"/>
        </w:rPr>
      </w:pPr>
      <w:r w:rsidRPr="003C1897">
        <w:t>ΙΑ.</w:t>
      </w:r>
      <w:r w:rsidRPr="003C1897">
        <w:tab/>
        <w:t xml:space="preserve">λαμβάνοντας υπόψη ότι το </w:t>
      </w:r>
      <w:proofErr w:type="spellStart"/>
      <w:r w:rsidRPr="003C1897">
        <w:t>γλουφοσινικό</w:t>
      </w:r>
      <w:proofErr w:type="spellEnd"/>
      <w:r w:rsidRPr="003C1897">
        <w:t xml:space="preserve"> εφαρμόστηκε μόνο μία φορά κατά τη διάρκεια των επιτόπιων δοκιμών, σύμφωνα με τις συστάσεις δοσολογίας της EFSA· λαμβάνοντας, ωστόσο, υπόψη ότι, σε πραγματικές γεωργικές πρακτικές, τα ποσοστά και οι συχνότητες εφαρμογής ζιζανιοκτόνων συχνά διαφέρουν σημαντικά ανά περιοχή και μπορεί να συνεπάγονται μεγαλύτερη ή επαναλαμβανόμενη χρήση, γεγονός που σημαίνει ότι τα δεδομένα των επιτόπιων δοκιμών ενδέχεται να μην αντικατοπτρίζουν επαρκώς το πλήρες φάσμα των περιβαλλοντικών και γεωργικών συνθηκών υπό τις οποίες είναι πιθανό να καλλιεργηθεί ή να εισαχθεί ο γενετικώς τροποποιημένος αραβόσιτος·</w:t>
      </w:r>
    </w:p>
    <w:p w14:paraId="6DE1DDF5" w14:textId="77777777" w:rsidR="00A83200" w:rsidRPr="003C1897" w:rsidRDefault="00A83200" w:rsidP="00A83200">
      <w:pPr>
        <w:pStyle w:val="NormalHanging12a"/>
        <w:widowControl/>
        <w:rPr>
          <w:b/>
          <w:i/>
          <w:iCs/>
          <w:szCs w:val="24"/>
        </w:rPr>
      </w:pPr>
      <w:r w:rsidRPr="003C1897">
        <w:rPr>
          <w:b/>
          <w:i/>
        </w:rPr>
        <w:t xml:space="preserve">Έλλειψη αξιολόγησης του </w:t>
      </w:r>
      <w:proofErr w:type="spellStart"/>
      <w:r w:rsidRPr="003C1897">
        <w:rPr>
          <w:b/>
          <w:i/>
        </w:rPr>
        <w:t>γλουφοσινικού</w:t>
      </w:r>
      <w:proofErr w:type="spellEnd"/>
      <w:r w:rsidRPr="003C1897">
        <w:rPr>
          <w:b/>
          <w:i/>
        </w:rPr>
        <w:t xml:space="preserve"> </w:t>
      </w:r>
    </w:p>
    <w:p w14:paraId="0D0CE263" w14:textId="77777777" w:rsidR="00A83200" w:rsidRPr="003C1897" w:rsidRDefault="00A83200" w:rsidP="00A83200">
      <w:pPr>
        <w:pStyle w:val="NormalHanging12a"/>
        <w:widowControl/>
        <w:rPr>
          <w:szCs w:val="24"/>
        </w:rPr>
      </w:pPr>
      <w:r w:rsidRPr="003C1897">
        <w:t>ΙΒ.</w:t>
      </w:r>
      <w:r w:rsidRPr="003C1897">
        <w:tab/>
        <w:t xml:space="preserve">λαμβάνοντας υπόψη ότι το </w:t>
      </w:r>
      <w:proofErr w:type="spellStart"/>
      <w:r w:rsidRPr="003C1897">
        <w:t>γλουφοσινικό</w:t>
      </w:r>
      <w:proofErr w:type="spellEnd"/>
      <w:r w:rsidRPr="003C1897">
        <w:t xml:space="preserve"> συνδέεται με σημαντικούς κινδύνους για τη βιοποικιλότητα, την τοξικότητα και τη μακροπρόθεσμη υγεία των οικοσυστημάτων·</w:t>
      </w:r>
    </w:p>
    <w:p w14:paraId="4255B679" w14:textId="77777777" w:rsidR="00A83200" w:rsidRPr="003C1897" w:rsidRDefault="00A83200" w:rsidP="00A83200">
      <w:pPr>
        <w:pStyle w:val="NormalHanging12a"/>
        <w:widowControl/>
        <w:rPr>
          <w:szCs w:val="24"/>
        </w:rPr>
      </w:pPr>
      <w:r w:rsidRPr="003C1897">
        <w:t>ΙΓ.</w:t>
      </w:r>
      <w:r w:rsidRPr="003C1897">
        <w:tab/>
        <w:t xml:space="preserve">λαμβάνοντας υπόψη ότι στη συντριπτική τους πλειονότητα οι γενετικώς τροποποιημένες καλλιέργειες έχουν τροποποιηθεί γενετικώς ώστε να είναι ανθεκτικές σε ένα ή περισσότερα «συμπληρωματικά» ζιζανιοκτόνα που μπορούν να χρησιμοποιηθούν καθ’ όλη τη διάρκεια του κύκλου ζωής της γενετικώς τροποποιημένης καλλιέργειας, χωρίς να πεθάνει η καλλιέργεια, όπως θα συνέβαινε στην περίπτωση μιας καλλιέργειας που δεν είναι ανθεκτική στα ζιζανιοκτόνα· λαμβάνοντας υπόψη ότι διάφορες μελέτες καταδεικνύουν ότι η καλλιέργεια γενετικώς τροποποιημένων φυτών που είναι ανθεκτικά στα ζιζανιοκτόνα οδηγεί σε μεγαλύτερη </w:t>
      </w:r>
      <w:r w:rsidRPr="003C1897">
        <w:lastRenderedPageBreak/>
        <w:t>χρήση συμπληρωματικών ζιζανιοκτόνων, κυρίως λόγω της εμφάνισης ζιζανίων ανθεκτικών στα ζιζανιοκτόνα</w:t>
      </w:r>
      <w:r w:rsidRPr="003C1897">
        <w:rPr>
          <w:rStyle w:val="FootnoteReference"/>
          <w:szCs w:val="24"/>
        </w:rPr>
        <w:footnoteReference w:id="10"/>
      </w:r>
      <w:r w:rsidRPr="003C1897">
        <w:t>·</w:t>
      </w:r>
    </w:p>
    <w:p w14:paraId="6D4616DF" w14:textId="77777777" w:rsidR="00A83200" w:rsidRPr="003C1897" w:rsidRDefault="00A83200" w:rsidP="00A83200">
      <w:pPr>
        <w:pStyle w:val="NormalHanging12a"/>
        <w:widowControl/>
        <w:rPr>
          <w:szCs w:val="24"/>
        </w:rPr>
      </w:pPr>
      <w:r w:rsidRPr="003C1897">
        <w:t>ΙΔ.</w:t>
      </w:r>
      <w:r w:rsidRPr="003C1897">
        <w:tab/>
        <w:t>λαμβάνοντας υπόψη ότι οι ανθεκτικές στα ζιζανιοκτόνα γενετικώς τροποποιημένες καλλιέργειες εγκλωβίζουν τους γεωργούς σε ένα σύστημα διαχείρισης ζιζανίων το οποίο εξαρτάται σε μεγάλο βαθμό ή εξ ολοκλήρου από ζιζανιοκτόνα, και αυτό συμβαίνει με την επιβολή πριμοδότησης για τους γενετικώς τροποποιημένους σπόρους, η οποία μπορεί να δικαιολογηθεί μόνον εάν οι γεωργοί που αγοράζουν τέτοιους σπόρους ψεκάζουν επίσης με τα συμπληρωματικά ζιζανιοκτόνα· λαμβάνοντας υπόψη ότι η αυξημένη εξάρτηση από συμπληρωματικά ζιζανιοκτόνα σε γεωργικές εκμεταλλεύσεις γενετικώς τροποποιημένης καλλιέργειας επιταχύνει την εμφάνιση και την εξάπλωση ζιζανίων ανθεκτικών στα εν λόγω ζιζανιοκτόνα και δημιουργεί έτσι την ανάγκη για ακόμη μεγαλύτερη χρήση ζιζανιοκτόνων, καταλήγοντας σε έναν φαύλο κύκλο γνωστό ως «</w:t>
      </w:r>
      <w:proofErr w:type="spellStart"/>
      <w:r w:rsidRPr="003C1897">
        <w:t>herbicide</w:t>
      </w:r>
      <w:proofErr w:type="spellEnd"/>
      <w:r w:rsidRPr="003C1897">
        <w:t xml:space="preserve"> </w:t>
      </w:r>
      <w:proofErr w:type="spellStart"/>
      <w:r w:rsidRPr="003C1897">
        <w:t>treadmill</w:t>
      </w:r>
      <w:proofErr w:type="spellEnd"/>
      <w:r w:rsidRPr="003C1897">
        <w:t>» («κυλιόμενος τάπητας ζιζανιοκτόνων»)·</w:t>
      </w:r>
    </w:p>
    <w:p w14:paraId="34E85DD3" w14:textId="77777777" w:rsidR="00A83200" w:rsidRPr="003C1897" w:rsidRDefault="00A83200" w:rsidP="00A83200">
      <w:pPr>
        <w:pStyle w:val="NormalHanging12a"/>
        <w:widowControl/>
        <w:rPr>
          <w:szCs w:val="24"/>
        </w:rPr>
      </w:pPr>
      <w:r w:rsidRPr="003C1897">
        <w:t>ΙΕ.</w:t>
      </w:r>
      <w:r w:rsidRPr="003C1897">
        <w:tab/>
        <w:t>λαμβάνοντας υπόψη ότι οι δυσμενείς επιπτώσεις που απορρέουν από την υπερβολική εξάρτηση από ζιζανιοκτόνα θα επιδεινώσουν την υγεία του εδάφους, την ποιότητα των υδάτων και την υπέργεια και υπόγεια βιοποικιλότητα, και θα οδηγήσουν σε αυξημένη έκθεση των ανθρώπων και των ζώων, ενδεχομένως και με την αύξηση των καταλοίπων ζιζανιοκτόνων στα τρόφιμα και τις ζωοτροφές·</w:t>
      </w:r>
    </w:p>
    <w:p w14:paraId="51644862" w14:textId="77777777" w:rsidR="00A83200" w:rsidRPr="003C1897" w:rsidRDefault="00A83200" w:rsidP="00A83200">
      <w:pPr>
        <w:pStyle w:val="NormalHanging12a"/>
        <w:widowControl/>
        <w:rPr>
          <w:szCs w:val="24"/>
        </w:rPr>
      </w:pPr>
      <w:r w:rsidRPr="003C1897">
        <w:t>ΙΣΤ.</w:t>
      </w:r>
      <w:r w:rsidRPr="003C1897">
        <w:tab/>
        <w:t xml:space="preserve">λαμβάνοντας υπόψη ότι η αξιολόγηση των καταλοίπων ζιζανιοκτόνων και των </w:t>
      </w:r>
      <w:proofErr w:type="spellStart"/>
      <w:r w:rsidRPr="003C1897">
        <w:t>μεταβολιτών</w:t>
      </w:r>
      <w:proofErr w:type="spellEnd"/>
      <w:r w:rsidRPr="003C1897">
        <w:t xml:space="preserve"> τους που απαντούν σε γενετικώς τροποποιημένα φυτά θεωρείται ότι δεν εμπίπτει στο πεδίο αρμοδιοτήτων της ομάδας της EFSA για τους γενετικώς τροποποιημένους οργανισμούς (ειδική ομάδα ΓΤΟ της EFSA) και, ως εκ τούτου, δεν διενεργείται στο πλαίσιο της διαδικασίας έγκρισης ΓΤΟ·</w:t>
      </w:r>
    </w:p>
    <w:p w14:paraId="0F39C48D" w14:textId="77777777" w:rsidR="00A83200" w:rsidRPr="003C1897" w:rsidRDefault="00A83200" w:rsidP="00A83200">
      <w:pPr>
        <w:pStyle w:val="NormalHanging12a"/>
        <w:widowControl/>
        <w:rPr>
          <w:b/>
          <w:i/>
          <w:iCs/>
          <w:szCs w:val="24"/>
        </w:rPr>
      </w:pPr>
      <w:r w:rsidRPr="003C1897">
        <w:rPr>
          <w:b/>
          <w:i/>
        </w:rPr>
        <w:t>Εκκρεμή ζητήματα σχετικά με την τοξίνη IPD072Aa</w:t>
      </w:r>
    </w:p>
    <w:p w14:paraId="36360CBF" w14:textId="77777777" w:rsidR="00A83200" w:rsidRPr="003C1897" w:rsidRDefault="00A83200" w:rsidP="00A83200">
      <w:pPr>
        <w:pStyle w:val="NormalHanging12a"/>
        <w:widowControl/>
        <w:rPr>
          <w:szCs w:val="24"/>
        </w:rPr>
      </w:pPr>
      <w:r w:rsidRPr="003C1897">
        <w:t>ΙΖ.</w:t>
      </w:r>
      <w:r w:rsidRPr="003C1897">
        <w:tab/>
        <w:t>λαμβάνοντας υπόψη ότι ο εκτελεστικός κανονισμός (ΕΕ) αριθ. 503/2013 απαιτεί τη διενέργεια τοξικολογικής αξιολόγησης προκειμένου να αποδειχθεί ότι το επιδιωκόμενο αποτέλεσμα της γενετικής τροποποίησης δεν έχει αρνητικές επιπτώσεις στην υγεία του ανθρώπου και των ζώων·</w:t>
      </w:r>
    </w:p>
    <w:p w14:paraId="5293C5B7" w14:textId="77777777" w:rsidR="00A83200" w:rsidRPr="003C1897" w:rsidRDefault="00A83200" w:rsidP="00A83200">
      <w:pPr>
        <w:pStyle w:val="NormalHanging12a"/>
        <w:widowControl/>
        <w:rPr>
          <w:szCs w:val="24"/>
        </w:rPr>
      </w:pPr>
      <w:r w:rsidRPr="003C1897">
        <w:t>ΙΗ.</w:t>
      </w:r>
      <w:r w:rsidRPr="003C1897">
        <w:tab/>
        <w:t xml:space="preserve">λαμβάνοντας υπόψη ότι η IPD072Aa είναι μια νέα πρωτεΐνη, που σημαίνει ότι η χρήση της στη γεωργία και η εισαγωγή της στην τροφική αλυσίδα δεν μπορούν να βασίζονται αποκλειστικά στην πείρα που έχει αποκτηθεί στο παρελθόν· </w:t>
      </w:r>
    </w:p>
    <w:p w14:paraId="0A14DE84" w14:textId="77777777" w:rsidR="00A83200" w:rsidRPr="003C1897" w:rsidRDefault="00A83200" w:rsidP="00A83200">
      <w:pPr>
        <w:pStyle w:val="NormalHanging12a"/>
        <w:widowControl/>
        <w:rPr>
          <w:szCs w:val="24"/>
        </w:rPr>
      </w:pPr>
      <w:r w:rsidRPr="003C1897">
        <w:lastRenderedPageBreak/>
        <w:t>ΙΘ.</w:t>
      </w:r>
      <w:r w:rsidRPr="003C1897">
        <w:tab/>
        <w:t xml:space="preserve">λαμβάνοντας υπόψη ότι, παρά τις διαφορές, οι παρατηρούμενες ομοιότητες μεταξύ της IPD072Aa και των τοξινών </w:t>
      </w:r>
      <w:proofErr w:type="spellStart"/>
      <w:r w:rsidRPr="003C1897">
        <w:t>Bt</w:t>
      </w:r>
      <w:proofErr w:type="spellEnd"/>
      <w:r w:rsidRPr="003C1897">
        <w:t xml:space="preserve"> αναδεικνύουν την ανάγκη προσεκτικής εξέτασης κατά τη διαδικασία αξιολόγησης του κινδύνου· λαμβάνοντας υπόψη ότι αρκετές μελέτες έχουν δείξει ότι οι τοξίνες </w:t>
      </w:r>
      <w:proofErr w:type="spellStart"/>
      <w:r w:rsidRPr="003C1897">
        <w:t>Bt</w:t>
      </w:r>
      <w:proofErr w:type="spellEnd"/>
      <w:r w:rsidRPr="003C1897">
        <w:t xml:space="preserve"> μπορεί να προκαλέσουν ανεπιθύμητες ενέργειες που σχετίζονται με το ανοσοποιητικό σύστημα, συμπεριλαμβανομένων πιθανών </w:t>
      </w:r>
      <w:proofErr w:type="spellStart"/>
      <w:r w:rsidRPr="003C1897">
        <w:t>ανοσοενισχυτικών</w:t>
      </w:r>
      <w:proofErr w:type="spellEnd"/>
      <w:r w:rsidRPr="003C1897">
        <w:t xml:space="preserve"> ιδιοτήτων</w:t>
      </w:r>
      <w:r w:rsidRPr="003C1897">
        <w:rPr>
          <w:rStyle w:val="FootnoteReference"/>
          <w:szCs w:val="24"/>
        </w:rPr>
        <w:footnoteReference w:id="11"/>
      </w:r>
      <w:r w:rsidRPr="003C1897">
        <w:t xml:space="preserve">, γεγονός που σημαίνει ότι μπορούν να αυξήσουν την </w:t>
      </w:r>
      <w:proofErr w:type="spellStart"/>
      <w:r w:rsidRPr="003C1897">
        <w:t>αλλεργιογονικότητα</w:t>
      </w:r>
      <w:proofErr w:type="spellEnd"/>
      <w:r w:rsidRPr="003C1897">
        <w:t xml:space="preserve"> άλλων πρωτεϊνών με τις οποίες έρχονται σε επαφή·</w:t>
      </w:r>
    </w:p>
    <w:p w14:paraId="5DA92A0B" w14:textId="77777777" w:rsidR="00A83200" w:rsidRPr="003C1897" w:rsidRDefault="00A83200" w:rsidP="00A83200">
      <w:pPr>
        <w:pStyle w:val="NormalHanging12a"/>
        <w:widowControl/>
        <w:rPr>
          <w:szCs w:val="24"/>
        </w:rPr>
      </w:pPr>
      <w:r w:rsidRPr="003C1897">
        <w:t>Κ.</w:t>
      </w:r>
      <w:r w:rsidRPr="003C1897">
        <w:tab/>
        <w:t xml:space="preserve">λαμβάνοντας υπόψη ότι, σύμφωνα με επιστημονική μελέτη, η τοξικότητα των τοξινών </w:t>
      </w:r>
      <w:proofErr w:type="spellStart"/>
      <w:r w:rsidRPr="003C1897">
        <w:t>Bt</w:t>
      </w:r>
      <w:proofErr w:type="spellEnd"/>
      <w:r w:rsidRPr="003C1897">
        <w:t xml:space="preserve"> μπορεί επίσης να ενισχυθεί μέσω της αλληλεπίδρασης με κατάλοιπα από τον ψεκασμό με ζιζανιοκτόνα, και ότι απαιτούνται περαιτέρω μελέτες σχετικά με τις συνδυαστικές επιδράσεις των «συσσωρευμένων» συμβάντων (γενετικώς τροποποιημένες καλλιέργειες που έχουν τροποποιηθεί ώστε να είναι ανθεκτικές στα ζιζανιοκτόνα και να παράγουν εντομοκτόνα υπό μορφή τοξινών </w:t>
      </w:r>
      <w:proofErr w:type="spellStart"/>
      <w:r w:rsidRPr="003C1897">
        <w:t>Bt</w:t>
      </w:r>
      <w:proofErr w:type="spellEnd"/>
      <w:r w:rsidRPr="003C1897">
        <w:t>)</w:t>
      </w:r>
      <w:r w:rsidRPr="003C1897">
        <w:rPr>
          <w:rStyle w:val="FootnoteReference"/>
          <w:szCs w:val="24"/>
        </w:rPr>
        <w:footnoteReference w:id="12"/>
      </w:r>
      <w:r w:rsidRPr="003C1897">
        <w:t xml:space="preserve">· λαμβάνοντας υπόψη ότι η αξιολόγηση της ενδεχόμενης αλληλεπίδρασης των καταλοίπων ζιζανιοκτόνων και των </w:t>
      </w:r>
      <w:proofErr w:type="spellStart"/>
      <w:r w:rsidRPr="003C1897">
        <w:t>μεταβολιτών</w:t>
      </w:r>
      <w:proofErr w:type="spellEnd"/>
      <w:r w:rsidRPr="003C1897">
        <w:t xml:space="preserve"> τους με τοξίνες </w:t>
      </w:r>
      <w:proofErr w:type="spellStart"/>
      <w:r w:rsidRPr="003C1897">
        <w:t>Bt</w:t>
      </w:r>
      <w:proofErr w:type="spellEnd"/>
      <w:r w:rsidRPr="003C1897">
        <w:t xml:space="preserve"> θεωρείται, ωστόσο, ότι δεν εμπίπτει στις αρμοδιότητες της ομάδας της EFSA για τους ΓΤΟ και, ως εκ τούτου, δεν διενεργείται στο πλαίσιο της εκτίμησης κινδύνου·</w:t>
      </w:r>
    </w:p>
    <w:p w14:paraId="3DBEDBC3" w14:textId="77777777" w:rsidR="00A83200" w:rsidRPr="003C1897" w:rsidRDefault="00A83200" w:rsidP="00A83200">
      <w:pPr>
        <w:pStyle w:val="NormalHanging12a"/>
        <w:widowControl/>
        <w:rPr>
          <w:szCs w:val="24"/>
        </w:rPr>
      </w:pPr>
      <w:r w:rsidRPr="003C1897">
        <w:t>ΚΑ.</w:t>
      </w:r>
      <w:r w:rsidRPr="003C1897">
        <w:tab/>
        <w:t xml:space="preserve">λαμβάνοντας υπόψη ότι η αξιολόγηση της τοξικότητας της IPD072Aa δεν λαμβάνει υπόψη πιθανές </w:t>
      </w:r>
      <w:proofErr w:type="spellStart"/>
      <w:r w:rsidRPr="003C1897">
        <w:t>συνεργιστικές</w:t>
      </w:r>
      <w:proofErr w:type="spellEnd"/>
      <w:r w:rsidRPr="003C1897">
        <w:t xml:space="preserve"> ή σωρευτικές επιπτώσεις που προκύπτουν από αλληλεπιδράσεις με </w:t>
      </w:r>
      <w:proofErr w:type="spellStart"/>
      <w:r w:rsidRPr="003C1897">
        <w:t>μεταβολίτες</w:t>
      </w:r>
      <w:proofErr w:type="spellEnd"/>
      <w:r w:rsidRPr="003C1897">
        <w:t xml:space="preserve"> φυτών ή κατάλοιπα ζιζανιοκτόνων·</w:t>
      </w:r>
    </w:p>
    <w:p w14:paraId="5E0193AA" w14:textId="77777777" w:rsidR="00A83200" w:rsidRPr="003C1897" w:rsidRDefault="00A83200" w:rsidP="00A83200">
      <w:pPr>
        <w:pStyle w:val="NormalHanging12a"/>
        <w:widowControl/>
        <w:rPr>
          <w:szCs w:val="24"/>
        </w:rPr>
      </w:pPr>
      <w:r w:rsidRPr="003C1897">
        <w:t>ΚΒ.</w:t>
      </w:r>
      <w:r w:rsidRPr="003C1897">
        <w:tab/>
        <w:t>λαμβάνοντας υπόψη ότι δεν έχουν παρασχεθεί δεδομένα σχετικά με τη συσσώρευση της IPD072Aa στους τροφικούς ιστούς, τη διάδοσή της στο περιβάλλον, ιδίως μέσω των λυμάτων και της κοπριάς στο έδαφος και στα υδάτινα οικοσυστήματα, ή τις επιπτώσεις της σε μη στοχευόμενους οργανισμούς·</w:t>
      </w:r>
    </w:p>
    <w:p w14:paraId="7D8ADA10" w14:textId="77777777" w:rsidR="00A83200" w:rsidRPr="003C1897" w:rsidRDefault="00A83200" w:rsidP="00A83200">
      <w:pPr>
        <w:pStyle w:val="NormalHanging12a"/>
        <w:widowControl/>
        <w:rPr>
          <w:szCs w:val="24"/>
        </w:rPr>
      </w:pPr>
      <w:r w:rsidRPr="003C1897">
        <w:t>ΚΓ.</w:t>
      </w:r>
      <w:r w:rsidRPr="003C1897">
        <w:tab/>
        <w:t xml:space="preserve">λαμβάνοντας υπόψη ότι η δυνατότητα γονιδιακής ροής σε άγρια συγγενικά είδη, όπως η </w:t>
      </w:r>
      <w:proofErr w:type="spellStart"/>
      <w:r w:rsidRPr="003C1897">
        <w:t>τεοζίντη</w:t>
      </w:r>
      <w:proofErr w:type="spellEnd"/>
      <w:r w:rsidRPr="003C1897">
        <w:t xml:space="preserve">, που καταγράφηκε στην Ισπανία και τη Γαλλία, εγείρει ανησυχίες σχετικά με τη διατήρηση του </w:t>
      </w:r>
      <w:proofErr w:type="spellStart"/>
      <w:r w:rsidRPr="003C1897">
        <w:t>διαγονιδίου</w:t>
      </w:r>
      <w:proofErr w:type="spellEnd"/>
      <w:r w:rsidRPr="003C1897">
        <w:t xml:space="preserve"> στο περιβάλλον και τις πιθανές οικολογικές του επιπτώσεις</w:t>
      </w:r>
      <w:r w:rsidRPr="003C1897">
        <w:rPr>
          <w:rStyle w:val="FootnoteReference"/>
          <w:szCs w:val="24"/>
        </w:rPr>
        <w:footnoteReference w:id="13"/>
      </w:r>
      <w:r w:rsidRPr="003C1897">
        <w:t>·</w:t>
      </w:r>
    </w:p>
    <w:p w14:paraId="52DC9AF0" w14:textId="77777777" w:rsidR="00A83200" w:rsidRPr="003C1897" w:rsidRDefault="00A83200" w:rsidP="00A83200">
      <w:pPr>
        <w:pStyle w:val="NormalHanging12a"/>
        <w:widowControl/>
        <w:rPr>
          <w:szCs w:val="24"/>
        </w:rPr>
      </w:pPr>
      <w:r w:rsidRPr="003C1897">
        <w:t>ΚΔ.</w:t>
      </w:r>
      <w:r w:rsidRPr="003C1897">
        <w:tab/>
        <w:t xml:space="preserve">λαμβάνοντας υπόψη ότι οι απαιτήσεις σχετικά με την παρακολούθηση που ορίζονται στον εκτελεστικό κανονισμό (ΕΕ) αριθ. 503/2013 δεν εφαρμόζονται επαρκώς, δεδομένου ότι δεν υπάρχει ανεξάρτητη επαλήθευση των δεδομένων που υπέβαλε η </w:t>
      </w:r>
      <w:proofErr w:type="spellStart"/>
      <w:r w:rsidRPr="003C1897">
        <w:t>Corteva</w:t>
      </w:r>
      <w:proofErr w:type="spellEnd"/>
      <w:r w:rsidRPr="003C1897">
        <w:t xml:space="preserve"> </w:t>
      </w:r>
      <w:proofErr w:type="spellStart"/>
      <w:r w:rsidRPr="003C1897">
        <w:t>Agriscience</w:t>
      </w:r>
      <w:proofErr w:type="spellEnd"/>
      <w:r w:rsidRPr="003C1897">
        <w:t xml:space="preserve"> LLC·</w:t>
      </w:r>
    </w:p>
    <w:p w14:paraId="7430BE3A" w14:textId="77777777" w:rsidR="00A83200" w:rsidRPr="003C1897" w:rsidRDefault="00A83200" w:rsidP="00B74A39">
      <w:pPr>
        <w:pStyle w:val="NormalHanging12a"/>
        <w:widowControl/>
        <w:ind w:left="0" w:firstLine="0"/>
        <w:rPr>
          <w:b/>
          <w:i/>
          <w:iCs/>
          <w:szCs w:val="24"/>
        </w:rPr>
      </w:pPr>
      <w:r w:rsidRPr="003C1897">
        <w:rPr>
          <w:b/>
          <w:i/>
        </w:rPr>
        <w:lastRenderedPageBreak/>
        <w:t>Εξασφάλιση ισότιμων όρων ανταγωνισμού σε παγκόσμιο επίπεδο και τήρηση των διεθνών υποχρεώσεων της Ένωσης</w:t>
      </w:r>
    </w:p>
    <w:p w14:paraId="0CFEBD7F" w14:textId="1430941E" w:rsidR="00A83200" w:rsidRPr="003C1897" w:rsidRDefault="00A83200" w:rsidP="00A83200">
      <w:pPr>
        <w:pStyle w:val="NormalHanging12a"/>
        <w:widowControl/>
        <w:rPr>
          <w:b/>
          <w:szCs w:val="24"/>
        </w:rPr>
      </w:pPr>
      <w:r w:rsidRPr="003C1897">
        <w:t>ΚΕ.</w:t>
      </w:r>
      <w:r w:rsidRPr="003C1897">
        <w:rPr>
          <w:b/>
        </w:rPr>
        <w:tab/>
      </w:r>
      <w:r w:rsidRPr="003C1897">
        <w:t>λαμβάνοντας υπόψη ότι η καλλιέργεια γενετικώς τροποποιημένου αραβοσίτου δεν επιτρέπεται στην Ένωση· λαμβάνοντας υπόψη ότι η έγκριση τ</w:t>
      </w:r>
      <w:r w:rsidR="00EC587A">
        <w:t>ης</w:t>
      </w:r>
      <w:r w:rsidRPr="003C1897">
        <w:t xml:space="preserve"> </w:t>
      </w:r>
      <w:r w:rsidR="00EC587A">
        <w:t>εκτελεστικής</w:t>
      </w:r>
      <w:r w:rsidRPr="003C1897">
        <w:t xml:space="preserve"> απόφασης</w:t>
      </w:r>
      <w:r w:rsidR="00EC587A">
        <w:t xml:space="preserve"> (ΕΕ) 2025/1898</w:t>
      </w:r>
      <w:r w:rsidRPr="003C1897">
        <w:t xml:space="preserve"> της Επιτροπής </w:t>
      </w:r>
      <w:r w:rsidR="00EC587A">
        <w:t>επιτρέπει</w:t>
      </w:r>
      <w:r w:rsidRPr="003C1897">
        <w:t xml:space="preserve"> εισαγωγές στην Ένωση που δεν συμμορφώνονται με τα πρότυπα που τηρούν οι γεωργοί της Ένωσης, με αποτέλεσμα να περιέρχονται οι τελευταίοι σε μειονεκτική ανταγωνιστική θέση·</w:t>
      </w:r>
    </w:p>
    <w:p w14:paraId="23B85F85" w14:textId="77777777" w:rsidR="00A83200" w:rsidRPr="003C1897" w:rsidRDefault="00A83200" w:rsidP="00A83200">
      <w:pPr>
        <w:pStyle w:val="NormalHanging12a"/>
        <w:widowControl/>
        <w:rPr>
          <w:b/>
          <w:szCs w:val="24"/>
        </w:rPr>
      </w:pPr>
      <w:r w:rsidRPr="003C1897">
        <w:t>ΚΣΤ.</w:t>
      </w:r>
      <w:r w:rsidRPr="003C1897">
        <w:tab/>
        <w:t>λαμβάνοντας υπόψη ότι τα συμπεράσματα του στρατηγικού διαλόγου για το μέλλον της γεωργίας της ΕΕ</w:t>
      </w:r>
      <w:r w:rsidRPr="003C1897">
        <w:rPr>
          <w:rStyle w:val="FootnoteReference"/>
          <w:szCs w:val="24"/>
        </w:rPr>
        <w:footnoteReference w:id="14"/>
      </w:r>
      <w:r w:rsidRPr="003C1897">
        <w:t xml:space="preserve"> καλούν την Επιτροπή να επαναξιολογήσει την προσέγγισή της όσον αφορά την πρόσβαση στην αγορά για τις εισαγωγές και τις εξαγωγές γεωργικών ειδών διατροφής, δεδομένης της πρόκλησης που τίθεται από τα αποκλίνοντα πρότυπα της Ένωσης και των εμπορικών εταίρων της· λαμβάνοντας υπόψη ότι οι δικαιότερες εμπορικές σχέσεις, σε παγκόσμιο επίπεδο, που συνάδουν με τους στόχους για ένα υγιές περιβάλλον ήταν μία από τις κύριες απαιτήσεις των αγροτών κατά τη διάρκεια των διαδηλώσεων του 2023 και του 2024·</w:t>
      </w:r>
    </w:p>
    <w:p w14:paraId="73353580" w14:textId="77777777" w:rsidR="00A83200" w:rsidRPr="003C1897" w:rsidRDefault="00A83200" w:rsidP="00A83200">
      <w:pPr>
        <w:pStyle w:val="NormalHanging12a"/>
        <w:widowControl/>
        <w:rPr>
          <w:szCs w:val="24"/>
        </w:rPr>
      </w:pPr>
      <w:r w:rsidRPr="003C1897">
        <w:t>ΚΖ.</w:t>
      </w:r>
      <w:r w:rsidRPr="003C1897">
        <w:tab/>
        <w:t>λαμβάνοντας υπόψη ότι, σύμφωνα με έκθεση του 2017 του ειδικού εισηγητή των Ηνωμένων Εθνών για το δικαίωμα στη διατροφή, τα επικίνδυνα φυτοφάρμακα έχουν καταστροφικές επιπτώσεις στην υγεία, ιδίως στις αναπτυσσόμενες χώρες</w:t>
      </w:r>
      <w:r w:rsidRPr="003C1897">
        <w:rPr>
          <w:rStyle w:val="FootnoteReference"/>
          <w:szCs w:val="24"/>
        </w:rPr>
        <w:footnoteReference w:id="15"/>
      </w:r>
      <w:r w:rsidRPr="003C1897">
        <w:t>· λαμβάνοντας υπόψη ότι ο στόχος βιώσιμης ανάπτυξης (ΣΒΑ) 3.9 των Ηνωμένων Εθνών αφορά τη σημαντική μείωση, έως το 2030, του αριθμού των θανάτων και ασθενειών λόγω επικίνδυνων χημικών ουσιών, καθώς και λόγω της ρύπανσης και μόλυνσης του αέρα, των υδάτων και του εδάφους</w:t>
      </w:r>
      <w:r w:rsidRPr="003C1897">
        <w:rPr>
          <w:rStyle w:val="FootnoteReference"/>
          <w:szCs w:val="24"/>
        </w:rPr>
        <w:footnoteReference w:id="16"/>
      </w:r>
      <w:r w:rsidRPr="003C1897">
        <w:t>·</w:t>
      </w:r>
    </w:p>
    <w:p w14:paraId="5B525494" w14:textId="77777777" w:rsidR="00A83200" w:rsidRPr="003C1897" w:rsidRDefault="00A83200" w:rsidP="00A83200">
      <w:pPr>
        <w:pStyle w:val="NormalHanging12a"/>
        <w:widowControl/>
        <w:rPr>
          <w:szCs w:val="24"/>
        </w:rPr>
      </w:pPr>
      <w:r w:rsidRPr="003C1897">
        <w:t>ΚΗ.</w:t>
      </w:r>
      <w:r w:rsidRPr="003C1897">
        <w:tab/>
        <w:t xml:space="preserve">λαμβάνοντας υπόψη ότι το παγκόσμιο πλαίσιο για τη βιοποικιλότητα </w:t>
      </w:r>
      <w:proofErr w:type="spellStart"/>
      <w:r w:rsidRPr="003C1897">
        <w:t>Kunming-Montreal</w:t>
      </w:r>
      <w:proofErr w:type="spellEnd"/>
      <w:r w:rsidRPr="003C1897">
        <w:t>, το οποίο συμφωνήθηκε στην COP15 της Σύμβασης των Ηνωμένων Εθνών για τη βιολογική ποικιλότητα («ΣΒΠ του ΟΗΕ») τον Δεκέμβριο του 2022, περιλαμβάνει έναν παγκόσμιο στόχο για τη μείωση του κινδύνου των φυτοφαρμάκων κατά τουλάχιστον 50 % έως το 2030</w:t>
      </w:r>
      <w:r w:rsidRPr="003C1897">
        <w:rPr>
          <w:rStyle w:val="FootnoteReference"/>
          <w:szCs w:val="24"/>
        </w:rPr>
        <w:footnoteReference w:id="17"/>
      </w:r>
      <w:r w:rsidRPr="003C1897">
        <w:t>·</w:t>
      </w:r>
    </w:p>
    <w:p w14:paraId="00838CF5" w14:textId="77777777" w:rsidR="00A83200" w:rsidRPr="003C1897" w:rsidRDefault="00A83200" w:rsidP="00A83200">
      <w:pPr>
        <w:pStyle w:val="NormalHanging12a"/>
        <w:widowControl/>
        <w:rPr>
          <w:szCs w:val="24"/>
        </w:rPr>
      </w:pPr>
      <w:r w:rsidRPr="003C1897">
        <w:t>ΚΘ.</w:t>
      </w:r>
      <w:r w:rsidRPr="003C1897">
        <w:tab/>
        <w:t>λαμβάνοντας υπόψη ότι, σύμφωνα με τον κανονισμό (ΕΚ) αριθ. 1829/2003, τα γενετικώς τροποποιημένα τρόφιμα ή ζωοτροφές δεν πρέπει να έχουν δυσμενείς επιπτώσεις στην υγεία των ανθρώπων, στην υγεία των ζώων ή στο περιβάλλον, και ότι η Επιτροπή, κατά τη σύνταξη της απόφασής της, οφείλει να λαμβάνει υπόψη τυχόν συναφείς διατάξεις της ενωσιακής νομοθεσίας και άλλους θεμιτούς παράγοντες σχετικούς με το υπό εξέταση αντικείμενο· λαμβάνοντας υπόψη ότι στους εν λόγω θεμιτούς παράγοντες θα πρέπει να περιλαμβάνονται οι υποχρεώσεις της Ένωσης στο πλαίσιο των ΣΒΑ και της ΣΒΠ του ΟΗΕ·</w:t>
      </w:r>
    </w:p>
    <w:p w14:paraId="51C348A7" w14:textId="77777777" w:rsidR="00A83200" w:rsidRPr="003C1897" w:rsidRDefault="00A83200" w:rsidP="00A83200">
      <w:pPr>
        <w:pStyle w:val="NormalHanging12a"/>
        <w:widowControl/>
        <w:rPr>
          <w:b/>
          <w:i/>
          <w:iCs/>
          <w:szCs w:val="24"/>
        </w:rPr>
      </w:pPr>
      <w:r w:rsidRPr="003C1897">
        <w:rPr>
          <w:b/>
          <w:i/>
        </w:rPr>
        <w:lastRenderedPageBreak/>
        <w:t>Μείωση της εξάρτησης από εισαγόμενες ζωοτροφές</w:t>
      </w:r>
    </w:p>
    <w:p w14:paraId="4BC70A9B" w14:textId="6C24C83C" w:rsidR="00A83200" w:rsidRPr="003C1897" w:rsidRDefault="00A83200" w:rsidP="00A83200">
      <w:pPr>
        <w:pStyle w:val="NormalHanging12a"/>
        <w:widowControl/>
        <w:rPr>
          <w:szCs w:val="24"/>
        </w:rPr>
      </w:pPr>
      <w:r w:rsidRPr="003C1897">
        <w:t>Λ.</w:t>
      </w:r>
      <w:r w:rsidRPr="003C1897">
        <w:tab/>
        <w:t>λαμβάνοντας υπόψη ότι ένα από τα διδάγματα από την κρίση</w:t>
      </w:r>
      <w:r w:rsidR="00C4050C">
        <w:t xml:space="preserve"> της</w:t>
      </w:r>
      <w:r w:rsidRPr="003C1897">
        <w:t xml:space="preserve"> COVID-19 και το συνεχιζόμενο πόλεμο στην Ουκρανία είναι η ανάγκη να τερματίσει η Ένωση τις εξαρτήσεις από ορισμένα κρίσιμα υλικά· λαμβάνοντας υπόψη ότι στην επιστολή ανάθεσης καθηκόντων προς τον Επίτροπο </w:t>
      </w:r>
      <w:proofErr w:type="spellStart"/>
      <w:r w:rsidRPr="003C1897">
        <w:t>Christophe</w:t>
      </w:r>
      <w:proofErr w:type="spellEnd"/>
      <w:r w:rsidRPr="003C1897">
        <w:t xml:space="preserve"> </w:t>
      </w:r>
      <w:proofErr w:type="spellStart"/>
      <w:r w:rsidRPr="003C1897">
        <w:t>Hansen</w:t>
      </w:r>
      <w:proofErr w:type="spellEnd"/>
      <w:r w:rsidRPr="003C1897">
        <w:t xml:space="preserve">, η Πρόεδρος της Επιτροπής </w:t>
      </w:r>
      <w:proofErr w:type="spellStart"/>
      <w:r w:rsidRPr="003C1897">
        <w:t>Ursula</w:t>
      </w:r>
      <w:proofErr w:type="spellEnd"/>
      <w:r w:rsidRPr="003C1897">
        <w:t xml:space="preserve"> </w:t>
      </w:r>
      <w:proofErr w:type="spellStart"/>
      <w:r w:rsidRPr="003C1897">
        <w:t>von</w:t>
      </w:r>
      <w:proofErr w:type="spellEnd"/>
      <w:r w:rsidRPr="003C1897">
        <w:t xml:space="preserve"> </w:t>
      </w:r>
      <w:proofErr w:type="spellStart"/>
      <w:r w:rsidRPr="003C1897">
        <w:t>der</w:t>
      </w:r>
      <w:proofErr w:type="spellEnd"/>
      <w:r w:rsidRPr="003C1897">
        <w:t xml:space="preserve"> </w:t>
      </w:r>
      <w:proofErr w:type="spellStart"/>
      <w:r w:rsidRPr="003C1897">
        <w:t>Leyen</w:t>
      </w:r>
      <w:proofErr w:type="spellEnd"/>
      <w:r w:rsidRPr="003C1897">
        <w:t xml:space="preserve"> τού ζήτησε να εξετάσει τρόπους μείωσης των εισαγωγών κρίσιμων βασικών προϊόντων</w:t>
      </w:r>
      <w:r w:rsidRPr="003C1897">
        <w:rPr>
          <w:rStyle w:val="FootnoteReference"/>
          <w:szCs w:val="24"/>
        </w:rPr>
        <w:footnoteReference w:id="18"/>
      </w:r>
      <w:r w:rsidRPr="003C1897">
        <w:t>·</w:t>
      </w:r>
    </w:p>
    <w:p w14:paraId="2DEEBCBE" w14:textId="77777777" w:rsidR="00A83200" w:rsidRPr="003C1897" w:rsidRDefault="00A83200" w:rsidP="00A83200">
      <w:pPr>
        <w:pStyle w:val="NormalHanging12a"/>
        <w:widowControl/>
        <w:rPr>
          <w:b/>
          <w:i/>
          <w:iCs/>
          <w:szCs w:val="24"/>
        </w:rPr>
      </w:pPr>
      <w:r w:rsidRPr="003C1897">
        <w:rPr>
          <w:b/>
          <w:i/>
        </w:rPr>
        <w:t>Μη δημοκρατική διαδικασία λήψης αποφάσεων</w:t>
      </w:r>
    </w:p>
    <w:p w14:paraId="3ACB9619" w14:textId="77777777" w:rsidR="00A83200" w:rsidRPr="003C1897" w:rsidRDefault="00A83200" w:rsidP="00A83200">
      <w:pPr>
        <w:pStyle w:val="NormalHanging12a"/>
        <w:widowControl/>
        <w:rPr>
          <w:szCs w:val="24"/>
        </w:rPr>
      </w:pPr>
      <w:r w:rsidRPr="003C1897">
        <w:t>ΛΑ.</w:t>
      </w:r>
      <w:r w:rsidRPr="003C1897">
        <w:tab/>
        <w:t>λαμβάνοντας υπόψη ότι, κατά την όγδοη κοινοβουλευτική του περίοδο, το Κοινοβούλιο ενέκρινε συνολικά 36 ψηφίσματα που αντιτίθενται στη διάθεση στην αγορά ΓΤΟ για τρόφιμα και ζωοτροφές (33 ψηφίσματα) και στην καλλιέργεια ΓΤΟ στην Ένωση (τρία ψηφίσματα)· λαμβάνοντας υπόψη ότι, κατά την ένατη κοινοβουλευτική του περίοδο, το Κοινοβούλιο ενέκρινε 38 ψηφίσματα που αντιτίθενται στη διάθεση ΓΤΟ στην αγορά και άλλα 11 ψηφίσματα που αντιτίθενται στη διάθεση ΓΤΟ στην αγορά ήδη κατά την τρέχουσα δέκατη κοινοβουλευτική περίοδο·</w:t>
      </w:r>
    </w:p>
    <w:p w14:paraId="2F4A0517" w14:textId="77777777" w:rsidR="00A83200" w:rsidRPr="003C1897" w:rsidRDefault="00A83200" w:rsidP="00A83200">
      <w:pPr>
        <w:pStyle w:val="NormalHanging12a"/>
        <w:widowControl/>
        <w:rPr>
          <w:szCs w:val="24"/>
        </w:rPr>
      </w:pPr>
      <w:r w:rsidRPr="003C1897">
        <w:t>ΛΒ.</w:t>
      </w:r>
      <w:r w:rsidRPr="003C1897">
        <w:tab/>
        <w:t>λαμβάνοντας υπόψη ότι η Επιτροπή εξακολουθεί να εγκρίνει ΓΤΟ, παρά το γεγονός ότι αναγνωρίζει και η ίδια την ύπαρξη δημοκρατικού ελλείμματος, την έλλειψη στήριξης από την πλευρά των κρατών μελών και τις ενστάσεις του Κοινοβουλίου·</w:t>
      </w:r>
    </w:p>
    <w:p w14:paraId="45B20C30" w14:textId="77777777" w:rsidR="00A83200" w:rsidRPr="003C1897" w:rsidRDefault="00A83200" w:rsidP="00A83200">
      <w:pPr>
        <w:pStyle w:val="NormalHanging12a"/>
        <w:widowControl/>
        <w:rPr>
          <w:szCs w:val="24"/>
        </w:rPr>
      </w:pPr>
      <w:r w:rsidRPr="003C1897">
        <w:t>ΛΓ.</w:t>
      </w:r>
      <w:r w:rsidRPr="003C1897">
        <w:tab/>
        <w:t>λαμβάνοντας υπόψη ότι δεν απαιτείται καμία τροποποίηση της νομοθεσίας ώστε η Επιτροπή να είναι σε θέση να μην εγκρίνει ΓΤΟ όταν δεν υπάρχει ειδική πλειοψηφία κρατών μελών υπέρ της έγκρισης στην επιτροπή προσφυγών</w:t>
      </w:r>
      <w:r w:rsidRPr="003C1897">
        <w:rPr>
          <w:rStyle w:val="FootnoteReference"/>
          <w:szCs w:val="24"/>
        </w:rPr>
        <w:footnoteReference w:id="19"/>
      </w:r>
      <w:r w:rsidRPr="003C1897">
        <w:t>·</w:t>
      </w:r>
    </w:p>
    <w:p w14:paraId="5A8A5631" w14:textId="77777777" w:rsidR="00A83200" w:rsidRPr="003C1897" w:rsidRDefault="00A83200" w:rsidP="00A83200">
      <w:pPr>
        <w:pStyle w:val="NormalHanging12a"/>
        <w:widowControl/>
        <w:rPr>
          <w:szCs w:val="24"/>
        </w:rPr>
      </w:pPr>
      <w:r w:rsidRPr="003C1897">
        <w:t>ΛΔ.</w:t>
      </w:r>
      <w:r w:rsidRPr="003C1897">
        <w:tab/>
        <w:t>λαμβάνοντας υπόψη ότι η ψηφοφορία της 13ης Ιουνίου 2025 στη μόνιμη επιτροπή φυτών, ζώων, τροφίμων και ζωοτροφών, που αναφέρεται στο άρθρο 35 του κανονισμού (ΕΚ) αριθ. 1829/2003, δεν οδήγησε σε έκδοση γνωμοδότησης, κάτι που σημαίνει ότι η αδειοδότηση δεν υποστηρίχθηκε από την ειδική πλειοψηφία των κρατών μελών</w:t>
      </w:r>
      <w:r w:rsidRPr="003C1897">
        <w:rPr>
          <w:rStyle w:val="FootnoteReference"/>
          <w:szCs w:val="24"/>
        </w:rPr>
        <w:footnoteReference w:id="20"/>
      </w:r>
      <w:r w:rsidRPr="003C1897">
        <w:t xml:space="preserve">· </w:t>
      </w:r>
      <w:r w:rsidRPr="003C1897">
        <w:rPr>
          <w:shd w:val="clear" w:color="auto" w:fill="FFFFFF"/>
        </w:rPr>
        <w:t>λαμβάνοντας υπόψη ότι ούτε η ψηφοφορία της 15ης Ιουλίου 2025 στην επιτροπή προσφυγών οδήγησε σε γνωμοδότηση·</w:t>
      </w:r>
    </w:p>
    <w:p w14:paraId="08197DF4" w14:textId="4FA04DF0" w:rsidR="00A83200" w:rsidRPr="003C1897" w:rsidRDefault="00A83200" w:rsidP="00A83200">
      <w:pPr>
        <w:pStyle w:val="NormalBold"/>
        <w:widowControl/>
        <w:spacing w:after="240"/>
        <w:ind w:left="567" w:hanging="567"/>
        <w:rPr>
          <w:b w:val="0"/>
          <w:szCs w:val="24"/>
        </w:rPr>
      </w:pPr>
      <w:r w:rsidRPr="003C1897">
        <w:rPr>
          <w:b w:val="0"/>
        </w:rPr>
        <w:t>1.</w:t>
      </w:r>
      <w:r w:rsidRPr="003C1897">
        <w:rPr>
          <w:b w:val="0"/>
        </w:rPr>
        <w:tab/>
        <w:t xml:space="preserve">κρίνει ότι </w:t>
      </w:r>
      <w:r w:rsidR="00EC587A">
        <w:rPr>
          <w:b w:val="0"/>
        </w:rPr>
        <w:t>η</w:t>
      </w:r>
      <w:r w:rsidRPr="003C1897">
        <w:rPr>
          <w:b w:val="0"/>
        </w:rPr>
        <w:t xml:space="preserve"> εκτελεστική απόφαση </w:t>
      </w:r>
      <w:r w:rsidR="00EC587A" w:rsidRPr="00EC587A">
        <w:rPr>
          <w:b w:val="0"/>
        </w:rPr>
        <w:t>(ΕΕ) 2025/1898</w:t>
      </w:r>
      <w:r w:rsidR="00EC587A">
        <w:rPr>
          <w:b w:val="0"/>
        </w:rPr>
        <w:t xml:space="preserve"> </w:t>
      </w:r>
      <w:r w:rsidRPr="003C1897">
        <w:rPr>
          <w:b w:val="0"/>
        </w:rPr>
        <w:t>της Επιτροπής υπερβαίνει τις εκτελεστικές αρμοδιότητες που προβλέπει ο κανονισμός (ΕΚ) αριθ. 1829/2003·</w:t>
      </w:r>
    </w:p>
    <w:p w14:paraId="5501BF8C" w14:textId="7DE068C4" w:rsidR="00A83200" w:rsidRPr="003C1897" w:rsidRDefault="00A83200" w:rsidP="00A83200">
      <w:pPr>
        <w:pStyle w:val="NormalBold"/>
        <w:widowControl/>
        <w:spacing w:after="240"/>
        <w:ind w:left="567" w:hanging="567"/>
        <w:rPr>
          <w:b w:val="0"/>
          <w:szCs w:val="24"/>
        </w:rPr>
      </w:pPr>
      <w:r w:rsidRPr="003C1897">
        <w:rPr>
          <w:b w:val="0"/>
        </w:rPr>
        <w:t>2.</w:t>
      </w:r>
      <w:r w:rsidRPr="003C1897">
        <w:rPr>
          <w:b w:val="0"/>
        </w:rPr>
        <w:tab/>
        <w:t xml:space="preserve">θεωρεί ότι </w:t>
      </w:r>
      <w:r w:rsidR="00EC587A">
        <w:rPr>
          <w:b w:val="0"/>
        </w:rPr>
        <w:t>η</w:t>
      </w:r>
      <w:r w:rsidRPr="003C1897">
        <w:rPr>
          <w:b w:val="0"/>
        </w:rPr>
        <w:t xml:space="preserve"> εκτελεστική απόφαση </w:t>
      </w:r>
      <w:r w:rsidR="00EC587A" w:rsidRPr="00EC587A">
        <w:rPr>
          <w:b w:val="0"/>
        </w:rPr>
        <w:t>(ΕΕ) 2025/1898</w:t>
      </w:r>
      <w:r w:rsidR="00EC587A">
        <w:rPr>
          <w:b w:val="0"/>
        </w:rPr>
        <w:t xml:space="preserve"> </w:t>
      </w:r>
      <w:r w:rsidRPr="003C1897">
        <w:rPr>
          <w:b w:val="0"/>
        </w:rPr>
        <w:t xml:space="preserve">της Επιτροπής δεν είναι σύμφωνο με το δίκαιο της Ένωσης, υπό την έννοια ότι δεν συνάδει με τον σκοπό του κανονισμού (ΕΚ) αριθ. 1829/2003, ο οποίος είναι, σύμφωνα με τις γενικές αρχές που καθορίζονται στον κανονισμό (ΕΚ) αριθ. 178/2002 του Ευρωπαϊκού Κοινοβουλίου και του </w:t>
      </w:r>
      <w:r w:rsidRPr="003C1897">
        <w:rPr>
          <w:b w:val="0"/>
        </w:rPr>
        <w:lastRenderedPageBreak/>
        <w:t>Συμβουλίου</w:t>
      </w:r>
      <w:r w:rsidRPr="003C1897">
        <w:rPr>
          <w:rStyle w:val="FootnoteReference"/>
          <w:b w:val="0"/>
          <w:szCs w:val="24"/>
        </w:rPr>
        <w:footnoteReference w:id="21"/>
      </w:r>
      <w:r w:rsidRPr="003C1897">
        <w:rPr>
          <w:b w:val="0"/>
        </w:rPr>
        <w:t>, να προσφέρει τη βάση για τη διασφάλιση υψηλού επιπέδου προστασίας της ζωής και της υγείας του ανθρώπου, της υγείας και της καλής διαβίωσης των ζώων, του περιβάλλοντος και των συμφερόντων των καταναλωτών σε σχέση με τα γενετικώς τροποποιημένα τρόφιμα και ζωοτροφές, εξασφαλίζοντας παράλληλα την αποτελεσματική λειτουργία της εσωτερικής αγοράς·</w:t>
      </w:r>
    </w:p>
    <w:p w14:paraId="3F1E49C2" w14:textId="5DCE34E1" w:rsidR="00A83200" w:rsidRPr="003C1897" w:rsidRDefault="00A83200" w:rsidP="00A83200">
      <w:pPr>
        <w:pStyle w:val="NormalBold"/>
        <w:widowControl/>
        <w:spacing w:after="240"/>
        <w:ind w:left="567" w:hanging="567"/>
        <w:rPr>
          <w:b w:val="0"/>
          <w:szCs w:val="24"/>
        </w:rPr>
      </w:pPr>
      <w:r w:rsidRPr="003C1897">
        <w:rPr>
          <w:b w:val="0"/>
        </w:rPr>
        <w:t>3.</w:t>
      </w:r>
      <w:r w:rsidRPr="003C1897">
        <w:rPr>
          <w:b w:val="0"/>
        </w:rPr>
        <w:tab/>
        <w:t xml:space="preserve">ζητεί από την Επιτροπή να </w:t>
      </w:r>
      <w:r w:rsidR="00EC587A">
        <w:rPr>
          <w:b w:val="0"/>
        </w:rPr>
        <w:t>καταργήσει</w:t>
      </w:r>
      <w:r w:rsidR="00EC587A" w:rsidRPr="003C1897">
        <w:rPr>
          <w:b w:val="0"/>
        </w:rPr>
        <w:t xml:space="preserve"> </w:t>
      </w:r>
      <w:r w:rsidRPr="003C1897">
        <w:rPr>
          <w:b w:val="0"/>
        </w:rPr>
        <w:t>τ</w:t>
      </w:r>
      <w:r w:rsidR="00EC587A">
        <w:rPr>
          <w:b w:val="0"/>
        </w:rPr>
        <w:t>ην</w:t>
      </w:r>
      <w:r w:rsidRPr="003C1897">
        <w:rPr>
          <w:b w:val="0"/>
        </w:rPr>
        <w:t xml:space="preserve"> εκτελεστική απόφασ</w:t>
      </w:r>
      <w:r w:rsidR="00EC587A">
        <w:rPr>
          <w:b w:val="0"/>
        </w:rPr>
        <w:t>η</w:t>
      </w:r>
      <w:r w:rsidRPr="003C1897">
        <w:rPr>
          <w:b w:val="0"/>
        </w:rPr>
        <w:t xml:space="preserve"> </w:t>
      </w:r>
      <w:r w:rsidR="00EC587A" w:rsidRPr="00EC587A">
        <w:rPr>
          <w:b w:val="0"/>
        </w:rPr>
        <w:t>(ΕΕ) 2025/1898</w:t>
      </w:r>
      <w:r w:rsidRPr="003C1897">
        <w:rPr>
          <w:b w:val="0"/>
        </w:rPr>
        <w:t xml:space="preserve"> και να υποβάλει νέο σχέδιο στην επιτροπή·</w:t>
      </w:r>
    </w:p>
    <w:p w14:paraId="08006089" w14:textId="77777777" w:rsidR="00A83200" w:rsidRPr="003C1897" w:rsidRDefault="00A83200" w:rsidP="00A83200">
      <w:pPr>
        <w:pStyle w:val="NormalBold"/>
        <w:widowControl/>
        <w:spacing w:after="240"/>
        <w:ind w:left="567" w:hanging="567"/>
        <w:rPr>
          <w:b w:val="0"/>
          <w:szCs w:val="24"/>
        </w:rPr>
      </w:pPr>
      <w:r w:rsidRPr="003C1897">
        <w:rPr>
          <w:b w:val="0"/>
        </w:rPr>
        <w:t>4.</w:t>
      </w:r>
      <w:r w:rsidRPr="003C1897">
        <w:rPr>
          <w:b w:val="0"/>
        </w:rPr>
        <w:tab/>
        <w:t>καλεί την Επιτροπή να διασφαλίσει τη σύγκλιση των προτύπων μεταξύ της Ένωσης και των εταίρων της στις διαπραγματεύσεις για συμφωνίες ελεύθερων συναλλαγών, προκειμένου να πληρούνται τα πρότυπα ασφάλειας της Ένωσης·</w:t>
      </w:r>
    </w:p>
    <w:p w14:paraId="11841F12" w14:textId="77777777" w:rsidR="00A83200" w:rsidRPr="003C1897" w:rsidRDefault="00A83200" w:rsidP="00A83200">
      <w:pPr>
        <w:pStyle w:val="NormalBold"/>
        <w:widowControl/>
        <w:spacing w:after="240"/>
        <w:ind w:left="567" w:hanging="567"/>
        <w:rPr>
          <w:b w:val="0"/>
          <w:szCs w:val="24"/>
        </w:rPr>
      </w:pPr>
      <w:r w:rsidRPr="003C1897">
        <w:rPr>
          <w:b w:val="0"/>
        </w:rPr>
        <w:t>5.</w:t>
      </w:r>
      <w:r w:rsidRPr="003C1897">
        <w:rPr>
          <w:b w:val="0"/>
        </w:rPr>
        <w:tab/>
        <w:t>καλεί την Επιτροπή να μην εγκρίνει τον γενετικώς τροποποιημένο αραβόσιτο λόγω των αυξημένων κινδύνων για τη βιοποικιλότητα, την ασφάλεια των τροφίμων και την υγεία των εργαζομένων σύμφωνα με την προσέγγιση «Μία υγεία»·</w:t>
      </w:r>
    </w:p>
    <w:p w14:paraId="14A8AAF7" w14:textId="77777777" w:rsidR="00A83200" w:rsidRPr="003C1897" w:rsidRDefault="00A83200" w:rsidP="00A83200">
      <w:pPr>
        <w:pStyle w:val="NormalBold"/>
        <w:widowControl/>
        <w:spacing w:after="240"/>
        <w:ind w:left="567" w:hanging="567"/>
        <w:rPr>
          <w:b w:val="0"/>
          <w:szCs w:val="24"/>
        </w:rPr>
      </w:pPr>
      <w:r w:rsidRPr="003C1897">
        <w:rPr>
          <w:b w:val="0"/>
        </w:rPr>
        <w:t>6.</w:t>
      </w:r>
      <w:r w:rsidRPr="003C1897">
        <w:rPr>
          <w:b w:val="0"/>
        </w:rPr>
        <w:tab/>
        <w:t>αναμένει από την Επιτροπή να τηρήσει τη δέσμευσή της</w:t>
      </w:r>
      <w:r w:rsidRPr="003C1897">
        <w:rPr>
          <w:rStyle w:val="FootnoteReference"/>
          <w:b w:val="0"/>
          <w:szCs w:val="24"/>
        </w:rPr>
        <w:footnoteReference w:id="22"/>
      </w:r>
      <w:r w:rsidRPr="003C1897">
        <w:rPr>
          <w:b w:val="0"/>
        </w:rPr>
        <w:t xml:space="preserve"> και να υποβάλει, κατεπειγόντως, πρόταση που θα διασφαλίζει ότι τα επικίνδυνα χημικά προϊόντα που απαγορεύονται στην Ένωση δεν παράγονται για εξαγωγή·</w:t>
      </w:r>
    </w:p>
    <w:p w14:paraId="25B38CC4" w14:textId="77777777" w:rsidR="00A83200" w:rsidRPr="003C1897" w:rsidRDefault="00A83200" w:rsidP="00A83200">
      <w:pPr>
        <w:pStyle w:val="NormalBold"/>
        <w:widowControl/>
        <w:spacing w:after="240"/>
        <w:ind w:left="567" w:hanging="567"/>
        <w:rPr>
          <w:b w:val="0"/>
          <w:szCs w:val="24"/>
        </w:rPr>
      </w:pPr>
      <w:r w:rsidRPr="003C1897">
        <w:rPr>
          <w:b w:val="0"/>
        </w:rPr>
        <w:t>7.</w:t>
      </w:r>
      <w:r w:rsidRPr="003C1897">
        <w:rPr>
          <w:b w:val="0"/>
        </w:rPr>
        <w:tab/>
        <w:t>εκφράζει την ικανοποίησή του για το γεγονός ότι η Επιτροπή αναγνώρισε τελικά, σε επιστολή της με ημερομηνία 11 Σεπτεμβρίου 2020 προς τους βουλευτές, την ανάγκη να λαμβάνεται υπόψη η βιωσιμότητα κατά τη λήψη αποφάσεων για την έγκριση ΓΤΟ</w:t>
      </w:r>
      <w:r w:rsidRPr="003C1897">
        <w:rPr>
          <w:rStyle w:val="FootnoteReference"/>
          <w:b w:val="0"/>
          <w:szCs w:val="24"/>
        </w:rPr>
        <w:footnoteReference w:id="23"/>
      </w:r>
      <w:r w:rsidRPr="003C1897">
        <w:rPr>
          <w:b w:val="0"/>
        </w:rPr>
        <w:t>· εκφράζει, ωστόσο, τη βαθιά απογοήτευσή του καθώς έκτοτε η Επιτροπή συνεχίζει να εγκρίνει ΓΤΟ για εισαγωγή στην Ένωση, παρά τις επανειλημμένες αντιρρήσεις του Κοινοβουλίου και το γεγονός ότι η πλειοψηφία των κρατών μελών ψηφίζει απορριπτικά·</w:t>
      </w:r>
    </w:p>
    <w:p w14:paraId="742BF62B" w14:textId="77777777" w:rsidR="00A83200" w:rsidRPr="003C1897" w:rsidRDefault="00A83200" w:rsidP="00A83200">
      <w:pPr>
        <w:pStyle w:val="NormalBold"/>
        <w:widowControl/>
        <w:spacing w:after="240"/>
        <w:ind w:left="567" w:hanging="567"/>
        <w:rPr>
          <w:b w:val="0"/>
          <w:szCs w:val="24"/>
        </w:rPr>
      </w:pPr>
      <w:r w:rsidRPr="003C1897">
        <w:rPr>
          <w:b w:val="0"/>
        </w:rPr>
        <w:t>8.</w:t>
      </w:r>
      <w:r w:rsidRPr="003C1897">
        <w:rPr>
          <w:b w:val="0"/>
        </w:rPr>
        <w:tab/>
        <w:t xml:space="preserve">καλεί, για ακόμη μια φορά, την Επιτροπή να λάβει υπόψη τις υποχρεώσεις της Ένωσης στο πλαίσιο διεθνών συμφωνιών, όπως η συμφωνία του Παρισιού για το κλίμα, η ΣΒΠ και οι ΣΒΑ του ΟΗΕ· επαναλαμβάνει την έκκλησή του να συνοδεύονται τα σχέδια εκτελεστικών πράξεων από αιτιολογική έκθεση στην οποία να εξηγείται πώς συμμορφώνονται με την αρχή του μη </w:t>
      </w:r>
      <w:proofErr w:type="spellStart"/>
      <w:r w:rsidRPr="003C1897">
        <w:rPr>
          <w:b w:val="0"/>
        </w:rPr>
        <w:t>βλάπτειν</w:t>
      </w:r>
      <w:proofErr w:type="spellEnd"/>
      <w:r w:rsidRPr="003C1897">
        <w:rPr>
          <w:rStyle w:val="FootnoteReference"/>
          <w:b w:val="0"/>
          <w:szCs w:val="24"/>
        </w:rPr>
        <w:footnoteReference w:id="24"/>
      </w:r>
      <w:r w:rsidRPr="003C1897">
        <w:rPr>
          <w:b w:val="0"/>
        </w:rPr>
        <w:t>·</w:t>
      </w:r>
    </w:p>
    <w:p w14:paraId="0B1EE197" w14:textId="456D74F7" w:rsidR="00E365E1" w:rsidRPr="003C1897" w:rsidRDefault="00A83200" w:rsidP="00775A34">
      <w:pPr>
        <w:pStyle w:val="NormalBold"/>
        <w:widowControl/>
        <w:spacing w:after="240"/>
        <w:ind w:left="567" w:hanging="567"/>
      </w:pPr>
      <w:r w:rsidRPr="003C1897">
        <w:rPr>
          <w:b w:val="0"/>
        </w:rPr>
        <w:t>9.</w:t>
      </w:r>
      <w:r w:rsidRPr="003C1897">
        <w:rPr>
          <w:b w:val="0"/>
        </w:rPr>
        <w:tab/>
        <w:t>αναθέτει στην Πρόεδρό του να διαβιβάσει το παρόν ψήφισμα στο Συμβούλιο και στην Επιτροπή, καθώς και στις κυβερνήσεις και στα κοινοβούλια των κρατών μελών.</w:t>
      </w:r>
    </w:p>
    <w:sectPr w:rsidR="00E365E1" w:rsidRPr="003C1897" w:rsidSect="003C189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A0E5ED" w14:textId="77777777" w:rsidR="00C569DA" w:rsidRPr="003C1897" w:rsidRDefault="00C569DA">
      <w:r w:rsidRPr="003C1897">
        <w:separator/>
      </w:r>
    </w:p>
  </w:endnote>
  <w:endnote w:type="continuationSeparator" w:id="0">
    <w:p w14:paraId="782EDC45" w14:textId="77777777" w:rsidR="00C569DA" w:rsidRPr="003C1897" w:rsidRDefault="00C569DA">
      <w:r w:rsidRPr="003C189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9C938" w14:textId="77777777" w:rsidR="00064002" w:rsidRPr="003C189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487C6" w14:textId="77777777" w:rsidR="00064002" w:rsidRPr="003C189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EF199" w14:textId="77777777" w:rsidR="00064002" w:rsidRPr="003C189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171CCB" w14:textId="77777777" w:rsidR="00C569DA" w:rsidRPr="003C1897" w:rsidRDefault="00C569DA">
      <w:r w:rsidRPr="003C1897">
        <w:separator/>
      </w:r>
    </w:p>
  </w:footnote>
  <w:footnote w:type="continuationSeparator" w:id="0">
    <w:p w14:paraId="2A46AC0C" w14:textId="77777777" w:rsidR="00C569DA" w:rsidRPr="003C1897" w:rsidRDefault="00C569DA">
      <w:r w:rsidRPr="003C1897">
        <w:continuationSeparator/>
      </w:r>
    </w:p>
  </w:footnote>
  <w:footnote w:id="1">
    <w:p w14:paraId="24561CDF" w14:textId="1FD1A847" w:rsidR="00EC587A" w:rsidRPr="00B74A39" w:rsidRDefault="00EC587A" w:rsidP="00B74A39">
      <w:pPr>
        <w:pStyle w:val="FootnoteText"/>
        <w:ind w:left="567" w:hanging="567"/>
        <w:rPr>
          <w:sz w:val="24"/>
          <w:szCs w:val="24"/>
          <w:lang w:val="fi-FI"/>
        </w:rPr>
      </w:pPr>
      <w:r w:rsidRPr="00B74A39">
        <w:rPr>
          <w:rStyle w:val="FootnoteReference"/>
          <w:sz w:val="24"/>
          <w:szCs w:val="24"/>
        </w:rPr>
        <w:footnoteRef/>
      </w:r>
      <w:r w:rsidRPr="00B74A39">
        <w:rPr>
          <w:sz w:val="24"/>
          <w:szCs w:val="24"/>
          <w:lang w:val="fi-FI"/>
        </w:rPr>
        <w:t xml:space="preserve"> </w:t>
      </w:r>
      <w:r w:rsidRPr="00B74A39">
        <w:rPr>
          <w:sz w:val="24"/>
          <w:szCs w:val="24"/>
          <w:lang w:val="fi-FI"/>
        </w:rPr>
        <w:tab/>
      </w:r>
      <w:r w:rsidRPr="00B74A39">
        <w:rPr>
          <w:sz w:val="24"/>
          <w:szCs w:val="24"/>
          <w:lang w:val="el-GR"/>
        </w:rPr>
        <w:t>ΕΕ</w:t>
      </w:r>
      <w:r w:rsidRPr="00B74A39">
        <w:rPr>
          <w:sz w:val="24"/>
          <w:szCs w:val="24"/>
          <w:lang w:val="fi-FI"/>
        </w:rPr>
        <w:t xml:space="preserve"> L, 2025/1898, 23.9.2025, ELI: </w:t>
      </w:r>
      <w:hyperlink r:id="rId1" w:history="1">
        <w:r w:rsidRPr="00B74A39">
          <w:rPr>
            <w:rStyle w:val="Hyperlink"/>
            <w:sz w:val="24"/>
            <w:szCs w:val="24"/>
            <w:lang w:val="fi-FI"/>
          </w:rPr>
          <w:t>http://data.europa.eu/eli/dec_impl/2025/1898/oj</w:t>
        </w:r>
      </w:hyperlink>
      <w:r w:rsidRPr="00B74A39">
        <w:rPr>
          <w:sz w:val="24"/>
          <w:szCs w:val="24"/>
          <w:lang w:val="fi-FI"/>
        </w:rPr>
        <w:t xml:space="preserve">. </w:t>
      </w:r>
    </w:p>
  </w:footnote>
  <w:footnote w:id="2">
    <w:p w14:paraId="18BFE905" w14:textId="05F73786" w:rsidR="00A83200" w:rsidRPr="003C1897" w:rsidRDefault="00A83200" w:rsidP="003C1897">
      <w:pPr>
        <w:pStyle w:val="FootnoteText"/>
        <w:ind w:left="567" w:hanging="567"/>
        <w:rPr>
          <w:b/>
          <w:bCs/>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ΕΕ L 268 της 18.10.2003, σ. </w:t>
      </w:r>
      <w:r w:rsidRPr="003C1897">
        <w:rPr>
          <w:sz w:val="24"/>
          <w:lang w:val="el-GR"/>
        </w:rPr>
        <w:t>1, ELI: </w:t>
      </w:r>
      <w:hyperlink r:id="rId2" w:history="1">
        <w:r w:rsidRPr="003C1897">
          <w:rPr>
            <w:rStyle w:val="Hyperlink"/>
            <w:sz w:val="24"/>
            <w:lang w:val="el-GR"/>
          </w:rPr>
          <w:t>http://data.europa.eu/eli/reg/2003/1829/oj</w:t>
        </w:r>
      </w:hyperlink>
      <w:r w:rsidRPr="003C1897">
        <w:rPr>
          <w:sz w:val="24"/>
          <w:u w:val="single"/>
          <w:lang w:val="el-GR"/>
        </w:rPr>
        <w:t>.</w:t>
      </w:r>
    </w:p>
  </w:footnote>
  <w:footnote w:id="3">
    <w:p w14:paraId="155B2170" w14:textId="5AA401E1"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ΕΕ L 55 της 28.2.2011, σ. </w:t>
      </w:r>
      <w:r w:rsidRPr="003C1897">
        <w:rPr>
          <w:sz w:val="24"/>
          <w:lang w:val="el-GR"/>
        </w:rPr>
        <w:t xml:space="preserve">13, ELI: </w:t>
      </w:r>
      <w:hyperlink r:id="rId3" w:history="1">
        <w:r w:rsidRPr="003C1897">
          <w:rPr>
            <w:rStyle w:val="Hyperlink"/>
            <w:sz w:val="24"/>
            <w:lang w:val="el-GR"/>
          </w:rPr>
          <w:t>http://data.europa.eu/eli/reg/2011/182/oj</w:t>
        </w:r>
      </w:hyperlink>
      <w:r w:rsidRPr="003C1897">
        <w:rPr>
          <w:sz w:val="24"/>
          <w:lang w:val="el-GR"/>
        </w:rPr>
        <w:t>.</w:t>
      </w:r>
    </w:p>
  </w:footnote>
  <w:footnote w:id="4">
    <w:p w14:paraId="641E7723" w14:textId="6CD96C66" w:rsidR="00A83200" w:rsidRPr="003C1897" w:rsidRDefault="00A83200" w:rsidP="003C1897">
      <w:pPr>
        <w:pStyle w:val="FootnoteText"/>
        <w:ind w:left="567" w:hanging="567"/>
        <w:rPr>
          <w:sz w:val="24"/>
          <w:lang w:val="el-GR"/>
        </w:rPr>
      </w:pPr>
      <w:r w:rsidRPr="003C1897">
        <w:rPr>
          <w:rStyle w:val="Funotenzeichen"/>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Επιστημονική γνώμη της ομάδας της EFSA για τους γενετικώς τροποποιημένους οργανισμούς σχετικά με την αξιολόγηση του γενετικά τροποποιημένου αραβοσίτου DP51291 (αίτηση GMFF-2021-0071). Περιοδική έκδοση EFSA 2024·22(11):9059. </w:t>
      </w:r>
      <w:hyperlink r:id="rId4" w:history="1">
        <w:r w:rsidRPr="003C1897">
          <w:rPr>
            <w:rStyle w:val="Hyperlink"/>
            <w:sz w:val="24"/>
            <w:lang w:val="el-GR"/>
          </w:rPr>
          <w:t>https://doi.org/10.2903/j.efsa.2024.9059</w:t>
        </w:r>
      </w:hyperlink>
      <w:r w:rsidRPr="003C1897">
        <w:rPr>
          <w:sz w:val="24"/>
          <w:lang w:val="el-GR"/>
        </w:rPr>
        <w:t xml:space="preserve">. </w:t>
      </w:r>
    </w:p>
  </w:footnote>
  <w:footnote w:id="5">
    <w:p w14:paraId="7FCD756B" w14:textId="6E0CE13B" w:rsidR="00A83200" w:rsidRPr="003C1897" w:rsidRDefault="00A83200" w:rsidP="003C1897">
      <w:pPr>
        <w:pStyle w:val="FootnoteText"/>
        <w:ind w:left="567" w:hanging="567"/>
        <w:rPr>
          <w:color w:val="000000" w:themeColor="text1"/>
          <w:sz w:val="24"/>
          <w:vertAlign w:val="superscript"/>
          <w:lang w:val="el-GR"/>
        </w:rPr>
      </w:pPr>
      <w:r w:rsidRPr="003C1897">
        <w:rPr>
          <w:rStyle w:val="FootnoteReference"/>
          <w:sz w:val="24"/>
          <w:lang w:val="el-GR"/>
        </w:rPr>
        <w:footnoteRef/>
      </w:r>
      <w:r w:rsidR="003C1897" w:rsidRPr="003C1897">
        <w:rPr>
          <w:color w:val="000000" w:themeColor="text1"/>
          <w:sz w:val="24"/>
          <w:lang w:val="el-GR"/>
        </w:rPr>
        <w:t xml:space="preserve"> </w:t>
      </w:r>
      <w:r w:rsidR="003C1897" w:rsidRPr="003C1897">
        <w:rPr>
          <w:color w:val="000000" w:themeColor="text1"/>
          <w:sz w:val="24"/>
          <w:lang w:val="el-GR"/>
        </w:rPr>
        <w:tab/>
      </w:r>
      <w:r w:rsidRPr="003C1897">
        <w:rPr>
          <w:color w:val="000000" w:themeColor="text1"/>
          <w:sz w:val="24"/>
          <w:lang w:val="el-GR"/>
        </w:rPr>
        <w:t>Κατά την όγδοη κοινοβουλευτική περίοδο, το Κοινοβούλιο ενέκρινε 36 ψηφίσματα και, κατά την ένατη κοινοβουλευτική του περίοδο, το Κοινοβούλιο ενέκρινε 38 ψηφίσματα που αντιτίθενται στην έγκριση ΓΤΟ. Επιπλέον, κατά τη δέκατη κοινοβουλευτική του περίοδο, το Κοινοβούλιο ενέκρινε τα ακόλουθα ψηφίσματα:</w:t>
      </w:r>
    </w:p>
    <w:p w14:paraId="081E85CE" w14:textId="4ACF8AB5"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2024/2628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NK603 σύμφωνα με τον κανονισμό (ΕΚ) αριθ. 1829/2003 του Ευρωπαϊκού Κοινοβουλίου και του Συμβουλίου (ΕΕ C, C/2025/1797, 4.4.2025, ELI: </w:t>
      </w:r>
      <w:hyperlink r:id="rId5" w:history="1">
        <w:r w:rsidRPr="003C1897">
          <w:rPr>
            <w:rStyle w:val="Hyperlink"/>
            <w:sz w:val="24"/>
            <w:lang w:val="el-GR"/>
          </w:rPr>
          <w:t>http://data.europa.eu/eli/C/2025/1797/oj</w:t>
        </w:r>
      </w:hyperlink>
      <w:r w:rsidRPr="003C1897">
        <w:rPr>
          <w:color w:val="000000" w:themeColor="text1"/>
          <w:sz w:val="24"/>
          <w:lang w:val="el-GR"/>
        </w:rPr>
        <w:t>).</w:t>
      </w:r>
    </w:p>
    <w:p w14:paraId="15FFF419" w14:textId="17091BF8"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2024/2627 της Επιτροπής για την έγκριση της διάθεσης στην αγορά προϊόντων που περιέχουν, αποτελούνται ή παράγονται από γενετικώς τροποποιημένο βαμβάκι COT102, σύμφωνα με τον κανονισμό (ΕΚ) αριθ. 1829/2003 του Ευρωπαϊκού Κοινοβουλίου και του Συμβουλίου (ΕΕ C, C/2025/1798, 4.4.2025, ELI: </w:t>
      </w:r>
      <w:hyperlink r:id="rId6" w:history="1">
        <w:r w:rsidRPr="003C1897">
          <w:rPr>
            <w:rStyle w:val="Hyperlink"/>
            <w:sz w:val="24"/>
            <w:lang w:val="el-GR"/>
          </w:rPr>
          <w:t>http://data.europa.eu/eli/C/2025/1798/oj</w:t>
        </w:r>
      </w:hyperlink>
      <w:r w:rsidRPr="003C1897">
        <w:rPr>
          <w:color w:val="000000" w:themeColor="text1"/>
          <w:sz w:val="24"/>
          <w:lang w:val="el-GR"/>
        </w:rPr>
        <w:t>).</w:t>
      </w:r>
    </w:p>
    <w:p w14:paraId="174428C5" w14:textId="5382C73E"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2024/2629 της Επιτροπής για την ανανέωση της έγκρισης της διάθεσης στην αγορά προϊόντων που περιέχουν, αποτελούνται ή παράγονται από γενετικώς τροποποιημένο αραβόσιτο MON 89034 × 1507 × MON 88017 × 59122 και από οκτώ από τους επιμέρους συνδυασμούς του σύμφωνα με τον κανονισμό (ΕΚ) αριθ. 1829/2003 του Ευρωπαϊκού Κοινοβουλίου και του Συμβουλίου (ΕΕ C, C/2025/1799, 4.4.2025, ELI: </w:t>
      </w:r>
      <w:hyperlink r:id="rId7" w:history="1">
        <w:r w:rsidRPr="003C1897">
          <w:rPr>
            <w:rStyle w:val="Hyperlink"/>
            <w:sz w:val="24"/>
            <w:lang w:val="el-GR"/>
          </w:rPr>
          <w:t>http://data.europa.eu/eli/C/2025/1799/oj</w:t>
        </w:r>
      </w:hyperlink>
      <w:r w:rsidRPr="003C1897">
        <w:rPr>
          <w:color w:val="000000" w:themeColor="text1"/>
          <w:sz w:val="24"/>
          <w:lang w:val="el-GR"/>
        </w:rPr>
        <w:t>).</w:t>
      </w:r>
    </w:p>
    <w:p w14:paraId="2CDCBE32" w14:textId="5B2280AB"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2024/1828 της Επιτροπής για την ανανέωση της έγκρισης της διάθεσης στην αγορά ζωοτροφών που περιέχουν γενετικώς τροποποιημένο αραβόσιτο MON 810 ή αποτελούνται από αυτόν και τροφίμων και ζωοτροφών που παράγονται από γενετικώς τροποποιημένο αραβόσιτο MON 810, σύμφωνα με τον κανονισμό (ΕΚ) αριθ. 1829/2003 του Ευρωπαϊκού Κοινοβουλίου και του Συμβουλίου, και για την κατάργηση της εκτελεστικής απόφασης (ΕΕ) 2017/1207 της Επιτροπής (ΕΕ C, C/2025/1800, 4.4.2025, ELI: </w:t>
      </w:r>
      <w:hyperlink r:id="rId8" w:history="1">
        <w:r w:rsidRPr="003C1897">
          <w:rPr>
            <w:rStyle w:val="Hyperlink"/>
            <w:sz w:val="24"/>
            <w:lang w:val="el-GR"/>
          </w:rPr>
          <w:t>http://data.europa.eu/eli/C/2025/1800/oj</w:t>
        </w:r>
      </w:hyperlink>
      <w:r w:rsidRPr="003C1897">
        <w:rPr>
          <w:color w:val="000000" w:themeColor="text1"/>
          <w:sz w:val="24"/>
          <w:lang w:val="el-GR"/>
        </w:rPr>
        <w:t>).</w:t>
      </w:r>
    </w:p>
    <w:p w14:paraId="2B795995" w14:textId="55AF1695"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2024/1822 της Επιτροπής για την έγκριση της διάθεσης στην αγορά προϊόντων που περιέχουν, αποτελούνται ή παράγονται από γενετικώς τροποποιημένο αραβόσιτο DP915635, σύμφωνα με τον κανονισμό (ΕΚ) αριθ. 1829/2003 του Ευρωπαϊκού Κοινοβουλίου και του Συμβουλίου (ΕΕ C, C/2025/1801, 4.4.2025, ELI: </w:t>
      </w:r>
      <w:hyperlink r:id="rId9" w:history="1">
        <w:r w:rsidRPr="003C1897">
          <w:rPr>
            <w:rStyle w:val="Hyperlink"/>
            <w:sz w:val="24"/>
            <w:lang w:val="el-GR"/>
          </w:rPr>
          <w:t>http://data.europa.eu/eli/C/2025/1801/oj</w:t>
        </w:r>
      </w:hyperlink>
      <w:r w:rsidRPr="003C1897">
        <w:rPr>
          <w:color w:val="000000" w:themeColor="text1"/>
          <w:sz w:val="24"/>
          <w:lang w:val="el-GR"/>
        </w:rPr>
        <w:t>).</w:t>
      </w:r>
    </w:p>
    <w:p w14:paraId="696E85AA" w14:textId="390232A3"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2024/1826 της Επιτροπής για την έγκριση της διάθεσης στην αγορά προϊόντων που περιέχουν, αποτελούνται ή παράγονται από γενετικώς τροποποιημένο αραβόσιτο DP23211, σύμφωνα με τον κανονισμό (ΕΚ) αριθ. 1829/2003 του Ευρωπαϊκού Κοινοβουλίου και του Συμβουλίου (ΕΕ C, C/2025/1802, 4.4.2025, ELI: </w:t>
      </w:r>
      <w:hyperlink r:id="rId10" w:history="1">
        <w:r w:rsidRPr="003C1897">
          <w:rPr>
            <w:rStyle w:val="Hyperlink"/>
            <w:sz w:val="24"/>
            <w:lang w:val="el-GR"/>
          </w:rPr>
          <w:t>http://data.europa.eu/eli/C/2025/1802/oj</w:t>
        </w:r>
      </w:hyperlink>
      <w:r w:rsidRPr="003C1897">
        <w:rPr>
          <w:color w:val="000000" w:themeColor="text1"/>
          <w:sz w:val="24"/>
          <w:lang w:val="el-GR"/>
        </w:rPr>
        <w:t>).</w:t>
      </w:r>
    </w:p>
    <w:p w14:paraId="500AB11C" w14:textId="245D6F42"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την εκτελεστική απόφαση (ΕΕ) 2024/2618 της Επιτροπής για την έγκριση της διάθεσης στην αγορά προϊόντων που περιέχουν, αποτελούνται ή παράγονται από γενετικώς τροποποιημένο αραβόσιτο DP202216, σύμφωνα με τον κανονισμό (ΕΚ) αριθ. 1829/2003 του Ευρωπαϊκού Κοινοβουλίου και του Συμβουλίου (ΕΕ C, C/2025/1803, 4.4.2025, ELI: </w:t>
      </w:r>
      <w:hyperlink r:id="rId11" w:history="1">
        <w:r w:rsidRPr="003C1897">
          <w:rPr>
            <w:rStyle w:val="Hyperlink"/>
            <w:sz w:val="24"/>
            <w:lang w:val="el-GR"/>
          </w:rPr>
          <w:t>http://data.europa.eu/eli/C/2025/1803/oj</w:t>
        </w:r>
      </w:hyperlink>
      <w:r w:rsidRPr="003C1897">
        <w:rPr>
          <w:color w:val="000000" w:themeColor="text1"/>
          <w:sz w:val="24"/>
          <w:lang w:val="el-GR"/>
        </w:rPr>
        <w:t>).</w:t>
      </w:r>
    </w:p>
    <w:p w14:paraId="45395DA8" w14:textId="2F81FADD" w:rsidR="00A83200" w:rsidRPr="003C1897" w:rsidRDefault="00A83200" w:rsidP="00B74A39">
      <w:pPr>
        <w:pStyle w:val="FootnoteText"/>
        <w:ind w:left="1134" w:hanging="567"/>
        <w:rPr>
          <w:color w:val="000000" w:themeColor="text1"/>
          <w:sz w:val="24"/>
          <w:vertAlign w:val="superscript"/>
          <w:lang w:val="el-GR"/>
        </w:rPr>
      </w:pPr>
      <w:r w:rsidRPr="003C1897">
        <w:rPr>
          <w:color w:val="000000" w:themeColor="text1"/>
          <w:sz w:val="24"/>
          <w:lang w:val="el-GR"/>
        </w:rPr>
        <w:t>–</w:t>
      </w:r>
      <w:r w:rsidRPr="003C1897">
        <w:rPr>
          <w:color w:val="000000" w:themeColor="text1"/>
          <w:sz w:val="24"/>
          <w:lang w:val="el-GR"/>
        </w:rPr>
        <w:tab/>
        <w:t xml:space="preserve">Ψήφισμα του Ευρωπαϊκού Κοινοβουλίου της 26ης Νοεμβρίου 2024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94804, σύμφωνα με τον κανονισμό (ΕΚ) αριθ. 1829/2003 του Ευρωπαϊκού Κοινοβουλίου και του Συμβουλίου (ΕΕ C, C/2025/1804, 4.4.2025, ELI: </w:t>
      </w:r>
      <w:hyperlink r:id="rId12" w:history="1">
        <w:r w:rsidRPr="003C1897">
          <w:rPr>
            <w:rStyle w:val="Hyperlink"/>
            <w:sz w:val="24"/>
            <w:lang w:val="el-GR"/>
          </w:rPr>
          <w:t>http://data.europa.eu/eli/C/2025/1804/oj</w:t>
        </w:r>
      </w:hyperlink>
      <w:r w:rsidRPr="003C1897">
        <w:rPr>
          <w:color w:val="000000" w:themeColor="text1"/>
          <w:sz w:val="24"/>
          <w:lang w:val="el-GR"/>
        </w:rPr>
        <w:t>).</w:t>
      </w:r>
    </w:p>
    <w:p w14:paraId="44CAD1BE" w14:textId="2881B97E" w:rsidR="00A83200" w:rsidRPr="003C1897" w:rsidRDefault="00A83200" w:rsidP="00B74A39">
      <w:pPr>
        <w:pStyle w:val="FootnoteText"/>
        <w:ind w:left="1134" w:hanging="567"/>
        <w:rPr>
          <w:sz w:val="24"/>
          <w:vertAlign w:val="superscript"/>
          <w:lang w:val="el-GR"/>
        </w:rPr>
      </w:pPr>
      <w:r w:rsidRPr="003C1897">
        <w:rPr>
          <w:color w:val="000000" w:themeColor="text1"/>
          <w:sz w:val="24"/>
          <w:lang w:val="el-GR"/>
        </w:rPr>
        <w:t>–</w:t>
      </w:r>
      <w:r w:rsidRPr="003C1897">
        <w:rPr>
          <w:color w:val="000000" w:themeColor="text1"/>
          <w:sz w:val="24"/>
          <w:lang w:val="el-GR"/>
        </w:rPr>
        <w:tab/>
      </w:r>
      <w:r w:rsidRPr="003C1897">
        <w:rPr>
          <w:sz w:val="24"/>
          <w:lang w:val="el-GR"/>
        </w:rPr>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DP910521 σύμφωνα με τον κανονισμό (ΕΚ) αριθ. 1829/2003 του Ευρωπαϊκού Κοινοβουλίου και του Συμβουλίου (ΕΕ C, C/2025/2246, 29.4.2025, ELI: </w:t>
      </w:r>
      <w:hyperlink r:id="rId13" w:tooltip="Επιτρέπει πρόσβαση στο έγγραφο μέσω του ELI URI." w:history="1">
        <w:r w:rsidRPr="003C1897">
          <w:rPr>
            <w:rStyle w:val="Hyperlink"/>
            <w:sz w:val="24"/>
            <w:lang w:val="el-GR"/>
          </w:rPr>
          <w:t>http://data.europa.eu/eli/C/2025/2246/oj</w:t>
        </w:r>
      </w:hyperlink>
      <w:r w:rsidRPr="003C1897">
        <w:rPr>
          <w:sz w:val="24"/>
          <w:lang w:val="el-GR"/>
        </w:rPr>
        <w:t>).</w:t>
      </w:r>
    </w:p>
    <w:p w14:paraId="33DD4C74" w14:textId="13B5DC03" w:rsidR="00A83200" w:rsidRPr="003C1897" w:rsidRDefault="00A83200" w:rsidP="00B74A39">
      <w:pPr>
        <w:pStyle w:val="FootnoteText"/>
        <w:ind w:left="1134" w:hanging="567"/>
        <w:rPr>
          <w:sz w:val="24"/>
          <w:vertAlign w:val="superscript"/>
          <w:lang w:val="el-GR"/>
        </w:rPr>
      </w:pPr>
      <w:r w:rsidRPr="003C1897">
        <w:rPr>
          <w:sz w:val="24"/>
          <w:lang w:val="el-GR"/>
        </w:rPr>
        <w:t>–</w:t>
      </w:r>
      <w:r w:rsidRPr="003C1897">
        <w:rPr>
          <w:sz w:val="24"/>
          <w:lang w:val="el-GR"/>
        </w:rPr>
        <w:tab/>
        <w:t xml:space="preserve">Ψήφισμα του Ευρωπαϊκού Κοινοβουλίου της 12ης Φεβρουαρίου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MON 95275 σύμφωνα με τον κανονισμό (ΕΚ) αριθ. 1829/2003 του Ευρωπαϊκού Κοινοβουλίου και του Συμβουλίου (ΕΕ C, C/2025/2247, 29.4.2025, ELI: </w:t>
      </w:r>
      <w:hyperlink r:id="rId14" w:tooltip="Επιτρέπει πρόσβαση στο έγγραφο μέσω του ELI URI." w:history="1">
        <w:r w:rsidRPr="003C1897">
          <w:rPr>
            <w:rStyle w:val="Hyperlink"/>
            <w:sz w:val="24"/>
            <w:lang w:val="el-GR"/>
          </w:rPr>
          <w:t>http://data.europa.eu/eli/C/2025/2247/oj</w:t>
        </w:r>
      </w:hyperlink>
      <w:r w:rsidRPr="003C1897">
        <w:rPr>
          <w:sz w:val="24"/>
          <w:lang w:val="el-GR"/>
        </w:rPr>
        <w:t>).</w:t>
      </w:r>
    </w:p>
    <w:p w14:paraId="4BCABD3B" w14:textId="42C60C46" w:rsidR="00A83200" w:rsidRPr="003C1897" w:rsidRDefault="00A83200" w:rsidP="00B74A39">
      <w:pPr>
        <w:pStyle w:val="FootnoteText"/>
        <w:ind w:left="1134" w:hanging="567"/>
        <w:rPr>
          <w:sz w:val="24"/>
          <w:lang w:val="el-GR"/>
        </w:rPr>
      </w:pPr>
      <w:r w:rsidRPr="003C1897">
        <w:rPr>
          <w:sz w:val="24"/>
          <w:lang w:val="el-GR"/>
        </w:rPr>
        <w:t>–</w:t>
      </w:r>
      <w:r w:rsidRPr="003C1897">
        <w:rPr>
          <w:sz w:val="24"/>
          <w:lang w:val="el-GR"/>
        </w:rPr>
        <w:tab/>
        <w:t>Ψήφισμα του Ευρωπαϊκού Κοινοβουλίου της 8ης Μαΐου 2025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τροποποιημένη σόγια της σειράς MON 87705 × MON 87708 × MON 89788, σύμφωνα με τον κανονισμό (ΕΚ) αριθ. 1829/2003 του Ευρωπαϊκού Κοινοβουλίου και του Συμβουλίου (P10_TA(2025)0106).</w:t>
      </w:r>
    </w:p>
  </w:footnote>
  <w:footnote w:id="6">
    <w:p w14:paraId="3BCA5806" w14:textId="3EC79875"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Κανονισμός (ΕΚ) αριθ. 1107/2009 του Ευρωπαϊκού Κοινοβουλίου και του Συμβουλίου, της 21ης Οκτωβρίου 2009, σχετικά με τη διάθεση </w:t>
      </w:r>
      <w:proofErr w:type="spellStart"/>
      <w:r w:rsidRPr="003C1897">
        <w:rPr>
          <w:sz w:val="24"/>
          <w:lang w:val="el-GR"/>
        </w:rPr>
        <w:t>φυτοπροστατευτικών</w:t>
      </w:r>
      <w:proofErr w:type="spellEnd"/>
      <w:r w:rsidRPr="003C1897">
        <w:rPr>
          <w:sz w:val="24"/>
          <w:lang w:val="el-GR"/>
        </w:rPr>
        <w:t xml:space="preserve"> προϊόντων στην αγορά και την κατάργηση των οδηγιών 79/117/ΕΟΚ και 91/414/ΕΟΚ του Συμβουλίου (ΕΕ L 309 της 24.11.2009, σ. </w:t>
      </w:r>
      <w:r w:rsidRPr="003C1897">
        <w:rPr>
          <w:sz w:val="24"/>
          <w:lang w:val="el-GR"/>
        </w:rPr>
        <w:t xml:space="preserve">1, ELI: </w:t>
      </w:r>
      <w:hyperlink r:id="rId15" w:tooltip="Επιτρέπει πρόσβαση στο έγγραφο μέσω του ELI URI." w:history="1">
        <w:r w:rsidRPr="003C1897">
          <w:rPr>
            <w:rStyle w:val="Hyperlink"/>
            <w:sz w:val="24"/>
            <w:lang w:val="el-GR"/>
          </w:rPr>
          <w:t>http://data.europa.eu/eli/reg/2009/1107/oj</w:t>
        </w:r>
      </w:hyperlink>
      <w:r w:rsidRPr="003C1897">
        <w:rPr>
          <w:sz w:val="24"/>
          <w:lang w:val="el-GR"/>
        </w:rPr>
        <w:t>).</w:t>
      </w:r>
    </w:p>
  </w:footnote>
  <w:footnote w:id="7">
    <w:p w14:paraId="5C9FC4FB" w14:textId="7F226EE7"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16" w:history="1">
        <w:r w:rsidR="00C4050C" w:rsidRPr="009D772C">
          <w:rPr>
            <w:rStyle w:val="Hyperlink"/>
          </w:rPr>
          <w:t>https</w:t>
        </w:r>
        <w:r w:rsidR="00C4050C" w:rsidRPr="00B74A39">
          <w:rPr>
            <w:rStyle w:val="Hyperlink"/>
            <w:lang w:val="el-GR"/>
          </w:rPr>
          <w:t>://</w:t>
        </w:r>
        <w:r w:rsidR="00C4050C" w:rsidRPr="009D772C">
          <w:rPr>
            <w:rStyle w:val="Hyperlink"/>
          </w:rPr>
          <w:t>www</w:t>
        </w:r>
        <w:r w:rsidR="00C4050C" w:rsidRPr="00B74A39">
          <w:rPr>
            <w:rStyle w:val="Hyperlink"/>
            <w:lang w:val="el-GR"/>
          </w:rPr>
          <w:t>.</w:t>
        </w:r>
        <w:proofErr w:type="spellStart"/>
        <w:r w:rsidR="00C4050C" w:rsidRPr="009D772C">
          <w:rPr>
            <w:rStyle w:val="Hyperlink"/>
          </w:rPr>
          <w:t>testbiotech</w:t>
        </w:r>
        <w:proofErr w:type="spellEnd"/>
        <w:r w:rsidR="00C4050C" w:rsidRPr="00B74A39">
          <w:rPr>
            <w:rStyle w:val="Hyperlink"/>
            <w:lang w:val="el-GR"/>
          </w:rPr>
          <w:t>.</w:t>
        </w:r>
        <w:proofErr w:type="spellStart"/>
        <w:r w:rsidR="00C4050C" w:rsidRPr="009D772C">
          <w:rPr>
            <w:rStyle w:val="Hyperlink"/>
          </w:rPr>
          <w:t>org</w:t>
        </w:r>
        <w:proofErr w:type="spellEnd"/>
        <w:r w:rsidR="00C4050C" w:rsidRPr="00B74A39">
          <w:rPr>
            <w:rStyle w:val="Hyperlink"/>
            <w:lang w:val="el-GR"/>
          </w:rPr>
          <w:t>/</w:t>
        </w:r>
        <w:proofErr w:type="spellStart"/>
        <w:r w:rsidR="00C4050C" w:rsidRPr="009D772C">
          <w:rPr>
            <w:rStyle w:val="Hyperlink"/>
          </w:rPr>
          <w:t>wp</w:t>
        </w:r>
        <w:proofErr w:type="spellEnd"/>
        <w:r w:rsidR="00C4050C" w:rsidRPr="00B74A39">
          <w:rPr>
            <w:rStyle w:val="Hyperlink"/>
            <w:lang w:val="el-GR"/>
          </w:rPr>
          <w:t>-</w:t>
        </w:r>
        <w:r w:rsidR="00C4050C" w:rsidRPr="009D772C">
          <w:rPr>
            <w:rStyle w:val="Hyperlink"/>
          </w:rPr>
          <w:t>content</w:t>
        </w:r>
        <w:r w:rsidR="00C4050C" w:rsidRPr="00B74A39">
          <w:rPr>
            <w:rStyle w:val="Hyperlink"/>
            <w:lang w:val="el-GR"/>
          </w:rPr>
          <w:t>/</w:t>
        </w:r>
        <w:proofErr w:type="spellStart"/>
        <w:r w:rsidR="00C4050C" w:rsidRPr="009D772C">
          <w:rPr>
            <w:rStyle w:val="Hyperlink"/>
          </w:rPr>
          <w:t>uploads</w:t>
        </w:r>
        <w:proofErr w:type="spellEnd"/>
        <w:r w:rsidR="00C4050C" w:rsidRPr="00B74A39">
          <w:rPr>
            <w:rStyle w:val="Hyperlink"/>
            <w:lang w:val="el-GR"/>
          </w:rPr>
          <w:t>/2024/12/</w:t>
        </w:r>
        <w:proofErr w:type="spellStart"/>
        <w:r w:rsidR="00C4050C" w:rsidRPr="009D772C">
          <w:rPr>
            <w:rStyle w:val="Hyperlink"/>
          </w:rPr>
          <w:t>Testbiotech</w:t>
        </w:r>
        <w:proofErr w:type="spellEnd"/>
        <w:r w:rsidR="00C4050C" w:rsidRPr="00B74A39">
          <w:rPr>
            <w:rStyle w:val="Hyperlink"/>
            <w:lang w:val="el-GR"/>
          </w:rPr>
          <w:t>_</w:t>
        </w:r>
        <w:r w:rsidR="00C4050C" w:rsidRPr="009D772C">
          <w:rPr>
            <w:rStyle w:val="Hyperlink"/>
          </w:rPr>
          <w:t>comment</w:t>
        </w:r>
        <w:r w:rsidR="00C4050C" w:rsidRPr="00B74A39">
          <w:rPr>
            <w:rStyle w:val="Hyperlink"/>
            <w:lang w:val="el-GR"/>
          </w:rPr>
          <w:t>_</w:t>
        </w:r>
        <w:proofErr w:type="spellStart"/>
        <w:r w:rsidR="00C4050C" w:rsidRPr="009D772C">
          <w:rPr>
            <w:rStyle w:val="Hyperlink"/>
          </w:rPr>
          <w:t>maize</w:t>
        </w:r>
        <w:proofErr w:type="spellEnd"/>
        <w:r w:rsidR="00C4050C" w:rsidRPr="00B74A39">
          <w:rPr>
            <w:rStyle w:val="Hyperlink"/>
            <w:lang w:val="el-GR"/>
          </w:rPr>
          <w:t>_</w:t>
        </w:r>
        <w:r w:rsidR="00C4050C" w:rsidRPr="009D772C">
          <w:rPr>
            <w:rStyle w:val="Hyperlink"/>
          </w:rPr>
          <w:t>DP</w:t>
        </w:r>
        <w:r w:rsidR="00C4050C" w:rsidRPr="00B74A39">
          <w:rPr>
            <w:rStyle w:val="Hyperlink"/>
            <w:lang w:val="el-GR"/>
          </w:rPr>
          <w:t>51291.</w:t>
        </w:r>
        <w:proofErr w:type="spellStart"/>
        <w:r w:rsidR="00C4050C" w:rsidRPr="009D772C">
          <w:rPr>
            <w:rStyle w:val="Hyperlink"/>
          </w:rPr>
          <w:t>pdf</w:t>
        </w:r>
        <w:proofErr w:type="spellEnd"/>
      </w:hyperlink>
      <w:r w:rsidR="00C4050C" w:rsidRPr="00B74A39">
        <w:rPr>
          <w:lang w:val="el-GR"/>
        </w:rPr>
        <w:t xml:space="preserve">. </w:t>
      </w:r>
    </w:p>
  </w:footnote>
  <w:footnote w:id="8">
    <w:p w14:paraId="7854B31D" w14:textId="44CFE793"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Εκτελεστικός κανονισμός (ΕΕ) αριθ. 503/2013 της Επιτροπής, της 3ης Απριλίου 2013, σχετικά με τις αιτήσεις έγκρισης γενετικώς τροποποιημένων τροφίμων και ζωοτροφών, σύμφωνα με τον κανονισμό (ΕΚ) αριθ. 1829/2003 του Ευρωπαϊκού Κοινοβουλίου και του Συμβουλίου, και την τροποποίηση των κανονισμών της Επιτροπής (ΕΚ) αριθ. 641/2004 και (ΕΚ) αριθ. 1981/2006 (ΕΕ L 157 της 8.6.2013, σ. </w:t>
      </w:r>
      <w:r w:rsidRPr="003C1897">
        <w:rPr>
          <w:sz w:val="24"/>
          <w:lang w:val="el-GR"/>
        </w:rPr>
        <w:t xml:space="preserve">1, ELI: </w:t>
      </w:r>
      <w:hyperlink r:id="rId17" w:history="1">
        <w:r w:rsidRPr="003C1897">
          <w:rPr>
            <w:rStyle w:val="Hyperlink"/>
            <w:sz w:val="24"/>
            <w:lang w:val="el-GR"/>
          </w:rPr>
          <w:t>http://data.europa.eu/eli/reg_impl/2013/503/oj</w:t>
        </w:r>
      </w:hyperlink>
      <w:r w:rsidRPr="003C1897">
        <w:rPr>
          <w:sz w:val="24"/>
          <w:lang w:val="el-GR"/>
        </w:rPr>
        <w:t>).</w:t>
      </w:r>
    </w:p>
  </w:footnote>
  <w:footnote w:id="9">
    <w:p w14:paraId="646848E2" w14:textId="5C66D2FA"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proofErr w:type="spellStart"/>
      <w:r w:rsidRPr="003C1897">
        <w:rPr>
          <w:sz w:val="24"/>
          <w:lang w:val="el-GR"/>
        </w:rPr>
        <w:t>Trtikova</w:t>
      </w:r>
      <w:proofErr w:type="spellEnd"/>
      <w:r w:rsidRPr="003C1897">
        <w:rPr>
          <w:sz w:val="24"/>
          <w:lang w:val="el-GR"/>
        </w:rPr>
        <w:t xml:space="preserve">, M., </w:t>
      </w:r>
      <w:proofErr w:type="spellStart"/>
      <w:r w:rsidRPr="003C1897">
        <w:rPr>
          <w:sz w:val="24"/>
          <w:lang w:val="el-GR"/>
        </w:rPr>
        <w:t>Wikmark</w:t>
      </w:r>
      <w:proofErr w:type="spellEnd"/>
      <w:r w:rsidRPr="003C1897">
        <w:rPr>
          <w:sz w:val="24"/>
          <w:lang w:val="el-GR"/>
        </w:rPr>
        <w:t xml:space="preserve"> O. G., </w:t>
      </w:r>
      <w:proofErr w:type="spellStart"/>
      <w:r w:rsidRPr="003C1897">
        <w:rPr>
          <w:sz w:val="24"/>
          <w:lang w:val="el-GR"/>
        </w:rPr>
        <w:t>Zemp</w:t>
      </w:r>
      <w:proofErr w:type="spellEnd"/>
      <w:r w:rsidRPr="003C1897">
        <w:rPr>
          <w:sz w:val="24"/>
          <w:lang w:val="el-GR"/>
        </w:rPr>
        <w:t xml:space="preserve">, N., </w:t>
      </w:r>
      <w:proofErr w:type="spellStart"/>
      <w:r w:rsidRPr="003C1897">
        <w:rPr>
          <w:sz w:val="24"/>
          <w:lang w:val="el-GR"/>
        </w:rPr>
        <w:t>Widmer</w:t>
      </w:r>
      <w:proofErr w:type="spellEnd"/>
      <w:r w:rsidRPr="003C1897">
        <w:rPr>
          <w:sz w:val="24"/>
          <w:lang w:val="el-GR"/>
        </w:rPr>
        <w:t xml:space="preserve">, A., </w:t>
      </w:r>
      <w:proofErr w:type="spellStart"/>
      <w:r w:rsidRPr="003C1897">
        <w:rPr>
          <w:sz w:val="24"/>
          <w:lang w:val="el-GR"/>
        </w:rPr>
        <w:t>Hilbeck</w:t>
      </w:r>
      <w:proofErr w:type="spellEnd"/>
      <w:r w:rsidRPr="003C1897">
        <w:rPr>
          <w:sz w:val="24"/>
          <w:lang w:val="el-GR"/>
        </w:rPr>
        <w:t>, A., (2015) ‘</w:t>
      </w:r>
      <w:proofErr w:type="spellStart"/>
      <w:r w:rsidRPr="003C1897">
        <w:rPr>
          <w:sz w:val="24"/>
          <w:lang w:val="el-GR"/>
        </w:rPr>
        <w:t>Transgene</w:t>
      </w:r>
      <w:proofErr w:type="spellEnd"/>
      <w:r w:rsidRPr="003C1897">
        <w:rPr>
          <w:sz w:val="24"/>
          <w:lang w:val="el-GR"/>
        </w:rPr>
        <w:t xml:space="preserve"> </w:t>
      </w:r>
      <w:proofErr w:type="spellStart"/>
      <w:r w:rsidRPr="003C1897">
        <w:rPr>
          <w:sz w:val="24"/>
          <w:lang w:val="el-GR"/>
        </w:rPr>
        <w:t>Expression</w:t>
      </w:r>
      <w:proofErr w:type="spellEnd"/>
      <w:r w:rsidRPr="003C1897">
        <w:rPr>
          <w:sz w:val="24"/>
          <w:lang w:val="el-GR"/>
        </w:rPr>
        <w:t xml:space="preserve"> and </w:t>
      </w:r>
      <w:proofErr w:type="spellStart"/>
      <w:r w:rsidRPr="003C1897">
        <w:rPr>
          <w:sz w:val="24"/>
          <w:lang w:val="el-GR"/>
        </w:rPr>
        <w:t>Bt</w:t>
      </w:r>
      <w:proofErr w:type="spellEnd"/>
      <w:r w:rsidRPr="003C1897">
        <w:rPr>
          <w:sz w:val="24"/>
          <w:lang w:val="el-GR"/>
        </w:rPr>
        <w:t xml:space="preserve"> </w:t>
      </w:r>
      <w:proofErr w:type="spellStart"/>
      <w:r w:rsidRPr="003C1897">
        <w:rPr>
          <w:sz w:val="24"/>
          <w:lang w:val="el-GR"/>
        </w:rPr>
        <w:t>Protein</w:t>
      </w:r>
      <w:proofErr w:type="spellEnd"/>
      <w:r w:rsidRPr="003C1897">
        <w:rPr>
          <w:sz w:val="24"/>
          <w:lang w:val="el-GR"/>
        </w:rPr>
        <w:t xml:space="preserve"> </w:t>
      </w:r>
      <w:proofErr w:type="spellStart"/>
      <w:r w:rsidRPr="003C1897">
        <w:rPr>
          <w:sz w:val="24"/>
          <w:lang w:val="el-GR"/>
        </w:rPr>
        <w:t>Content</w:t>
      </w:r>
      <w:proofErr w:type="spellEnd"/>
      <w:r w:rsidRPr="003C1897">
        <w:rPr>
          <w:sz w:val="24"/>
          <w:lang w:val="el-GR"/>
        </w:rPr>
        <w:t xml:space="preserve"> in </w:t>
      </w:r>
      <w:proofErr w:type="spellStart"/>
      <w:r w:rsidRPr="003C1897">
        <w:rPr>
          <w:sz w:val="24"/>
          <w:lang w:val="el-GR"/>
        </w:rPr>
        <w:t>Transgenic</w:t>
      </w:r>
      <w:proofErr w:type="spellEnd"/>
      <w:r w:rsidRPr="003C1897">
        <w:rPr>
          <w:sz w:val="24"/>
          <w:lang w:val="el-GR"/>
        </w:rPr>
        <w:t xml:space="preserve"> </w:t>
      </w:r>
      <w:proofErr w:type="spellStart"/>
      <w:r w:rsidRPr="003C1897">
        <w:rPr>
          <w:sz w:val="24"/>
          <w:lang w:val="el-GR"/>
        </w:rPr>
        <w:t>Bt</w:t>
      </w:r>
      <w:proofErr w:type="spellEnd"/>
      <w:r w:rsidRPr="003C1897">
        <w:rPr>
          <w:sz w:val="24"/>
          <w:lang w:val="el-GR"/>
        </w:rPr>
        <w:t xml:space="preserve"> </w:t>
      </w:r>
      <w:proofErr w:type="spellStart"/>
      <w:r w:rsidRPr="003C1897">
        <w:rPr>
          <w:sz w:val="24"/>
          <w:lang w:val="el-GR"/>
        </w:rPr>
        <w:t>Maize</w:t>
      </w:r>
      <w:proofErr w:type="spellEnd"/>
      <w:r w:rsidRPr="003C1897">
        <w:rPr>
          <w:sz w:val="24"/>
          <w:lang w:val="el-GR"/>
        </w:rPr>
        <w:t xml:space="preserve"> (MON810) </w:t>
      </w:r>
      <w:proofErr w:type="spellStart"/>
      <w:r w:rsidRPr="003C1897">
        <w:rPr>
          <w:sz w:val="24"/>
          <w:lang w:val="el-GR"/>
        </w:rPr>
        <w:t>under</w:t>
      </w:r>
      <w:proofErr w:type="spellEnd"/>
      <w:r w:rsidRPr="003C1897">
        <w:rPr>
          <w:sz w:val="24"/>
          <w:lang w:val="el-GR"/>
        </w:rPr>
        <w:t xml:space="preserve"> </w:t>
      </w:r>
      <w:proofErr w:type="spellStart"/>
      <w:r w:rsidRPr="003C1897">
        <w:rPr>
          <w:sz w:val="24"/>
          <w:lang w:val="el-GR"/>
        </w:rPr>
        <w:t>Optimal</w:t>
      </w:r>
      <w:proofErr w:type="spellEnd"/>
      <w:r w:rsidRPr="003C1897">
        <w:rPr>
          <w:sz w:val="24"/>
          <w:lang w:val="el-GR"/>
        </w:rPr>
        <w:t xml:space="preserve"> and </w:t>
      </w:r>
      <w:proofErr w:type="spellStart"/>
      <w:r w:rsidRPr="003C1897">
        <w:rPr>
          <w:sz w:val="24"/>
          <w:lang w:val="el-GR"/>
        </w:rPr>
        <w:t>Stressful</w:t>
      </w:r>
      <w:proofErr w:type="spellEnd"/>
      <w:r w:rsidRPr="003C1897">
        <w:rPr>
          <w:sz w:val="24"/>
          <w:lang w:val="el-GR"/>
        </w:rPr>
        <w:t xml:space="preserve"> </w:t>
      </w:r>
      <w:proofErr w:type="spellStart"/>
      <w:r w:rsidRPr="003C1897">
        <w:rPr>
          <w:sz w:val="24"/>
          <w:lang w:val="el-GR"/>
        </w:rPr>
        <w:t>Environmental</w:t>
      </w:r>
      <w:proofErr w:type="spellEnd"/>
      <w:r w:rsidRPr="003C1897">
        <w:rPr>
          <w:sz w:val="24"/>
          <w:lang w:val="el-GR"/>
        </w:rPr>
        <w:t xml:space="preserve"> </w:t>
      </w:r>
      <w:proofErr w:type="spellStart"/>
      <w:r w:rsidRPr="003C1897">
        <w:rPr>
          <w:sz w:val="24"/>
          <w:lang w:val="el-GR"/>
        </w:rPr>
        <w:t>Conditions</w:t>
      </w:r>
      <w:proofErr w:type="spellEnd"/>
      <w:r w:rsidRPr="003C1897">
        <w:rPr>
          <w:sz w:val="24"/>
          <w:lang w:val="el-GR"/>
        </w:rPr>
        <w:t xml:space="preserve">’, </w:t>
      </w:r>
      <w:proofErr w:type="spellStart"/>
      <w:r w:rsidRPr="003C1897">
        <w:rPr>
          <w:sz w:val="24"/>
          <w:lang w:val="el-GR"/>
        </w:rPr>
        <w:t>PLoS</w:t>
      </w:r>
      <w:proofErr w:type="spellEnd"/>
      <w:r w:rsidRPr="003C1897">
        <w:rPr>
          <w:sz w:val="24"/>
          <w:lang w:val="el-GR"/>
        </w:rPr>
        <w:t xml:space="preserve"> ONE 10(4): e0123011, </w:t>
      </w:r>
      <w:hyperlink r:id="rId18" w:history="1">
        <w:r w:rsidRPr="003C1897">
          <w:rPr>
            <w:rStyle w:val="Hyperlink"/>
            <w:sz w:val="24"/>
            <w:lang w:val="el-GR"/>
          </w:rPr>
          <w:t>https://doi.org/10.1371/journal.pone.0123011</w:t>
        </w:r>
      </w:hyperlink>
      <w:r w:rsidRPr="003C1897">
        <w:rPr>
          <w:sz w:val="24"/>
          <w:lang w:val="el-GR"/>
        </w:rPr>
        <w:t>.</w:t>
      </w:r>
    </w:p>
  </w:footnote>
  <w:footnote w:id="10">
    <w:p w14:paraId="0FC0EEEE" w14:textId="1BD50BBF"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Βλ., για παράδειγμα, </w:t>
      </w:r>
      <w:proofErr w:type="spellStart"/>
      <w:r w:rsidRPr="003C1897">
        <w:rPr>
          <w:sz w:val="24"/>
          <w:lang w:val="el-GR"/>
        </w:rPr>
        <w:t>Schulz</w:t>
      </w:r>
      <w:proofErr w:type="spellEnd"/>
      <w:r w:rsidRPr="003C1897">
        <w:rPr>
          <w:sz w:val="24"/>
          <w:lang w:val="el-GR"/>
        </w:rPr>
        <w:t xml:space="preserve">, R., </w:t>
      </w:r>
      <w:proofErr w:type="spellStart"/>
      <w:r w:rsidRPr="003C1897">
        <w:rPr>
          <w:sz w:val="24"/>
          <w:lang w:val="el-GR"/>
        </w:rPr>
        <w:t>Bub</w:t>
      </w:r>
      <w:proofErr w:type="spellEnd"/>
      <w:r w:rsidRPr="003C1897">
        <w:rPr>
          <w:sz w:val="24"/>
          <w:lang w:val="el-GR"/>
        </w:rPr>
        <w:t xml:space="preserve">, S., </w:t>
      </w:r>
      <w:proofErr w:type="spellStart"/>
      <w:r w:rsidRPr="003C1897">
        <w:rPr>
          <w:sz w:val="24"/>
          <w:lang w:val="el-GR"/>
        </w:rPr>
        <w:t>Petschick</w:t>
      </w:r>
      <w:proofErr w:type="spellEnd"/>
      <w:r w:rsidRPr="003C1897">
        <w:rPr>
          <w:sz w:val="24"/>
          <w:lang w:val="el-GR"/>
        </w:rPr>
        <w:t xml:space="preserve">, L. L., </w:t>
      </w:r>
      <w:proofErr w:type="spellStart"/>
      <w:r w:rsidRPr="003C1897">
        <w:rPr>
          <w:sz w:val="24"/>
          <w:lang w:val="el-GR"/>
        </w:rPr>
        <w:t>Stehle</w:t>
      </w:r>
      <w:proofErr w:type="spellEnd"/>
      <w:r w:rsidRPr="003C1897">
        <w:rPr>
          <w:sz w:val="24"/>
          <w:lang w:val="el-GR"/>
        </w:rPr>
        <w:t xml:space="preserve">, S., </w:t>
      </w:r>
      <w:proofErr w:type="spellStart"/>
      <w:r w:rsidRPr="003C1897">
        <w:rPr>
          <w:sz w:val="24"/>
          <w:lang w:val="el-GR"/>
        </w:rPr>
        <w:t>Wolfram</w:t>
      </w:r>
      <w:proofErr w:type="spellEnd"/>
      <w:r w:rsidRPr="003C1897">
        <w:rPr>
          <w:sz w:val="24"/>
          <w:lang w:val="el-GR"/>
        </w:rPr>
        <w:t>, J. (2021) «</w:t>
      </w:r>
      <w:proofErr w:type="spellStart"/>
      <w:r w:rsidRPr="003C1897">
        <w:rPr>
          <w:sz w:val="24"/>
          <w:lang w:val="el-GR"/>
        </w:rPr>
        <w:t>Applied</w:t>
      </w:r>
      <w:proofErr w:type="spellEnd"/>
      <w:r w:rsidRPr="003C1897">
        <w:rPr>
          <w:sz w:val="24"/>
          <w:lang w:val="el-GR"/>
        </w:rPr>
        <w:t xml:space="preserve"> </w:t>
      </w:r>
      <w:proofErr w:type="spellStart"/>
      <w:r w:rsidRPr="003C1897">
        <w:rPr>
          <w:sz w:val="24"/>
          <w:lang w:val="el-GR"/>
        </w:rPr>
        <w:t>pesticide</w:t>
      </w:r>
      <w:proofErr w:type="spellEnd"/>
      <w:r w:rsidRPr="003C1897">
        <w:rPr>
          <w:sz w:val="24"/>
          <w:lang w:val="el-GR"/>
        </w:rPr>
        <w:t xml:space="preserve"> </w:t>
      </w:r>
      <w:proofErr w:type="spellStart"/>
      <w:r w:rsidRPr="003C1897">
        <w:rPr>
          <w:sz w:val="24"/>
          <w:lang w:val="el-GR"/>
        </w:rPr>
        <w:t>toxicity</w:t>
      </w:r>
      <w:proofErr w:type="spellEnd"/>
      <w:r w:rsidRPr="003C1897">
        <w:rPr>
          <w:sz w:val="24"/>
          <w:lang w:val="el-GR"/>
        </w:rPr>
        <w:t xml:space="preserve"> </w:t>
      </w:r>
      <w:proofErr w:type="spellStart"/>
      <w:r w:rsidRPr="003C1897">
        <w:rPr>
          <w:sz w:val="24"/>
          <w:lang w:val="el-GR"/>
        </w:rPr>
        <w:t>shifts</w:t>
      </w:r>
      <w:proofErr w:type="spellEnd"/>
      <w:r w:rsidRPr="003C1897">
        <w:rPr>
          <w:sz w:val="24"/>
          <w:lang w:val="el-GR"/>
        </w:rPr>
        <w:t xml:space="preserve"> </w:t>
      </w:r>
      <w:proofErr w:type="spellStart"/>
      <w:r w:rsidRPr="003C1897">
        <w:rPr>
          <w:sz w:val="24"/>
          <w:lang w:val="el-GR"/>
        </w:rPr>
        <w:t>toward</w:t>
      </w:r>
      <w:proofErr w:type="spellEnd"/>
      <w:r w:rsidRPr="003C1897">
        <w:rPr>
          <w:sz w:val="24"/>
          <w:lang w:val="el-GR"/>
        </w:rPr>
        <w:t xml:space="preserve"> </w:t>
      </w:r>
      <w:proofErr w:type="spellStart"/>
      <w:r w:rsidRPr="003C1897">
        <w:rPr>
          <w:sz w:val="24"/>
          <w:lang w:val="el-GR"/>
        </w:rPr>
        <w:t>plants</w:t>
      </w:r>
      <w:proofErr w:type="spellEnd"/>
      <w:r w:rsidRPr="003C1897">
        <w:rPr>
          <w:sz w:val="24"/>
          <w:lang w:val="el-GR"/>
        </w:rPr>
        <w:t xml:space="preserve"> and </w:t>
      </w:r>
      <w:proofErr w:type="spellStart"/>
      <w:r w:rsidRPr="003C1897">
        <w:rPr>
          <w:sz w:val="24"/>
          <w:lang w:val="el-GR"/>
        </w:rPr>
        <w:t>invertebrates</w:t>
      </w:r>
      <w:proofErr w:type="spellEnd"/>
      <w:r w:rsidRPr="003C1897">
        <w:rPr>
          <w:sz w:val="24"/>
          <w:lang w:val="el-GR"/>
        </w:rPr>
        <w:t xml:space="preserve">, </w:t>
      </w:r>
      <w:proofErr w:type="spellStart"/>
      <w:r w:rsidRPr="003C1897">
        <w:rPr>
          <w:sz w:val="24"/>
          <w:lang w:val="el-GR"/>
        </w:rPr>
        <w:t>even</w:t>
      </w:r>
      <w:proofErr w:type="spellEnd"/>
      <w:r w:rsidRPr="003C1897">
        <w:rPr>
          <w:sz w:val="24"/>
          <w:lang w:val="el-GR"/>
        </w:rPr>
        <w:t xml:space="preserve"> in GM </w:t>
      </w:r>
      <w:proofErr w:type="spellStart"/>
      <w:r w:rsidRPr="003C1897">
        <w:rPr>
          <w:sz w:val="24"/>
          <w:lang w:val="el-GR"/>
        </w:rPr>
        <w:t>crops</w:t>
      </w:r>
      <w:proofErr w:type="spellEnd"/>
      <w:r w:rsidRPr="003C1897">
        <w:rPr>
          <w:sz w:val="24"/>
          <w:lang w:val="el-GR"/>
        </w:rPr>
        <w:t xml:space="preserve">» (Η εφαρμοσμένη τοξικότητα των φυτοφαρμάκων στρέφεται προς φυτά και ασπόνδυλα, ακόμη και σε γενετικώς τροποποιημένες καλλιέργειες), </w:t>
      </w:r>
      <w:proofErr w:type="spellStart"/>
      <w:r w:rsidRPr="003C1897">
        <w:rPr>
          <w:sz w:val="24"/>
          <w:lang w:val="el-GR"/>
        </w:rPr>
        <w:t>Science</w:t>
      </w:r>
      <w:proofErr w:type="spellEnd"/>
      <w:r w:rsidRPr="003C1897">
        <w:rPr>
          <w:sz w:val="24"/>
          <w:lang w:val="el-GR"/>
        </w:rPr>
        <w:t xml:space="preserve"> 372 (6537), σ. </w:t>
      </w:r>
      <w:r w:rsidRPr="003C1897">
        <w:rPr>
          <w:sz w:val="24"/>
          <w:lang w:val="el-GR"/>
        </w:rPr>
        <w:t xml:space="preserve">81-84, </w:t>
      </w:r>
      <w:hyperlink r:id="rId19" w:history="1">
        <w:r w:rsidRPr="003C1897">
          <w:rPr>
            <w:rStyle w:val="Hyperlink"/>
            <w:sz w:val="24"/>
            <w:lang w:val="el-GR"/>
          </w:rPr>
          <w:t>https://doi.org/10.1126/science.abe1148</w:t>
        </w:r>
      </w:hyperlink>
      <w:r w:rsidRPr="003C1897">
        <w:rPr>
          <w:sz w:val="24"/>
          <w:lang w:val="el-GR"/>
        </w:rPr>
        <w:t xml:space="preserve">· </w:t>
      </w:r>
      <w:proofErr w:type="spellStart"/>
      <w:r w:rsidRPr="003C1897">
        <w:rPr>
          <w:sz w:val="24"/>
          <w:lang w:val="el-GR"/>
        </w:rPr>
        <w:t>Bonny</w:t>
      </w:r>
      <w:proofErr w:type="spellEnd"/>
      <w:r w:rsidRPr="003C1897">
        <w:rPr>
          <w:sz w:val="24"/>
          <w:lang w:val="el-GR"/>
        </w:rPr>
        <w:t>, S., «</w:t>
      </w:r>
      <w:proofErr w:type="spellStart"/>
      <w:r w:rsidRPr="003C1897">
        <w:rPr>
          <w:sz w:val="24"/>
          <w:lang w:val="el-GR"/>
        </w:rPr>
        <w:t>Genetically</w:t>
      </w:r>
      <w:proofErr w:type="spellEnd"/>
      <w:r w:rsidRPr="003C1897">
        <w:rPr>
          <w:sz w:val="24"/>
          <w:lang w:val="el-GR"/>
        </w:rPr>
        <w:t xml:space="preserve"> </w:t>
      </w:r>
      <w:proofErr w:type="spellStart"/>
      <w:r w:rsidRPr="003C1897">
        <w:rPr>
          <w:sz w:val="24"/>
          <w:lang w:val="el-GR"/>
        </w:rPr>
        <w:t>Modified</w:t>
      </w:r>
      <w:proofErr w:type="spellEnd"/>
      <w:r w:rsidRPr="003C1897">
        <w:rPr>
          <w:sz w:val="24"/>
          <w:lang w:val="el-GR"/>
        </w:rPr>
        <w:t xml:space="preserve"> </w:t>
      </w:r>
      <w:proofErr w:type="spellStart"/>
      <w:r w:rsidRPr="003C1897">
        <w:rPr>
          <w:sz w:val="24"/>
          <w:lang w:val="el-GR"/>
        </w:rPr>
        <w:t>Herbicide-Tolerant</w:t>
      </w:r>
      <w:proofErr w:type="spellEnd"/>
      <w:r w:rsidRPr="003C1897">
        <w:rPr>
          <w:sz w:val="24"/>
          <w:lang w:val="el-GR"/>
        </w:rPr>
        <w:t xml:space="preserve"> </w:t>
      </w:r>
      <w:proofErr w:type="spellStart"/>
      <w:r w:rsidRPr="003C1897">
        <w:rPr>
          <w:sz w:val="24"/>
          <w:lang w:val="el-GR"/>
        </w:rPr>
        <w:t>Crops</w:t>
      </w:r>
      <w:proofErr w:type="spellEnd"/>
      <w:r w:rsidRPr="003C1897">
        <w:rPr>
          <w:sz w:val="24"/>
          <w:lang w:val="el-GR"/>
        </w:rPr>
        <w:t xml:space="preserve">, </w:t>
      </w:r>
      <w:proofErr w:type="spellStart"/>
      <w:r w:rsidRPr="003C1897">
        <w:rPr>
          <w:sz w:val="24"/>
          <w:lang w:val="el-GR"/>
        </w:rPr>
        <w:t>Weeds</w:t>
      </w:r>
      <w:proofErr w:type="spellEnd"/>
      <w:r w:rsidRPr="003C1897">
        <w:rPr>
          <w:sz w:val="24"/>
          <w:lang w:val="el-GR"/>
        </w:rPr>
        <w:t xml:space="preserve">, and </w:t>
      </w:r>
      <w:proofErr w:type="spellStart"/>
      <w:r w:rsidRPr="003C1897">
        <w:rPr>
          <w:sz w:val="24"/>
          <w:lang w:val="el-GR"/>
        </w:rPr>
        <w:t>Herbicides</w:t>
      </w:r>
      <w:proofErr w:type="spellEnd"/>
      <w:r w:rsidRPr="003C1897">
        <w:rPr>
          <w:sz w:val="24"/>
          <w:lang w:val="el-GR"/>
        </w:rPr>
        <w:t xml:space="preserve">: </w:t>
      </w:r>
      <w:proofErr w:type="spellStart"/>
      <w:r w:rsidRPr="003C1897">
        <w:rPr>
          <w:sz w:val="24"/>
          <w:lang w:val="el-GR"/>
        </w:rPr>
        <w:t>Overview</w:t>
      </w:r>
      <w:proofErr w:type="spellEnd"/>
      <w:r w:rsidRPr="003C1897">
        <w:rPr>
          <w:sz w:val="24"/>
          <w:lang w:val="el-GR"/>
        </w:rPr>
        <w:t xml:space="preserve"> and </w:t>
      </w:r>
      <w:proofErr w:type="spellStart"/>
      <w:r w:rsidRPr="003C1897">
        <w:rPr>
          <w:sz w:val="24"/>
          <w:lang w:val="el-GR"/>
        </w:rPr>
        <w:t>Impact</w:t>
      </w:r>
      <w:proofErr w:type="spellEnd"/>
      <w:r w:rsidRPr="003C1897">
        <w:rPr>
          <w:sz w:val="24"/>
          <w:lang w:val="el-GR"/>
        </w:rPr>
        <w:t xml:space="preserve">» (Γενετικώς τροποποιημένες καλλιέργειες ανθεκτικές στα ζιζανιοκτόνα, ζιζάνια και ζιζανιοκτόνα: επισκόπηση και αντίκτυπος), </w:t>
      </w:r>
      <w:proofErr w:type="spellStart"/>
      <w:r w:rsidRPr="003C1897">
        <w:rPr>
          <w:sz w:val="24"/>
          <w:lang w:val="el-GR"/>
        </w:rPr>
        <w:t>Environmental</w:t>
      </w:r>
      <w:proofErr w:type="spellEnd"/>
      <w:r w:rsidRPr="003C1897">
        <w:rPr>
          <w:sz w:val="24"/>
          <w:lang w:val="el-GR"/>
        </w:rPr>
        <w:t xml:space="preserve"> </w:t>
      </w:r>
      <w:proofErr w:type="spellStart"/>
      <w:r w:rsidRPr="003C1897">
        <w:rPr>
          <w:sz w:val="24"/>
          <w:lang w:val="el-GR"/>
        </w:rPr>
        <w:t>Management</w:t>
      </w:r>
      <w:proofErr w:type="spellEnd"/>
      <w:r w:rsidRPr="003C1897">
        <w:rPr>
          <w:sz w:val="24"/>
          <w:lang w:val="el-GR"/>
        </w:rPr>
        <w:t xml:space="preserve">, Ιανουάριος 2016, 57 (1), σ. 31-48, </w:t>
      </w:r>
      <w:hyperlink r:id="rId20" w:history="1">
        <w:r w:rsidRPr="003C1897">
          <w:rPr>
            <w:rStyle w:val="Hyperlink"/>
            <w:sz w:val="24"/>
            <w:lang w:val="el-GR"/>
          </w:rPr>
          <w:t>https://www.ncbi.nlm.nih.gov/pubmed/26296738</w:t>
        </w:r>
      </w:hyperlink>
      <w:r w:rsidRPr="003C1897">
        <w:rPr>
          <w:sz w:val="24"/>
          <w:lang w:val="el-GR"/>
        </w:rPr>
        <w:t xml:space="preserve">· και </w:t>
      </w:r>
      <w:proofErr w:type="spellStart"/>
      <w:r w:rsidRPr="003C1897">
        <w:rPr>
          <w:sz w:val="24"/>
          <w:lang w:val="el-GR"/>
        </w:rPr>
        <w:t>Benbrook</w:t>
      </w:r>
      <w:proofErr w:type="spellEnd"/>
      <w:r w:rsidRPr="003C1897">
        <w:rPr>
          <w:sz w:val="24"/>
          <w:lang w:val="el-GR"/>
        </w:rPr>
        <w:t>, C. M., «</w:t>
      </w:r>
      <w:proofErr w:type="spellStart"/>
      <w:r w:rsidRPr="003C1897">
        <w:rPr>
          <w:sz w:val="24"/>
          <w:lang w:val="el-GR"/>
        </w:rPr>
        <w:t>Impacts</w:t>
      </w:r>
      <w:proofErr w:type="spellEnd"/>
      <w:r w:rsidRPr="003C1897">
        <w:rPr>
          <w:sz w:val="24"/>
          <w:lang w:val="el-GR"/>
        </w:rPr>
        <w:t xml:space="preserve"> of </w:t>
      </w:r>
      <w:proofErr w:type="spellStart"/>
      <w:r w:rsidRPr="003C1897">
        <w:rPr>
          <w:sz w:val="24"/>
          <w:lang w:val="el-GR"/>
        </w:rPr>
        <w:t>genetically</w:t>
      </w:r>
      <w:proofErr w:type="spellEnd"/>
      <w:r w:rsidRPr="003C1897">
        <w:rPr>
          <w:sz w:val="24"/>
          <w:lang w:val="el-GR"/>
        </w:rPr>
        <w:t xml:space="preserve"> </w:t>
      </w:r>
      <w:proofErr w:type="spellStart"/>
      <w:r w:rsidRPr="003C1897">
        <w:rPr>
          <w:sz w:val="24"/>
          <w:lang w:val="el-GR"/>
        </w:rPr>
        <w:t>engineered</w:t>
      </w:r>
      <w:proofErr w:type="spellEnd"/>
      <w:r w:rsidRPr="003C1897">
        <w:rPr>
          <w:sz w:val="24"/>
          <w:lang w:val="el-GR"/>
        </w:rPr>
        <w:t xml:space="preserve"> </w:t>
      </w:r>
      <w:proofErr w:type="spellStart"/>
      <w:r w:rsidRPr="003C1897">
        <w:rPr>
          <w:sz w:val="24"/>
          <w:lang w:val="el-GR"/>
        </w:rPr>
        <w:t>crops</w:t>
      </w:r>
      <w:proofErr w:type="spellEnd"/>
      <w:r w:rsidRPr="003C1897">
        <w:rPr>
          <w:sz w:val="24"/>
          <w:lang w:val="el-GR"/>
        </w:rPr>
        <w:t xml:space="preserve"> on </w:t>
      </w:r>
      <w:proofErr w:type="spellStart"/>
      <w:r w:rsidRPr="003C1897">
        <w:rPr>
          <w:sz w:val="24"/>
          <w:lang w:val="el-GR"/>
        </w:rPr>
        <w:t>pesticide</w:t>
      </w:r>
      <w:proofErr w:type="spellEnd"/>
      <w:r w:rsidRPr="003C1897">
        <w:rPr>
          <w:sz w:val="24"/>
          <w:lang w:val="el-GR"/>
        </w:rPr>
        <w:t xml:space="preserve"> </w:t>
      </w:r>
      <w:proofErr w:type="spellStart"/>
      <w:r w:rsidRPr="003C1897">
        <w:rPr>
          <w:sz w:val="24"/>
          <w:lang w:val="el-GR"/>
        </w:rPr>
        <w:t>use</w:t>
      </w:r>
      <w:proofErr w:type="spellEnd"/>
      <w:r w:rsidRPr="003C1897">
        <w:rPr>
          <w:sz w:val="24"/>
          <w:lang w:val="el-GR"/>
        </w:rPr>
        <w:t xml:space="preserve"> in the U.S. - the </w:t>
      </w:r>
      <w:proofErr w:type="spellStart"/>
      <w:r w:rsidRPr="003C1897">
        <w:rPr>
          <w:sz w:val="24"/>
          <w:lang w:val="el-GR"/>
        </w:rPr>
        <w:t>first</w:t>
      </w:r>
      <w:proofErr w:type="spellEnd"/>
      <w:r w:rsidRPr="003C1897">
        <w:rPr>
          <w:sz w:val="24"/>
          <w:lang w:val="el-GR"/>
        </w:rPr>
        <w:t xml:space="preserve"> </w:t>
      </w:r>
      <w:proofErr w:type="spellStart"/>
      <w:r w:rsidRPr="003C1897">
        <w:rPr>
          <w:sz w:val="24"/>
          <w:lang w:val="el-GR"/>
        </w:rPr>
        <w:t>sixteen</w:t>
      </w:r>
      <w:proofErr w:type="spellEnd"/>
      <w:r w:rsidRPr="003C1897">
        <w:rPr>
          <w:sz w:val="24"/>
          <w:lang w:val="el-GR"/>
        </w:rPr>
        <w:t xml:space="preserve"> </w:t>
      </w:r>
      <w:proofErr w:type="spellStart"/>
      <w:r w:rsidRPr="003C1897">
        <w:rPr>
          <w:sz w:val="24"/>
          <w:lang w:val="el-GR"/>
        </w:rPr>
        <w:t>years</w:t>
      </w:r>
      <w:proofErr w:type="spellEnd"/>
      <w:r w:rsidRPr="003C1897">
        <w:rPr>
          <w:sz w:val="24"/>
          <w:lang w:val="el-GR"/>
        </w:rPr>
        <w:t xml:space="preserve">» (Επιπτώσεις των γενετικώς τροποποιημένων καλλιεργειών στη χρήση φυτοφαρμάκων στις ΗΠΑ – τα πρώτα 16 χρόνια), </w:t>
      </w:r>
      <w:proofErr w:type="spellStart"/>
      <w:r w:rsidRPr="003C1897">
        <w:rPr>
          <w:sz w:val="24"/>
          <w:lang w:val="el-GR"/>
        </w:rPr>
        <w:t>Environmental</w:t>
      </w:r>
      <w:proofErr w:type="spellEnd"/>
      <w:r w:rsidRPr="003C1897">
        <w:rPr>
          <w:sz w:val="24"/>
          <w:lang w:val="el-GR"/>
        </w:rPr>
        <w:t xml:space="preserve"> </w:t>
      </w:r>
      <w:proofErr w:type="spellStart"/>
      <w:r w:rsidRPr="003C1897">
        <w:rPr>
          <w:sz w:val="24"/>
          <w:lang w:val="el-GR"/>
        </w:rPr>
        <w:t>Sciences</w:t>
      </w:r>
      <w:proofErr w:type="spellEnd"/>
      <w:r w:rsidRPr="003C1897">
        <w:rPr>
          <w:sz w:val="24"/>
          <w:lang w:val="el-GR"/>
        </w:rPr>
        <w:t xml:space="preserve"> Europe, 28 Σεπτεμβρίου 2012, </w:t>
      </w:r>
      <w:proofErr w:type="spellStart"/>
      <w:r w:rsidRPr="003C1897">
        <w:rPr>
          <w:sz w:val="24"/>
          <w:lang w:val="el-GR"/>
        </w:rPr>
        <w:t>Vol</w:t>
      </w:r>
      <w:proofErr w:type="spellEnd"/>
      <w:r w:rsidRPr="003C1897">
        <w:rPr>
          <w:sz w:val="24"/>
          <w:lang w:val="el-GR"/>
        </w:rPr>
        <w:t xml:space="preserve">. 24(24), </w:t>
      </w:r>
      <w:hyperlink r:id="rId21" w:history="1">
        <w:r w:rsidRPr="003C1897">
          <w:rPr>
            <w:rStyle w:val="Hyperlink"/>
            <w:sz w:val="24"/>
            <w:lang w:val="el-GR"/>
          </w:rPr>
          <w:t>https://doi.org/10.1186/2190-4715-24-24</w:t>
        </w:r>
      </w:hyperlink>
      <w:r w:rsidRPr="003C1897">
        <w:rPr>
          <w:sz w:val="24"/>
          <w:lang w:val="el-GR"/>
        </w:rPr>
        <w:t>.</w:t>
      </w:r>
    </w:p>
  </w:footnote>
  <w:footnote w:id="11">
    <w:p w14:paraId="779AD85B" w14:textId="73C71CB2"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 xml:space="preserve">Για μια ανασκόπηση, βλ. </w:t>
      </w:r>
      <w:proofErr w:type="spellStart"/>
      <w:r w:rsidRPr="003C1897">
        <w:rPr>
          <w:sz w:val="24"/>
          <w:lang w:val="el-GR"/>
        </w:rPr>
        <w:t>Rubio-Infante</w:t>
      </w:r>
      <w:proofErr w:type="spellEnd"/>
      <w:r w:rsidRPr="003C1897">
        <w:rPr>
          <w:sz w:val="24"/>
          <w:lang w:val="el-GR"/>
        </w:rPr>
        <w:t xml:space="preserve">, N., </w:t>
      </w:r>
      <w:proofErr w:type="spellStart"/>
      <w:r w:rsidRPr="003C1897">
        <w:rPr>
          <w:sz w:val="24"/>
          <w:lang w:val="el-GR"/>
        </w:rPr>
        <w:t>Moreno-Fierros</w:t>
      </w:r>
      <w:proofErr w:type="spellEnd"/>
      <w:r w:rsidRPr="003C1897">
        <w:rPr>
          <w:sz w:val="24"/>
          <w:lang w:val="el-GR"/>
        </w:rPr>
        <w:t>, L., «</w:t>
      </w:r>
      <w:proofErr w:type="spellStart"/>
      <w:r w:rsidRPr="003C1897">
        <w:rPr>
          <w:sz w:val="24"/>
          <w:lang w:val="el-GR"/>
        </w:rPr>
        <w:t>An</w:t>
      </w:r>
      <w:proofErr w:type="spellEnd"/>
      <w:r w:rsidRPr="003C1897">
        <w:rPr>
          <w:sz w:val="24"/>
          <w:lang w:val="el-GR"/>
        </w:rPr>
        <w:t xml:space="preserve"> </w:t>
      </w:r>
      <w:proofErr w:type="spellStart"/>
      <w:r w:rsidRPr="003C1897">
        <w:rPr>
          <w:sz w:val="24"/>
          <w:lang w:val="el-GR"/>
        </w:rPr>
        <w:t>overview</w:t>
      </w:r>
      <w:proofErr w:type="spellEnd"/>
      <w:r w:rsidRPr="003C1897">
        <w:rPr>
          <w:sz w:val="24"/>
          <w:lang w:val="el-GR"/>
        </w:rPr>
        <w:t xml:space="preserve"> of the </w:t>
      </w:r>
      <w:proofErr w:type="spellStart"/>
      <w:r w:rsidRPr="003C1897">
        <w:rPr>
          <w:sz w:val="24"/>
          <w:lang w:val="el-GR"/>
        </w:rPr>
        <w:t>safety</w:t>
      </w:r>
      <w:proofErr w:type="spellEnd"/>
      <w:r w:rsidRPr="003C1897">
        <w:rPr>
          <w:sz w:val="24"/>
          <w:lang w:val="el-GR"/>
        </w:rPr>
        <w:t xml:space="preserve"> and </w:t>
      </w:r>
      <w:proofErr w:type="spellStart"/>
      <w:r w:rsidRPr="003C1897">
        <w:rPr>
          <w:sz w:val="24"/>
          <w:lang w:val="el-GR"/>
        </w:rPr>
        <w:t>biological</w:t>
      </w:r>
      <w:proofErr w:type="spellEnd"/>
      <w:r w:rsidRPr="003C1897">
        <w:rPr>
          <w:sz w:val="24"/>
          <w:lang w:val="el-GR"/>
        </w:rPr>
        <w:t xml:space="preserve"> </w:t>
      </w:r>
      <w:proofErr w:type="spellStart"/>
      <w:r w:rsidRPr="003C1897">
        <w:rPr>
          <w:sz w:val="24"/>
          <w:lang w:val="el-GR"/>
        </w:rPr>
        <w:t>effects</w:t>
      </w:r>
      <w:proofErr w:type="spellEnd"/>
      <w:r w:rsidRPr="003C1897">
        <w:rPr>
          <w:sz w:val="24"/>
          <w:lang w:val="el-GR"/>
        </w:rPr>
        <w:t xml:space="preserve"> of </w:t>
      </w:r>
      <w:proofErr w:type="spellStart"/>
      <w:r w:rsidRPr="003C1897">
        <w:rPr>
          <w:sz w:val="24"/>
          <w:lang w:val="el-GR"/>
        </w:rPr>
        <w:t>Bacillus</w:t>
      </w:r>
      <w:proofErr w:type="spellEnd"/>
      <w:r w:rsidRPr="003C1897">
        <w:rPr>
          <w:sz w:val="24"/>
          <w:lang w:val="el-GR"/>
        </w:rPr>
        <w:t xml:space="preserve"> </w:t>
      </w:r>
      <w:proofErr w:type="spellStart"/>
      <w:r w:rsidRPr="003C1897">
        <w:rPr>
          <w:sz w:val="24"/>
          <w:lang w:val="el-GR"/>
        </w:rPr>
        <w:t>thuringiensis</w:t>
      </w:r>
      <w:proofErr w:type="spellEnd"/>
      <w:r w:rsidRPr="003C1897">
        <w:rPr>
          <w:sz w:val="24"/>
          <w:lang w:val="el-GR"/>
        </w:rPr>
        <w:t xml:space="preserve"> </w:t>
      </w:r>
      <w:proofErr w:type="spellStart"/>
      <w:r w:rsidRPr="003C1897">
        <w:rPr>
          <w:sz w:val="24"/>
          <w:lang w:val="el-GR"/>
        </w:rPr>
        <w:t>Cry</w:t>
      </w:r>
      <w:proofErr w:type="spellEnd"/>
      <w:r w:rsidRPr="003C1897">
        <w:rPr>
          <w:sz w:val="24"/>
          <w:lang w:val="el-GR"/>
        </w:rPr>
        <w:t xml:space="preserve"> </w:t>
      </w:r>
      <w:proofErr w:type="spellStart"/>
      <w:r w:rsidRPr="003C1897">
        <w:rPr>
          <w:sz w:val="24"/>
          <w:lang w:val="el-GR"/>
        </w:rPr>
        <w:t>toxins</w:t>
      </w:r>
      <w:proofErr w:type="spellEnd"/>
      <w:r w:rsidRPr="003C1897">
        <w:rPr>
          <w:sz w:val="24"/>
          <w:lang w:val="el-GR"/>
        </w:rPr>
        <w:t xml:space="preserve"> in </w:t>
      </w:r>
      <w:proofErr w:type="spellStart"/>
      <w:r w:rsidRPr="003C1897">
        <w:rPr>
          <w:sz w:val="24"/>
          <w:lang w:val="el-GR"/>
        </w:rPr>
        <w:t>mammals</w:t>
      </w:r>
      <w:proofErr w:type="spellEnd"/>
      <w:r w:rsidRPr="003C1897">
        <w:rPr>
          <w:sz w:val="24"/>
          <w:lang w:val="el-GR"/>
        </w:rPr>
        <w:t xml:space="preserve">» (Μια ανασκόπηση σχετικά με την ασφάλεια και τις βιολογικές επιπτώσεις των τοξινών </w:t>
      </w:r>
      <w:proofErr w:type="spellStart"/>
      <w:r w:rsidRPr="003C1897">
        <w:rPr>
          <w:sz w:val="24"/>
          <w:lang w:val="el-GR"/>
        </w:rPr>
        <w:t>Cry</w:t>
      </w:r>
      <w:proofErr w:type="spellEnd"/>
      <w:r w:rsidRPr="003C1897">
        <w:rPr>
          <w:sz w:val="24"/>
          <w:lang w:val="el-GR"/>
        </w:rPr>
        <w:t xml:space="preserve"> του </w:t>
      </w:r>
      <w:proofErr w:type="spellStart"/>
      <w:r w:rsidRPr="003C1897">
        <w:rPr>
          <w:sz w:val="24"/>
          <w:lang w:val="el-GR"/>
        </w:rPr>
        <w:t>Bacillus</w:t>
      </w:r>
      <w:proofErr w:type="spellEnd"/>
      <w:r w:rsidRPr="003C1897">
        <w:rPr>
          <w:sz w:val="24"/>
          <w:lang w:val="el-GR"/>
        </w:rPr>
        <w:t xml:space="preserve"> </w:t>
      </w:r>
      <w:proofErr w:type="spellStart"/>
      <w:r w:rsidRPr="003C1897">
        <w:rPr>
          <w:sz w:val="24"/>
          <w:lang w:val="el-GR"/>
        </w:rPr>
        <w:t>thuringiensis</w:t>
      </w:r>
      <w:proofErr w:type="spellEnd"/>
      <w:r w:rsidRPr="003C1897">
        <w:rPr>
          <w:sz w:val="24"/>
          <w:lang w:val="el-GR"/>
        </w:rPr>
        <w:t xml:space="preserve"> στα θηλαστικά), Journal of </w:t>
      </w:r>
      <w:proofErr w:type="spellStart"/>
      <w:r w:rsidRPr="003C1897">
        <w:rPr>
          <w:sz w:val="24"/>
          <w:lang w:val="el-GR"/>
        </w:rPr>
        <w:t>Applied</w:t>
      </w:r>
      <w:proofErr w:type="spellEnd"/>
      <w:r w:rsidRPr="003C1897">
        <w:rPr>
          <w:sz w:val="24"/>
          <w:lang w:val="el-GR"/>
        </w:rPr>
        <w:t xml:space="preserve"> </w:t>
      </w:r>
      <w:proofErr w:type="spellStart"/>
      <w:r w:rsidRPr="003C1897">
        <w:rPr>
          <w:sz w:val="24"/>
          <w:lang w:val="el-GR"/>
        </w:rPr>
        <w:t>Toxicology</w:t>
      </w:r>
      <w:proofErr w:type="spellEnd"/>
      <w:r w:rsidRPr="003C1897">
        <w:rPr>
          <w:sz w:val="24"/>
          <w:lang w:val="el-GR"/>
        </w:rPr>
        <w:t xml:space="preserve">, Μάιος 2016, 36(5), σ. </w:t>
      </w:r>
      <w:r w:rsidRPr="003C1897">
        <w:rPr>
          <w:sz w:val="24"/>
          <w:lang w:val="el-GR"/>
        </w:rPr>
        <w:t xml:space="preserve">630-648, </w:t>
      </w:r>
      <w:hyperlink r:id="rId22" w:history="1">
        <w:r w:rsidRPr="003C1897">
          <w:rPr>
            <w:rStyle w:val="Hyperlink"/>
            <w:sz w:val="24"/>
            <w:lang w:val="el-GR"/>
          </w:rPr>
          <w:t>https://onlinelibrary.wiley.com/doi/full/10.1002/jat.3252</w:t>
        </w:r>
      </w:hyperlink>
      <w:r w:rsidRPr="003C1897">
        <w:rPr>
          <w:sz w:val="24"/>
          <w:lang w:val="el-GR"/>
        </w:rPr>
        <w:t>.</w:t>
      </w:r>
    </w:p>
  </w:footnote>
  <w:footnote w:id="12">
    <w:p w14:paraId="0A6B083C" w14:textId="25D31D66"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proofErr w:type="spellStart"/>
      <w:r w:rsidRPr="003C1897">
        <w:rPr>
          <w:sz w:val="24"/>
          <w:lang w:val="el-GR"/>
        </w:rPr>
        <w:t>Bøhn</w:t>
      </w:r>
      <w:proofErr w:type="spellEnd"/>
      <w:r w:rsidRPr="003C1897">
        <w:rPr>
          <w:sz w:val="24"/>
          <w:lang w:val="el-GR"/>
        </w:rPr>
        <w:t xml:space="preserve">, T., </w:t>
      </w:r>
      <w:proofErr w:type="spellStart"/>
      <w:r w:rsidRPr="003C1897">
        <w:rPr>
          <w:sz w:val="24"/>
          <w:lang w:val="el-GR"/>
        </w:rPr>
        <w:t>Macagnan</w:t>
      </w:r>
      <w:proofErr w:type="spellEnd"/>
      <w:r w:rsidRPr="003C1897">
        <w:rPr>
          <w:sz w:val="24"/>
          <w:lang w:val="el-GR"/>
        </w:rPr>
        <w:t xml:space="preserve"> Rover, C., </w:t>
      </w:r>
      <w:proofErr w:type="spellStart"/>
      <w:r w:rsidRPr="003C1897">
        <w:rPr>
          <w:sz w:val="24"/>
          <w:lang w:val="el-GR"/>
        </w:rPr>
        <w:t>Semenchuk</w:t>
      </w:r>
      <w:proofErr w:type="spellEnd"/>
      <w:r w:rsidRPr="003C1897">
        <w:rPr>
          <w:sz w:val="24"/>
          <w:lang w:val="el-GR"/>
        </w:rPr>
        <w:t>, P. R., «</w:t>
      </w:r>
      <w:proofErr w:type="spellStart"/>
      <w:r w:rsidRPr="003C1897">
        <w:rPr>
          <w:i/>
          <w:sz w:val="24"/>
          <w:lang w:val="el-GR"/>
        </w:rPr>
        <w:t>Daphnia</w:t>
      </w:r>
      <w:proofErr w:type="spellEnd"/>
      <w:r w:rsidRPr="003C1897">
        <w:rPr>
          <w:i/>
          <w:sz w:val="24"/>
          <w:lang w:val="el-GR"/>
        </w:rPr>
        <w:t xml:space="preserve"> </w:t>
      </w:r>
      <w:proofErr w:type="spellStart"/>
      <w:r w:rsidRPr="003C1897">
        <w:rPr>
          <w:i/>
          <w:sz w:val="24"/>
          <w:lang w:val="el-GR"/>
        </w:rPr>
        <w:t>magna</w:t>
      </w:r>
      <w:proofErr w:type="spellEnd"/>
      <w:r w:rsidRPr="003C1897">
        <w:rPr>
          <w:sz w:val="24"/>
          <w:lang w:val="el-GR"/>
        </w:rPr>
        <w:t xml:space="preserve"> </w:t>
      </w:r>
      <w:proofErr w:type="spellStart"/>
      <w:r w:rsidRPr="003C1897">
        <w:rPr>
          <w:sz w:val="24"/>
          <w:lang w:val="el-GR"/>
        </w:rPr>
        <w:t>negatively</w:t>
      </w:r>
      <w:proofErr w:type="spellEnd"/>
      <w:r w:rsidRPr="003C1897">
        <w:rPr>
          <w:sz w:val="24"/>
          <w:lang w:val="el-GR"/>
        </w:rPr>
        <w:t xml:space="preserve"> </w:t>
      </w:r>
      <w:proofErr w:type="spellStart"/>
      <w:r w:rsidRPr="003C1897">
        <w:rPr>
          <w:sz w:val="24"/>
          <w:lang w:val="el-GR"/>
        </w:rPr>
        <w:t>affected</w:t>
      </w:r>
      <w:proofErr w:type="spellEnd"/>
      <w:r w:rsidRPr="003C1897">
        <w:rPr>
          <w:sz w:val="24"/>
          <w:lang w:val="el-GR"/>
        </w:rPr>
        <w:t xml:space="preserve"> </w:t>
      </w:r>
      <w:proofErr w:type="spellStart"/>
      <w:r w:rsidRPr="003C1897">
        <w:rPr>
          <w:sz w:val="24"/>
          <w:lang w:val="el-GR"/>
        </w:rPr>
        <w:t>by</w:t>
      </w:r>
      <w:proofErr w:type="spellEnd"/>
      <w:r w:rsidRPr="003C1897">
        <w:rPr>
          <w:sz w:val="24"/>
          <w:lang w:val="el-GR"/>
        </w:rPr>
        <w:t xml:space="preserve"> </w:t>
      </w:r>
      <w:proofErr w:type="spellStart"/>
      <w:r w:rsidRPr="003C1897">
        <w:rPr>
          <w:sz w:val="24"/>
          <w:lang w:val="el-GR"/>
        </w:rPr>
        <w:t>chronic</w:t>
      </w:r>
      <w:proofErr w:type="spellEnd"/>
      <w:r w:rsidRPr="003C1897">
        <w:rPr>
          <w:sz w:val="24"/>
          <w:lang w:val="el-GR"/>
        </w:rPr>
        <w:t xml:space="preserve"> </w:t>
      </w:r>
      <w:proofErr w:type="spellStart"/>
      <w:r w:rsidRPr="003C1897">
        <w:rPr>
          <w:sz w:val="24"/>
          <w:lang w:val="el-GR"/>
        </w:rPr>
        <w:t>exposure</w:t>
      </w:r>
      <w:proofErr w:type="spellEnd"/>
      <w:r w:rsidRPr="003C1897">
        <w:rPr>
          <w:sz w:val="24"/>
          <w:lang w:val="el-GR"/>
        </w:rPr>
        <w:t xml:space="preserve"> </w:t>
      </w:r>
      <w:proofErr w:type="spellStart"/>
      <w:r w:rsidRPr="003C1897">
        <w:rPr>
          <w:sz w:val="24"/>
          <w:lang w:val="el-GR"/>
        </w:rPr>
        <w:t>to</w:t>
      </w:r>
      <w:proofErr w:type="spellEnd"/>
      <w:r w:rsidRPr="003C1897">
        <w:rPr>
          <w:sz w:val="24"/>
          <w:lang w:val="el-GR"/>
        </w:rPr>
        <w:t xml:space="preserve"> </w:t>
      </w:r>
      <w:proofErr w:type="spellStart"/>
      <w:r w:rsidRPr="003C1897">
        <w:rPr>
          <w:sz w:val="24"/>
          <w:lang w:val="el-GR"/>
        </w:rPr>
        <w:t>purified</w:t>
      </w:r>
      <w:proofErr w:type="spellEnd"/>
      <w:r w:rsidRPr="003C1897">
        <w:rPr>
          <w:sz w:val="24"/>
          <w:lang w:val="el-GR"/>
        </w:rPr>
        <w:t xml:space="preserve"> </w:t>
      </w:r>
      <w:proofErr w:type="spellStart"/>
      <w:r w:rsidRPr="003C1897">
        <w:rPr>
          <w:sz w:val="24"/>
          <w:lang w:val="el-GR"/>
        </w:rPr>
        <w:t>Cry-toxins</w:t>
      </w:r>
      <w:proofErr w:type="spellEnd"/>
      <w:r w:rsidRPr="003C1897">
        <w:rPr>
          <w:sz w:val="24"/>
          <w:lang w:val="el-GR"/>
        </w:rPr>
        <w:t xml:space="preserve">» (Η </w:t>
      </w:r>
      <w:proofErr w:type="spellStart"/>
      <w:r w:rsidRPr="003C1897">
        <w:rPr>
          <w:i/>
          <w:sz w:val="24"/>
          <w:lang w:val="el-GR"/>
        </w:rPr>
        <w:t>Daphnia</w:t>
      </w:r>
      <w:proofErr w:type="spellEnd"/>
      <w:r w:rsidRPr="003C1897">
        <w:rPr>
          <w:i/>
          <w:sz w:val="24"/>
          <w:lang w:val="el-GR"/>
        </w:rPr>
        <w:t xml:space="preserve"> </w:t>
      </w:r>
      <w:proofErr w:type="spellStart"/>
      <w:r w:rsidRPr="003C1897">
        <w:rPr>
          <w:i/>
          <w:sz w:val="24"/>
          <w:lang w:val="el-GR"/>
        </w:rPr>
        <w:t>magna</w:t>
      </w:r>
      <w:proofErr w:type="spellEnd"/>
      <w:r w:rsidRPr="003C1897">
        <w:rPr>
          <w:i/>
          <w:sz w:val="24"/>
          <w:lang w:val="el-GR"/>
        </w:rPr>
        <w:t xml:space="preserve"> </w:t>
      </w:r>
      <w:r w:rsidRPr="003C1897">
        <w:rPr>
          <w:sz w:val="24"/>
          <w:lang w:val="el-GR"/>
        </w:rPr>
        <w:t xml:space="preserve">επηρεάζεται αρνητικά από την χρόνια έκθεση στις καθαρές τοξίνες </w:t>
      </w:r>
      <w:proofErr w:type="spellStart"/>
      <w:r w:rsidRPr="003C1897">
        <w:rPr>
          <w:sz w:val="24"/>
          <w:lang w:val="el-GR"/>
        </w:rPr>
        <w:t>Cry</w:t>
      </w:r>
      <w:proofErr w:type="spellEnd"/>
      <w:r w:rsidRPr="003C1897">
        <w:rPr>
          <w:sz w:val="24"/>
          <w:lang w:val="el-GR"/>
        </w:rPr>
        <w:t xml:space="preserve">), </w:t>
      </w:r>
      <w:proofErr w:type="spellStart"/>
      <w:r w:rsidRPr="003C1897">
        <w:rPr>
          <w:sz w:val="24"/>
          <w:lang w:val="el-GR"/>
        </w:rPr>
        <w:t>Food</w:t>
      </w:r>
      <w:proofErr w:type="spellEnd"/>
      <w:r w:rsidRPr="003C1897">
        <w:rPr>
          <w:sz w:val="24"/>
          <w:lang w:val="el-GR"/>
        </w:rPr>
        <w:t xml:space="preserve"> and Chemical </w:t>
      </w:r>
      <w:proofErr w:type="spellStart"/>
      <w:r w:rsidRPr="003C1897">
        <w:rPr>
          <w:sz w:val="24"/>
          <w:lang w:val="el-GR"/>
        </w:rPr>
        <w:t>Toxicology</w:t>
      </w:r>
      <w:proofErr w:type="spellEnd"/>
      <w:r w:rsidRPr="003C1897">
        <w:rPr>
          <w:sz w:val="24"/>
          <w:lang w:val="el-GR"/>
        </w:rPr>
        <w:t>, Μάιος 2016, τόμος 91, σ. </w:t>
      </w:r>
      <w:r w:rsidRPr="003C1897">
        <w:rPr>
          <w:sz w:val="24"/>
          <w:lang w:val="el-GR"/>
        </w:rPr>
        <w:t xml:space="preserve">130-140, </w:t>
      </w:r>
      <w:hyperlink r:id="rId23" w:history="1">
        <w:r w:rsidRPr="003C1897">
          <w:rPr>
            <w:rStyle w:val="Hyperlink"/>
            <w:sz w:val="24"/>
            <w:lang w:val="el-GR"/>
          </w:rPr>
          <w:t>https://doi.org/10.1016/j.fct.2016.03.009</w:t>
        </w:r>
      </w:hyperlink>
      <w:r w:rsidRPr="003C1897">
        <w:rPr>
          <w:sz w:val="24"/>
          <w:lang w:val="el-GR"/>
        </w:rPr>
        <w:t>.</w:t>
      </w:r>
    </w:p>
  </w:footnote>
  <w:footnote w:id="13">
    <w:p w14:paraId="47278BEF" w14:textId="517EFA4E"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proofErr w:type="spellStart"/>
      <w:r w:rsidRPr="003C1897">
        <w:rPr>
          <w:sz w:val="24"/>
          <w:lang w:val="el-GR"/>
        </w:rPr>
        <w:t>Trtikova</w:t>
      </w:r>
      <w:proofErr w:type="spellEnd"/>
      <w:r w:rsidRPr="003C1897">
        <w:rPr>
          <w:sz w:val="24"/>
          <w:lang w:val="el-GR"/>
        </w:rPr>
        <w:t xml:space="preserve">, M., </w:t>
      </w:r>
      <w:proofErr w:type="spellStart"/>
      <w:r w:rsidRPr="003C1897">
        <w:rPr>
          <w:sz w:val="24"/>
          <w:lang w:val="el-GR"/>
        </w:rPr>
        <w:t>Lohn</w:t>
      </w:r>
      <w:proofErr w:type="spellEnd"/>
      <w:r w:rsidRPr="003C1897">
        <w:rPr>
          <w:sz w:val="24"/>
          <w:lang w:val="el-GR"/>
        </w:rPr>
        <w:t xml:space="preserve">, A., </w:t>
      </w:r>
      <w:proofErr w:type="spellStart"/>
      <w:r w:rsidRPr="003C1897">
        <w:rPr>
          <w:sz w:val="24"/>
          <w:lang w:val="el-GR"/>
        </w:rPr>
        <w:t>Binimelis</w:t>
      </w:r>
      <w:proofErr w:type="spellEnd"/>
      <w:r w:rsidRPr="003C1897">
        <w:rPr>
          <w:sz w:val="24"/>
          <w:lang w:val="el-GR"/>
        </w:rPr>
        <w:t xml:space="preserve">, R., </w:t>
      </w:r>
      <w:proofErr w:type="spellStart"/>
      <w:r w:rsidRPr="003C1897">
        <w:rPr>
          <w:sz w:val="24"/>
          <w:lang w:val="el-GR"/>
        </w:rPr>
        <w:t>Chapela</w:t>
      </w:r>
      <w:proofErr w:type="spellEnd"/>
      <w:r w:rsidRPr="003C1897">
        <w:rPr>
          <w:sz w:val="24"/>
          <w:lang w:val="el-GR"/>
        </w:rPr>
        <w:t xml:space="preserve">, I., </w:t>
      </w:r>
      <w:proofErr w:type="spellStart"/>
      <w:r w:rsidRPr="003C1897">
        <w:rPr>
          <w:sz w:val="24"/>
          <w:lang w:val="el-GR"/>
        </w:rPr>
        <w:t>Oehen</w:t>
      </w:r>
      <w:proofErr w:type="spellEnd"/>
      <w:r w:rsidRPr="003C1897">
        <w:rPr>
          <w:sz w:val="24"/>
          <w:lang w:val="el-GR"/>
        </w:rPr>
        <w:t xml:space="preserve">, B., </w:t>
      </w:r>
      <w:proofErr w:type="spellStart"/>
      <w:r w:rsidRPr="003C1897">
        <w:rPr>
          <w:sz w:val="24"/>
          <w:lang w:val="el-GR"/>
        </w:rPr>
        <w:t>Zemp</w:t>
      </w:r>
      <w:proofErr w:type="spellEnd"/>
      <w:r w:rsidRPr="003C1897">
        <w:rPr>
          <w:sz w:val="24"/>
          <w:lang w:val="el-GR"/>
        </w:rPr>
        <w:t xml:space="preserve">, N., </w:t>
      </w:r>
      <w:proofErr w:type="spellStart"/>
      <w:r w:rsidRPr="003C1897">
        <w:rPr>
          <w:sz w:val="24"/>
          <w:lang w:val="el-GR"/>
        </w:rPr>
        <w:t>Widmer</w:t>
      </w:r>
      <w:proofErr w:type="spellEnd"/>
      <w:r w:rsidRPr="003C1897">
        <w:rPr>
          <w:sz w:val="24"/>
          <w:lang w:val="el-GR"/>
        </w:rPr>
        <w:t xml:space="preserve">, A., </w:t>
      </w:r>
      <w:proofErr w:type="spellStart"/>
      <w:r w:rsidRPr="003C1897">
        <w:rPr>
          <w:sz w:val="24"/>
          <w:lang w:val="el-GR"/>
        </w:rPr>
        <w:t>Hilbeck</w:t>
      </w:r>
      <w:proofErr w:type="spellEnd"/>
      <w:r w:rsidRPr="003C1897">
        <w:rPr>
          <w:sz w:val="24"/>
          <w:lang w:val="el-GR"/>
        </w:rPr>
        <w:t>, A., (2017), «</w:t>
      </w:r>
      <w:proofErr w:type="spellStart"/>
      <w:r w:rsidRPr="003C1897">
        <w:rPr>
          <w:sz w:val="24"/>
          <w:lang w:val="el-GR"/>
        </w:rPr>
        <w:t>Teosinte</w:t>
      </w:r>
      <w:proofErr w:type="spellEnd"/>
      <w:r w:rsidRPr="003C1897">
        <w:rPr>
          <w:sz w:val="24"/>
          <w:lang w:val="el-GR"/>
        </w:rPr>
        <w:t xml:space="preserve"> in Europe – </w:t>
      </w:r>
      <w:proofErr w:type="spellStart"/>
      <w:r w:rsidRPr="003C1897">
        <w:rPr>
          <w:sz w:val="24"/>
          <w:lang w:val="el-GR"/>
        </w:rPr>
        <w:t>Searching</w:t>
      </w:r>
      <w:proofErr w:type="spellEnd"/>
      <w:r w:rsidRPr="003C1897">
        <w:rPr>
          <w:sz w:val="24"/>
          <w:lang w:val="el-GR"/>
        </w:rPr>
        <w:t xml:space="preserve"> for the </w:t>
      </w:r>
      <w:proofErr w:type="spellStart"/>
      <w:r w:rsidRPr="003C1897">
        <w:rPr>
          <w:sz w:val="24"/>
          <w:lang w:val="el-GR"/>
        </w:rPr>
        <w:t>Origin</w:t>
      </w:r>
      <w:proofErr w:type="spellEnd"/>
      <w:r w:rsidRPr="003C1897">
        <w:rPr>
          <w:sz w:val="24"/>
          <w:lang w:val="el-GR"/>
        </w:rPr>
        <w:t xml:space="preserve"> of a </w:t>
      </w:r>
      <w:proofErr w:type="spellStart"/>
      <w:r w:rsidRPr="003C1897">
        <w:rPr>
          <w:sz w:val="24"/>
          <w:lang w:val="el-GR"/>
        </w:rPr>
        <w:t>Novel</w:t>
      </w:r>
      <w:proofErr w:type="spellEnd"/>
      <w:r w:rsidRPr="003C1897">
        <w:rPr>
          <w:sz w:val="24"/>
          <w:lang w:val="el-GR"/>
        </w:rPr>
        <w:t xml:space="preserve"> </w:t>
      </w:r>
      <w:proofErr w:type="spellStart"/>
      <w:r w:rsidRPr="003C1897">
        <w:rPr>
          <w:sz w:val="24"/>
          <w:lang w:val="el-GR"/>
        </w:rPr>
        <w:t>Weed</w:t>
      </w:r>
      <w:proofErr w:type="spellEnd"/>
      <w:r w:rsidRPr="003C1897">
        <w:rPr>
          <w:sz w:val="24"/>
          <w:lang w:val="el-GR"/>
        </w:rPr>
        <w:t>» (</w:t>
      </w:r>
      <w:proofErr w:type="spellStart"/>
      <w:r w:rsidRPr="003C1897">
        <w:rPr>
          <w:sz w:val="24"/>
          <w:lang w:val="el-GR"/>
        </w:rPr>
        <w:t>Τεοζίντη</w:t>
      </w:r>
      <w:proofErr w:type="spellEnd"/>
      <w:r w:rsidRPr="003C1897">
        <w:rPr>
          <w:sz w:val="24"/>
          <w:lang w:val="el-GR"/>
        </w:rPr>
        <w:t xml:space="preserve"> στην Ευρώπη – Ψάχνοντας την προέλευση ενός νέου ζιζανίου), Scientific Reports, 7:1560, </w:t>
      </w:r>
      <w:hyperlink r:id="rId24" w:history="1">
        <w:r w:rsidRPr="003C1897">
          <w:rPr>
            <w:rStyle w:val="Hyperlink"/>
            <w:sz w:val="24"/>
            <w:lang w:val="el-GR"/>
          </w:rPr>
          <w:t>https://doi.org/10.1038/s41598-017-01478-w</w:t>
        </w:r>
      </w:hyperlink>
      <w:r w:rsidRPr="003C1897">
        <w:rPr>
          <w:sz w:val="24"/>
          <w:lang w:val="el-GR"/>
        </w:rPr>
        <w:t>.</w:t>
      </w:r>
    </w:p>
  </w:footnote>
  <w:footnote w:id="14">
    <w:p w14:paraId="53303B1F" w14:textId="5A6A48C0"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w:t>
      </w:r>
      <w:proofErr w:type="spellStart"/>
      <w:r w:rsidRPr="003C1897">
        <w:rPr>
          <w:sz w:val="24"/>
          <w:lang w:val="el-GR"/>
        </w:rPr>
        <w:t>Strategic</w:t>
      </w:r>
      <w:proofErr w:type="spellEnd"/>
      <w:r w:rsidRPr="003C1897">
        <w:rPr>
          <w:sz w:val="24"/>
          <w:lang w:val="el-GR"/>
        </w:rPr>
        <w:t xml:space="preserve"> </w:t>
      </w:r>
      <w:proofErr w:type="spellStart"/>
      <w:r w:rsidRPr="003C1897">
        <w:rPr>
          <w:sz w:val="24"/>
          <w:lang w:val="el-GR"/>
        </w:rPr>
        <w:t>Dialogue</w:t>
      </w:r>
      <w:proofErr w:type="spellEnd"/>
      <w:r w:rsidRPr="003C1897">
        <w:rPr>
          <w:sz w:val="24"/>
          <w:lang w:val="el-GR"/>
        </w:rPr>
        <w:t xml:space="preserve"> on the </w:t>
      </w:r>
      <w:proofErr w:type="spellStart"/>
      <w:r w:rsidRPr="003C1897">
        <w:rPr>
          <w:sz w:val="24"/>
          <w:lang w:val="el-GR"/>
        </w:rPr>
        <w:t>Future</w:t>
      </w:r>
      <w:proofErr w:type="spellEnd"/>
      <w:r w:rsidRPr="003C1897">
        <w:rPr>
          <w:sz w:val="24"/>
          <w:lang w:val="el-GR"/>
        </w:rPr>
        <w:t xml:space="preserve"> of EU </w:t>
      </w:r>
      <w:proofErr w:type="spellStart"/>
      <w:r w:rsidRPr="003C1897">
        <w:rPr>
          <w:sz w:val="24"/>
          <w:lang w:val="el-GR"/>
        </w:rPr>
        <w:t>Agriculture</w:t>
      </w:r>
      <w:proofErr w:type="spellEnd"/>
      <w:r w:rsidRPr="003C1897">
        <w:rPr>
          <w:sz w:val="24"/>
          <w:lang w:val="el-GR"/>
        </w:rPr>
        <w:t xml:space="preserve"> – A </w:t>
      </w:r>
      <w:proofErr w:type="spellStart"/>
      <w:r w:rsidRPr="003C1897">
        <w:rPr>
          <w:sz w:val="24"/>
          <w:lang w:val="el-GR"/>
        </w:rPr>
        <w:t>shared</w:t>
      </w:r>
      <w:proofErr w:type="spellEnd"/>
      <w:r w:rsidRPr="003C1897">
        <w:rPr>
          <w:sz w:val="24"/>
          <w:lang w:val="el-GR"/>
        </w:rPr>
        <w:t xml:space="preserve"> </w:t>
      </w:r>
      <w:proofErr w:type="spellStart"/>
      <w:r w:rsidRPr="003C1897">
        <w:rPr>
          <w:sz w:val="24"/>
          <w:lang w:val="el-GR"/>
        </w:rPr>
        <w:t>prospect</w:t>
      </w:r>
      <w:proofErr w:type="spellEnd"/>
      <w:r w:rsidRPr="003C1897">
        <w:rPr>
          <w:sz w:val="24"/>
          <w:lang w:val="el-GR"/>
        </w:rPr>
        <w:t xml:space="preserve"> for </w:t>
      </w:r>
      <w:proofErr w:type="spellStart"/>
      <w:r w:rsidRPr="003C1897">
        <w:rPr>
          <w:sz w:val="24"/>
          <w:lang w:val="el-GR"/>
        </w:rPr>
        <w:t>farming</w:t>
      </w:r>
      <w:proofErr w:type="spellEnd"/>
      <w:r w:rsidRPr="003C1897">
        <w:rPr>
          <w:sz w:val="24"/>
          <w:lang w:val="el-GR"/>
        </w:rPr>
        <w:t xml:space="preserve"> and </w:t>
      </w:r>
      <w:proofErr w:type="spellStart"/>
      <w:r w:rsidRPr="003C1897">
        <w:rPr>
          <w:sz w:val="24"/>
          <w:lang w:val="el-GR"/>
        </w:rPr>
        <w:t>food</w:t>
      </w:r>
      <w:proofErr w:type="spellEnd"/>
      <w:r w:rsidRPr="003C1897">
        <w:rPr>
          <w:sz w:val="24"/>
          <w:lang w:val="el-GR"/>
        </w:rPr>
        <w:t xml:space="preserve"> in Europe» (Στρατηγικός διάλογος για το μέλλον της γεωργίας της ΕΕ – Μια κοινή προοπτική για τη γεωργία και τα τρόφιμα στην Ευρώπη) , Σεπτέμβριος 2024, </w:t>
      </w:r>
      <w:hyperlink r:id="rId25" w:history="1">
        <w:r w:rsidRPr="003C1897">
          <w:rPr>
            <w:rStyle w:val="Hyperlink"/>
            <w:sz w:val="24"/>
            <w:lang w:val="el-GR"/>
          </w:rPr>
          <w:t>https://agriculture.ec.europa.eu/document/download/171329ff-0f50-4fa5-946f-aea11032172e_en?filename=strategic-dialogue-report-2024_en.pdf</w:t>
        </w:r>
      </w:hyperlink>
      <w:r w:rsidRPr="003C1897">
        <w:rPr>
          <w:sz w:val="24"/>
          <w:lang w:val="el-GR"/>
        </w:rPr>
        <w:t xml:space="preserve">. </w:t>
      </w:r>
    </w:p>
  </w:footnote>
  <w:footnote w:id="15">
    <w:p w14:paraId="7C58F24B" w14:textId="2CD8046B"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26" w:history="1">
        <w:r w:rsidRPr="003C1897">
          <w:rPr>
            <w:rStyle w:val="Hyperlink"/>
            <w:sz w:val="24"/>
            <w:lang w:val="el-GR"/>
          </w:rPr>
          <w:t>https://www.ohchr.org/en/documents/thematic-reports/ahrc3448-report-special-rapporteur-right-food</w:t>
        </w:r>
      </w:hyperlink>
      <w:r w:rsidRPr="003C1897">
        <w:rPr>
          <w:sz w:val="24"/>
          <w:lang w:val="el-GR"/>
        </w:rPr>
        <w:t xml:space="preserve">. </w:t>
      </w:r>
    </w:p>
  </w:footnote>
  <w:footnote w:id="16">
    <w:p w14:paraId="7B5425DF" w14:textId="6F0245C9"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27" w:history="1">
        <w:r w:rsidRPr="003C1897">
          <w:rPr>
            <w:rStyle w:val="Hyperlink"/>
            <w:sz w:val="24"/>
            <w:lang w:val="el-GR"/>
          </w:rPr>
          <w:t>https://www.un.org/sustainabledevelopment/health/</w:t>
        </w:r>
      </w:hyperlink>
      <w:r w:rsidRPr="003C1897">
        <w:rPr>
          <w:sz w:val="24"/>
          <w:lang w:val="el-GR"/>
        </w:rPr>
        <w:t xml:space="preserve">. </w:t>
      </w:r>
    </w:p>
  </w:footnote>
  <w:footnote w:id="17">
    <w:p w14:paraId="663DDB50" w14:textId="6A5DFE5A"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28" w:history="1">
        <w:r w:rsidRPr="003C1897">
          <w:rPr>
            <w:rStyle w:val="Hyperlink"/>
            <w:sz w:val="24"/>
            <w:lang w:val="el-GR"/>
          </w:rPr>
          <w:t>https://ec.europa.eu/commission/presscorner/detail/el/ip_22_7834</w:t>
        </w:r>
      </w:hyperlink>
      <w:r w:rsidRPr="003C1897">
        <w:rPr>
          <w:sz w:val="24"/>
          <w:lang w:val="el-GR"/>
        </w:rPr>
        <w:t xml:space="preserve">. </w:t>
      </w:r>
    </w:p>
  </w:footnote>
  <w:footnote w:id="18">
    <w:p w14:paraId="6E137D47" w14:textId="0476845F"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29" w:history="1">
        <w:r w:rsidRPr="003C1897">
          <w:rPr>
            <w:rStyle w:val="Hyperlink"/>
            <w:sz w:val="24"/>
            <w:lang w:val="el-GR"/>
          </w:rPr>
          <w:t>https://commission.europa.eu/document/2c64e540-c07a-4376-a1da-368d289f4afe_en</w:t>
        </w:r>
      </w:hyperlink>
      <w:r w:rsidRPr="003C1897">
        <w:rPr>
          <w:sz w:val="24"/>
          <w:lang w:val="el-GR"/>
        </w:rPr>
        <w:t>.</w:t>
      </w:r>
    </w:p>
  </w:footnote>
  <w:footnote w:id="19">
    <w:p w14:paraId="7CB9F83D" w14:textId="3E7AE900"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Σύμφωνα με το άρθρο 6 παράγραφος 3 του κανονισμού (ΕΕ) αριθ. 182/2011, εάν στην επιτροπή προσφυγών δεν υπάρχει ειδική πλειοψηφία κρατών μελών υπέρ της έγκρισης, η Επιτροπή «μπορεί» να προχωρήσει στην έγκριση, χωρίς όμως να είναι υποχρεωμένη να το πράξει.</w:t>
      </w:r>
    </w:p>
  </w:footnote>
  <w:footnote w:id="20">
    <w:p w14:paraId="05752849" w14:textId="3561610D"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30" w:history="1">
        <w:r w:rsidRPr="003C1897">
          <w:rPr>
            <w:rStyle w:val="Hyperlink"/>
            <w:sz w:val="24"/>
            <w:lang w:val="el-GR"/>
          </w:rPr>
          <w:t>https://food.ec.europa.eu/document/download/ee1a5aed-5303-4c32-bb59-813143a1df47_en?filename=sc_modif-genet_20250613_sum.pdf</w:t>
        </w:r>
      </w:hyperlink>
      <w:r w:rsidRPr="003C1897">
        <w:rPr>
          <w:sz w:val="24"/>
          <w:lang w:val="el-GR"/>
        </w:rPr>
        <w:t>.</w:t>
      </w:r>
    </w:p>
  </w:footnote>
  <w:footnote w:id="21">
    <w:p w14:paraId="7A973030" w14:textId="6ED8C7A7"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Κανονισμός (ΕΚ) αριθ. 178/2002 του Ευρωπαϊκού Κοινοβουλίου και του Συμβουλίου, της 28ης Ιανουαρίου 2002, για τον καθορισμό των γενικών αρχών και απαιτήσεων της νομοθεσίας για τα τρόφιμα, για την ίδρυση της Ευρωπαϊκής Αρχής για την Ασφάλεια των Τροφίμων και τον καθορισμό διαδικασιών σε θέματα ασφαλείας των τροφίμων (ΕΕ L 31 της 1.2.2002, σ. </w:t>
      </w:r>
      <w:r w:rsidRPr="003C1897">
        <w:rPr>
          <w:sz w:val="24"/>
          <w:lang w:val="el-GR"/>
        </w:rPr>
        <w:t xml:space="preserve">1, ELI: </w:t>
      </w:r>
      <w:hyperlink r:id="rId31" w:history="1">
        <w:r w:rsidRPr="003C1897">
          <w:rPr>
            <w:rStyle w:val="Hyperlink"/>
            <w:sz w:val="24"/>
            <w:lang w:val="el-GR"/>
          </w:rPr>
          <w:t>http://data.europa.eu/eli/reg/2002/178/oj</w:t>
        </w:r>
      </w:hyperlink>
      <w:r w:rsidRPr="003C1897">
        <w:rPr>
          <w:sz w:val="24"/>
          <w:lang w:val="el-GR"/>
        </w:rPr>
        <w:t>).</w:t>
      </w:r>
    </w:p>
  </w:footnote>
  <w:footnote w:id="22">
    <w:p w14:paraId="1520A012" w14:textId="7BACCF8B"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Όπως περιγράφεται στο παράρτημα της ανακοίνωσης της Επιτροπής της 14ης</w:t>
      </w:r>
      <w:r w:rsidR="00D061FC">
        <w:rPr>
          <w:sz w:val="24"/>
          <w:lang w:val="el-GR"/>
        </w:rPr>
        <w:t> </w:t>
      </w:r>
      <w:r w:rsidRPr="003C1897">
        <w:rPr>
          <w:sz w:val="24"/>
          <w:lang w:val="el-GR"/>
        </w:rPr>
        <w:t xml:space="preserve">Οκτωβρίου 2020 με τίτλο «Στρατηγική για τη βιωσιμότητα των χημικών προϊόντων – Για ένα περιβάλλον χωρίς τοξίνες», COM(2020)0667, </w:t>
      </w:r>
      <w:hyperlink r:id="rId32" w:anchor="document2" w:history="1">
        <w:r w:rsidRPr="003C1897">
          <w:rPr>
            <w:rStyle w:val="Hyperlink"/>
            <w:sz w:val="24"/>
            <w:lang w:val="el-GR"/>
          </w:rPr>
          <w:t>https://eur-lex.europa.eu/legal-content/EL/TXT/?uri=COM%3A2020%3A667%3AFIN#document2</w:t>
        </w:r>
      </w:hyperlink>
      <w:r w:rsidRPr="003C1897">
        <w:rPr>
          <w:sz w:val="24"/>
          <w:lang w:val="el-GR"/>
        </w:rPr>
        <w:t>.</w:t>
      </w:r>
    </w:p>
  </w:footnote>
  <w:footnote w:id="23">
    <w:p w14:paraId="1FA9851E" w14:textId="324BE4A9"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hyperlink r:id="rId33" w:history="1">
        <w:r w:rsidRPr="003C1897">
          <w:rPr>
            <w:rStyle w:val="Hyperlink"/>
            <w:sz w:val="24"/>
            <w:lang w:val="el-GR"/>
          </w:rPr>
          <w:t>https://tillymetz.lu/wp-content/uploads/2020/09/Co-signed-letter-MEP-Metz.pdf</w:t>
        </w:r>
      </w:hyperlink>
      <w:r w:rsidRPr="003C1897">
        <w:rPr>
          <w:sz w:val="24"/>
          <w:lang w:val="el-GR"/>
        </w:rPr>
        <w:t xml:space="preserve">. </w:t>
      </w:r>
    </w:p>
  </w:footnote>
  <w:footnote w:id="24">
    <w:p w14:paraId="45649AAD" w14:textId="3A984687" w:rsidR="00A83200" w:rsidRPr="003C1897" w:rsidRDefault="00A83200" w:rsidP="003C1897">
      <w:pPr>
        <w:pStyle w:val="FootnoteText"/>
        <w:ind w:left="567" w:hanging="567"/>
        <w:rPr>
          <w:sz w:val="24"/>
          <w:lang w:val="el-GR"/>
        </w:rPr>
      </w:pPr>
      <w:r w:rsidRPr="003C1897">
        <w:rPr>
          <w:rStyle w:val="FootnoteReference"/>
          <w:sz w:val="24"/>
          <w:lang w:val="el-GR"/>
        </w:rPr>
        <w:footnoteRef/>
      </w:r>
      <w:r w:rsidR="003C1897" w:rsidRPr="003C1897">
        <w:rPr>
          <w:sz w:val="24"/>
          <w:lang w:val="el-GR"/>
        </w:rPr>
        <w:t xml:space="preserve"> </w:t>
      </w:r>
      <w:r w:rsidR="003C1897" w:rsidRPr="003C1897">
        <w:rPr>
          <w:sz w:val="24"/>
          <w:lang w:val="el-GR"/>
        </w:rPr>
        <w:tab/>
      </w:r>
      <w:r w:rsidRPr="003C1897">
        <w:rPr>
          <w:sz w:val="24"/>
          <w:lang w:val="el-GR"/>
        </w:rPr>
        <w:t>Ψήφισμα του Ευρωπαϊκού Κοινοβουλίου της 15ης Ιανουαρίου 2020 σχετικά με την Ευρωπαϊκή Πράσινη Συμφωνία (ΕΕ C 270 της 7.7.2021, σ. 2), παράγραφος 102.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6CA6C" w14:textId="77777777" w:rsidR="00064002" w:rsidRPr="003C189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2D37" w14:textId="77777777" w:rsidR="00064002" w:rsidRPr="003C189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FC889" w14:textId="77777777" w:rsidR="00064002" w:rsidRPr="003C189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89764377">
    <w:abstractNumId w:val="9"/>
  </w:num>
  <w:num w:numId="2" w16cid:durableId="2124884666">
    <w:abstractNumId w:val="9"/>
  </w:num>
  <w:num w:numId="3" w16cid:durableId="1275480664">
    <w:abstractNumId w:val="7"/>
  </w:num>
  <w:num w:numId="4" w16cid:durableId="1348942832">
    <w:abstractNumId w:val="7"/>
  </w:num>
  <w:num w:numId="5" w16cid:durableId="1256086336">
    <w:abstractNumId w:val="6"/>
  </w:num>
  <w:num w:numId="6" w16cid:durableId="1654406418">
    <w:abstractNumId w:val="6"/>
  </w:num>
  <w:num w:numId="7" w16cid:durableId="1482497517">
    <w:abstractNumId w:val="5"/>
  </w:num>
  <w:num w:numId="8" w16cid:durableId="1170833392">
    <w:abstractNumId w:val="5"/>
  </w:num>
  <w:num w:numId="9" w16cid:durableId="679234641">
    <w:abstractNumId w:val="4"/>
  </w:num>
  <w:num w:numId="10" w16cid:durableId="1917201376">
    <w:abstractNumId w:val="4"/>
  </w:num>
  <w:num w:numId="11" w16cid:durableId="1072192274">
    <w:abstractNumId w:val="8"/>
  </w:num>
  <w:num w:numId="12" w16cid:durableId="2011135034">
    <w:abstractNumId w:val="8"/>
  </w:num>
  <w:num w:numId="13" w16cid:durableId="1248273399">
    <w:abstractNumId w:val="3"/>
  </w:num>
  <w:num w:numId="14" w16cid:durableId="663239856">
    <w:abstractNumId w:val="3"/>
  </w:num>
  <w:num w:numId="15" w16cid:durableId="1758205729">
    <w:abstractNumId w:val="2"/>
  </w:num>
  <w:num w:numId="16" w16cid:durableId="642734205">
    <w:abstractNumId w:val="2"/>
  </w:num>
  <w:num w:numId="17" w16cid:durableId="289747114">
    <w:abstractNumId w:val="1"/>
  </w:num>
  <w:num w:numId="18" w16cid:durableId="206920075">
    <w:abstractNumId w:val="1"/>
  </w:num>
  <w:num w:numId="19" w16cid:durableId="894858296">
    <w:abstractNumId w:val="0"/>
  </w:num>
  <w:num w:numId="20" w16cid:durableId="91558769">
    <w:abstractNumId w:val="0"/>
  </w:num>
  <w:num w:numId="21" w16cid:durableId="1365401157">
    <w:abstractNumId w:val="9"/>
  </w:num>
  <w:num w:numId="22" w16cid:durableId="642001396">
    <w:abstractNumId w:val="7"/>
  </w:num>
  <w:num w:numId="23" w16cid:durableId="501747638">
    <w:abstractNumId w:val="6"/>
  </w:num>
  <w:num w:numId="24" w16cid:durableId="1778018901">
    <w:abstractNumId w:val="5"/>
  </w:num>
  <w:num w:numId="25" w16cid:durableId="1972708503">
    <w:abstractNumId w:val="4"/>
  </w:num>
  <w:num w:numId="26" w16cid:durableId="932053594">
    <w:abstractNumId w:val="8"/>
  </w:num>
  <w:num w:numId="27" w16cid:durableId="961495545">
    <w:abstractNumId w:val="3"/>
  </w:num>
  <w:num w:numId="28" w16cid:durableId="1221864682">
    <w:abstractNumId w:val="2"/>
  </w:num>
  <w:num w:numId="29" w16cid:durableId="177503274">
    <w:abstractNumId w:val="1"/>
  </w:num>
  <w:num w:numId="30" w16cid:durableId="953512948">
    <w:abstractNumId w:val="0"/>
  </w:num>
  <w:num w:numId="31" w16cid:durableId="2138377141">
    <w:abstractNumId w:val="9"/>
  </w:num>
  <w:num w:numId="32" w16cid:durableId="886836360">
    <w:abstractNumId w:val="7"/>
  </w:num>
  <w:num w:numId="33" w16cid:durableId="218176181">
    <w:abstractNumId w:val="6"/>
  </w:num>
  <w:num w:numId="34" w16cid:durableId="2143305719">
    <w:abstractNumId w:val="5"/>
  </w:num>
  <w:num w:numId="35" w16cid:durableId="1306161787">
    <w:abstractNumId w:val="4"/>
  </w:num>
  <w:num w:numId="36" w16cid:durableId="813720143">
    <w:abstractNumId w:val="8"/>
  </w:num>
  <w:num w:numId="37" w16cid:durableId="2128968927">
    <w:abstractNumId w:val="3"/>
  </w:num>
  <w:num w:numId="38" w16cid:durableId="1486622284">
    <w:abstractNumId w:val="2"/>
  </w:num>
  <w:num w:numId="39" w16cid:durableId="1410812484">
    <w:abstractNumId w:val="1"/>
  </w:num>
  <w:num w:numId="40" w16cid:durableId="650135751">
    <w:abstractNumId w:val="0"/>
  </w:num>
  <w:num w:numId="41" w16cid:durableId="1466922057">
    <w:abstractNumId w:val="10"/>
  </w:num>
  <w:num w:numId="42" w16cid:durableId="303852584">
    <w:abstractNumId w:val="10"/>
  </w:num>
  <w:num w:numId="43" w16cid:durableId="578295968">
    <w:abstractNumId w:val="10"/>
  </w:num>
  <w:num w:numId="44" w16cid:durableId="9814232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7/2025"/>
    <w:docVar w:name="dvlangue" w:val="EL"/>
    <w:docVar w:name="dvnumam" w:val="0"/>
    <w:docVar w:name="dvpe" w:val="775.588"/>
    <w:docVar w:name="dvtitre" w:val="Ψήφισμα του Ευρωπαϊκού Κοινοβουλίου σχετικά με το σχέδιο εκτελεστικής απόφασης της Επιτροπής για την έγκριση της διάθεσης στην αγορά προϊόντων που περιέχουν, αποτελούνται ή παράγονται από γενετικώς τροποποιημένο αραβόσιτο DP51291 σύμφωνα με τον κανονισμό (ΕΚ) αριθ. 1829/2003 του Ευρωπαϊκού Κοινοβουλίου και του Συμβουλίου(D108064/03 – 2025/2807(RSP))"/>
  </w:docVars>
  <w:rsids>
    <w:rsidRoot w:val="00C569D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C1897"/>
    <w:rsid w:val="003E15D4"/>
    <w:rsid w:val="00411CCE"/>
    <w:rsid w:val="0041666E"/>
    <w:rsid w:val="00421060"/>
    <w:rsid w:val="00433DA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75A3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3200"/>
    <w:rsid w:val="00AB441E"/>
    <w:rsid w:val="00AB6293"/>
    <w:rsid w:val="00AE0928"/>
    <w:rsid w:val="00AF3B82"/>
    <w:rsid w:val="00B12E95"/>
    <w:rsid w:val="00B13709"/>
    <w:rsid w:val="00B22876"/>
    <w:rsid w:val="00B558F0"/>
    <w:rsid w:val="00B74A39"/>
    <w:rsid w:val="00BD48FE"/>
    <w:rsid w:val="00BD7BD8"/>
    <w:rsid w:val="00BE6ADC"/>
    <w:rsid w:val="00C05BFE"/>
    <w:rsid w:val="00C23CD4"/>
    <w:rsid w:val="00C4050C"/>
    <w:rsid w:val="00C5319D"/>
    <w:rsid w:val="00C569DA"/>
    <w:rsid w:val="00C61C0C"/>
    <w:rsid w:val="00C941CB"/>
    <w:rsid w:val="00CC2357"/>
    <w:rsid w:val="00CF071A"/>
    <w:rsid w:val="00D058B8"/>
    <w:rsid w:val="00D061FC"/>
    <w:rsid w:val="00D56C11"/>
    <w:rsid w:val="00D834A0"/>
    <w:rsid w:val="00D872DF"/>
    <w:rsid w:val="00D91E21"/>
    <w:rsid w:val="00DA7FCD"/>
    <w:rsid w:val="00E365E1"/>
    <w:rsid w:val="00E820A4"/>
    <w:rsid w:val="00EB006A"/>
    <w:rsid w:val="00EB4772"/>
    <w:rsid w:val="00EC587A"/>
    <w:rsid w:val="00ED169E"/>
    <w:rsid w:val="00ED4235"/>
    <w:rsid w:val="00F04346"/>
    <w:rsid w:val="00F075DC"/>
    <w:rsid w:val="00F149E9"/>
    <w:rsid w:val="00F511D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1F5921"/>
  <w15:chartTrackingRefBased/>
  <w15:docId w15:val="{4DA07CAA-9D03-46C2-9091-C3D0575B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83200"/>
    <w:pPr>
      <w:spacing w:before="480" w:after="240"/>
    </w:pPr>
  </w:style>
  <w:style w:type="paragraph" w:customStyle="1" w:styleId="NormalHanging12a">
    <w:name w:val="NormalHanging12a"/>
    <w:basedOn w:val="Normal"/>
    <w:rsid w:val="00A83200"/>
    <w:pPr>
      <w:spacing w:after="240"/>
      <w:ind w:left="567" w:hanging="567"/>
    </w:pPr>
  </w:style>
  <w:style w:type="paragraph" w:customStyle="1" w:styleId="NormalBold">
    <w:name w:val="NormalBold"/>
    <w:basedOn w:val="Normal"/>
    <w:rsid w:val="00A83200"/>
    <w:rPr>
      <w:b/>
    </w:rPr>
  </w:style>
  <w:style w:type="character" w:styleId="Hyperlink">
    <w:name w:val="Hyperlink"/>
    <w:basedOn w:val="DefaultParagraphFont"/>
    <w:uiPriority w:val="99"/>
    <w:rsid w:val="00A83200"/>
    <w:rPr>
      <w:color w:val="0563C1" w:themeColor="hyperlink"/>
      <w:u w:val="single"/>
    </w:rPr>
  </w:style>
  <w:style w:type="character" w:customStyle="1" w:styleId="Funotenzeichen">
    <w:name w:val="Fußnotenzeichen"/>
    <w:qFormat/>
    <w:rsid w:val="00A83200"/>
    <w:rPr>
      <w:vertAlign w:val="superscript"/>
    </w:rPr>
  </w:style>
  <w:style w:type="paragraph" w:styleId="Revision">
    <w:name w:val="Revision"/>
    <w:hidden/>
    <w:uiPriority w:val="99"/>
    <w:semiHidden/>
    <w:rsid w:val="00EC587A"/>
    <w:rPr>
      <w:sz w:val="24"/>
      <w:lang w:val="el-GR"/>
    </w:rPr>
  </w:style>
  <w:style w:type="character" w:styleId="UnresolvedMention">
    <w:name w:val="Unresolved Mention"/>
    <w:basedOn w:val="DefaultParagraphFont"/>
    <w:uiPriority w:val="99"/>
    <w:semiHidden/>
    <w:unhideWhenUsed/>
    <w:rsid w:val="00EC587A"/>
    <w:rPr>
      <w:color w:val="605E5C"/>
      <w:shd w:val="clear" w:color="auto" w:fill="E1DFDD"/>
    </w:rPr>
  </w:style>
  <w:style w:type="character" w:styleId="FollowedHyperlink">
    <w:name w:val="FollowedHyperlink"/>
    <w:basedOn w:val="DefaultParagraphFont"/>
    <w:rsid w:val="00C405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5/2246/oj" TargetMode="External"/><Relationship Id="rId18" Type="http://schemas.openxmlformats.org/officeDocument/2006/relationships/hyperlink" Target="https://doi.org/10.1371/journal.pone.0123011" TargetMode="External"/><Relationship Id="rId26" Type="http://schemas.openxmlformats.org/officeDocument/2006/relationships/hyperlink" Target="https://www.ohchr.org/en/documents/thematic-reports/ahrc3448-report-special-rapporteur-right-food" TargetMode="External"/><Relationship Id="rId3" Type="http://schemas.openxmlformats.org/officeDocument/2006/relationships/hyperlink" Target="http://data.europa.eu/eli/reg/2011/182/oj" TargetMode="External"/><Relationship Id="rId21" Type="http://schemas.openxmlformats.org/officeDocument/2006/relationships/hyperlink" Target="https://doi.org/10.1186/2190-4715-24-24" TargetMode="External"/><Relationship Id="rId7" Type="http://schemas.openxmlformats.org/officeDocument/2006/relationships/hyperlink" Target="http://data.europa.eu/eli/C/2025/1799/oj" TargetMode="External"/><Relationship Id="rId12" Type="http://schemas.openxmlformats.org/officeDocument/2006/relationships/hyperlink" Target="http://data.europa.eu/eli/C/2025/1804/oj" TargetMode="External"/><Relationship Id="rId17" Type="http://schemas.openxmlformats.org/officeDocument/2006/relationships/hyperlink" Target="http://data.europa.eu/eli/reg_impl/2013/503/oj" TargetMode="External"/><Relationship Id="rId25" Type="http://schemas.openxmlformats.org/officeDocument/2006/relationships/hyperlink" Target="https://agriculture.ec.europa.eu/document/download/171329ff-0f50-4fa5-946f-aea11032172e_en?filename=strategic-dialogue-report-2024_en.pdf" TargetMode="External"/><Relationship Id="rId33" Type="http://schemas.openxmlformats.org/officeDocument/2006/relationships/hyperlink" Target="https://tillymetz.lu/wp-content/uploads/2020/09/Co-signed-letter-MEP-Metz.pdf" TargetMode="External"/><Relationship Id="rId2" Type="http://schemas.openxmlformats.org/officeDocument/2006/relationships/hyperlink" Target="http://data.europa.eu/eli/reg/2003/1829/oj" TargetMode="External"/><Relationship Id="rId16" Type="http://schemas.openxmlformats.org/officeDocument/2006/relationships/hyperlink" Target="https://www.testbiotech.org/wp-content/uploads/2024/12/Testbiotech_comment_maize_DP51291.pdf" TargetMode="External"/><Relationship Id="rId20" Type="http://schemas.openxmlformats.org/officeDocument/2006/relationships/hyperlink" Target="https://www.ncbi.nlm.nih.gov/pubmed/26296738" TargetMode="External"/><Relationship Id="rId29" Type="http://schemas.openxmlformats.org/officeDocument/2006/relationships/hyperlink" Target="https://commission.europa.eu/document/2c64e540-c07a-4376-a1da-368d289f4afe_en?prefLang=el" TargetMode="External"/><Relationship Id="rId1" Type="http://schemas.openxmlformats.org/officeDocument/2006/relationships/hyperlink" Target="http://data.europa.eu/eli/dec_impl/2025/1898/oj" TargetMode="External"/><Relationship Id="rId6" Type="http://schemas.openxmlformats.org/officeDocument/2006/relationships/hyperlink" Target="http://data.europa.eu/eli/C/2025/1798/oj" TargetMode="External"/><Relationship Id="rId11" Type="http://schemas.openxmlformats.org/officeDocument/2006/relationships/hyperlink" Target="http://data.europa.eu/eli/C/2025/1803/oj" TargetMode="External"/><Relationship Id="rId24" Type="http://schemas.openxmlformats.org/officeDocument/2006/relationships/hyperlink" Target="https://doi.org/10.1038/s41598-017-01478-w" TargetMode="External"/><Relationship Id="rId32" Type="http://schemas.openxmlformats.org/officeDocument/2006/relationships/hyperlink" Target="https://eur-lex.europa.eu/legal-content/EL/TXT/?uri=COM:2020:667:FIN" TargetMode="External"/><Relationship Id="rId5" Type="http://schemas.openxmlformats.org/officeDocument/2006/relationships/hyperlink" Target="http://data.europa.eu/eli/C/2025/1797/oj" TargetMode="External"/><Relationship Id="rId15" Type="http://schemas.openxmlformats.org/officeDocument/2006/relationships/hyperlink" Target="http://data.europa.eu/eli/reg/2009/1107/oj" TargetMode="External"/><Relationship Id="rId23" Type="http://schemas.openxmlformats.org/officeDocument/2006/relationships/hyperlink" Target="https://doi.org/10.1016/j.fct.2016.03.009" TargetMode="External"/><Relationship Id="rId28" Type="http://schemas.openxmlformats.org/officeDocument/2006/relationships/hyperlink" Target="https://ec.europa.eu/commission/presscorner/detail/el/ip_22_7834" TargetMode="External"/><Relationship Id="rId10" Type="http://schemas.openxmlformats.org/officeDocument/2006/relationships/hyperlink" Target="http://data.europa.eu/eli/C/2025/1802/oj" TargetMode="External"/><Relationship Id="rId19" Type="http://schemas.openxmlformats.org/officeDocument/2006/relationships/hyperlink" Target="https://doi.org/10.1126/science.abe1148" TargetMode="External"/><Relationship Id="rId31" Type="http://schemas.openxmlformats.org/officeDocument/2006/relationships/hyperlink" Target="http://data.europa.eu/eli/reg/2002/178/oj" TargetMode="External"/><Relationship Id="rId4" Type="http://schemas.openxmlformats.org/officeDocument/2006/relationships/hyperlink" Target="https://doi.org/10.2903/j.efsa.2024.9059" TargetMode="External"/><Relationship Id="rId9" Type="http://schemas.openxmlformats.org/officeDocument/2006/relationships/hyperlink" Target="http://data.europa.eu/eli/C/2025/1801/oj" TargetMode="External"/><Relationship Id="rId14" Type="http://schemas.openxmlformats.org/officeDocument/2006/relationships/hyperlink" Target="http://data.europa.eu/eli/C/2025/2247/oj" TargetMode="External"/><Relationship Id="rId22" Type="http://schemas.openxmlformats.org/officeDocument/2006/relationships/hyperlink" Target="https://onlinelibrary.wiley.com/doi/full/10.1002/jat.3252" TargetMode="External"/><Relationship Id="rId27" Type="http://schemas.openxmlformats.org/officeDocument/2006/relationships/hyperlink" Target="https://www.un.org/sustainabledevelopment/health/" TargetMode="External"/><Relationship Id="rId30" Type="http://schemas.openxmlformats.org/officeDocument/2006/relationships/hyperlink" Target="https://food.ec.europa.eu/document/download/ee1a5aed-5303-4c32-bb59-813143a1df47_en?filename=sc_modif-genet_20250613_sum.pdf" TargetMode="External"/><Relationship Id="rId8" Type="http://schemas.openxmlformats.org/officeDocument/2006/relationships/hyperlink" Target="http://data.europa.eu/eli/C/2025/18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2689</Words>
  <Characters>16253</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CHRISTOFOROU Nikolaos</cp:lastModifiedBy>
  <cp:revision>2</cp:revision>
  <cp:lastPrinted>2004-11-19T15:42:00Z</cp:lastPrinted>
  <dcterms:created xsi:type="dcterms:W3CDTF">2025-10-08T11:19:00Z</dcterms:created>
  <dcterms:modified xsi:type="dcterms:W3CDTF">2025-10-08T11:19:00Z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B10-0407/2025</vt:lpwstr>
  </property>
  <property fmtid="{D5CDD505-2E9C-101B-9397-08002B2CF9AE}" pid="4" name="&lt;Type&gt;">
    <vt:lpwstr>RR</vt:lpwstr>
  </property>
</Properties>
</file>