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D4534F" w14:paraId="706EBD7F" w14:textId="77777777" w:rsidTr="0010095E">
        <w:trPr>
          <w:trHeight w:hRule="exact" w:val="1418"/>
        </w:trPr>
        <w:tc>
          <w:tcPr>
            <w:tcW w:w="6804" w:type="dxa"/>
            <w:shd w:val="clear" w:color="auto" w:fill="auto"/>
            <w:vAlign w:val="center"/>
          </w:tcPr>
          <w:p w14:paraId="175AB5F2" w14:textId="77777777" w:rsidR="00751A4A" w:rsidRPr="00D4534F" w:rsidRDefault="00355586" w:rsidP="0010095E">
            <w:pPr>
              <w:pStyle w:val="EPName"/>
            </w:pPr>
            <w:r w:rsidRPr="00D4534F">
              <w:t>European Parliament</w:t>
            </w:r>
          </w:p>
          <w:p w14:paraId="0E02B851" w14:textId="77777777" w:rsidR="00751A4A" w:rsidRPr="00D4534F" w:rsidRDefault="005F1B17" w:rsidP="005F1B17">
            <w:pPr>
              <w:pStyle w:val="EPTerm"/>
              <w:rPr>
                <w:rStyle w:val="HideTWBExt"/>
                <w:noProof w:val="0"/>
                <w:vanish w:val="0"/>
                <w:color w:val="auto"/>
              </w:rPr>
            </w:pPr>
            <w:r w:rsidRPr="00D4534F">
              <w:t>2024</w:t>
            </w:r>
            <w:r w:rsidR="00817416" w:rsidRPr="00D4534F">
              <w:t>-202</w:t>
            </w:r>
            <w:r w:rsidRPr="00D4534F">
              <w:t>9</w:t>
            </w:r>
          </w:p>
        </w:tc>
        <w:tc>
          <w:tcPr>
            <w:tcW w:w="2268" w:type="dxa"/>
            <w:shd w:val="clear" w:color="auto" w:fill="auto"/>
          </w:tcPr>
          <w:p w14:paraId="1965C622" w14:textId="77777777" w:rsidR="00751A4A" w:rsidRPr="00D4534F" w:rsidRDefault="00187494" w:rsidP="0010095E">
            <w:pPr>
              <w:pStyle w:val="EPLogo"/>
            </w:pPr>
            <w:r w:rsidRPr="00D4534F">
              <w:rPr>
                <w:noProof/>
                <w:lang w:eastAsia="ja-JP"/>
              </w:rPr>
              <w:drawing>
                <wp:inline distT="0" distB="0" distL="0" distR="0" wp14:anchorId="420C0D6D" wp14:editId="636BE67D">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368A559" w14:textId="77777777" w:rsidR="00D058B8" w:rsidRPr="00D4534F" w:rsidRDefault="00D058B8" w:rsidP="004C5D52">
      <w:pPr>
        <w:pStyle w:val="LineTop"/>
      </w:pPr>
    </w:p>
    <w:p w14:paraId="409C3D0B" w14:textId="77777777" w:rsidR="00680577" w:rsidRPr="00D4534F" w:rsidRDefault="00355586" w:rsidP="00680577">
      <w:pPr>
        <w:pStyle w:val="EPBodyTA1"/>
      </w:pPr>
      <w:r w:rsidRPr="00D4534F">
        <w:t>TEXTS ADOPTED</w:t>
      </w:r>
    </w:p>
    <w:p w14:paraId="44DEB68C" w14:textId="77777777" w:rsidR="00D058B8" w:rsidRPr="00D4534F" w:rsidRDefault="00D058B8" w:rsidP="00D058B8">
      <w:pPr>
        <w:pStyle w:val="LineBottom"/>
      </w:pPr>
    </w:p>
    <w:p w14:paraId="2F0DF3C0" w14:textId="1A6754BD" w:rsidR="00355586" w:rsidRPr="00D4534F" w:rsidRDefault="00355586" w:rsidP="00355586">
      <w:pPr>
        <w:pStyle w:val="ATHeading1"/>
      </w:pPr>
      <w:bookmarkStart w:id="0" w:name="TANumber"/>
      <w:r w:rsidRPr="00D4534F">
        <w:t>P10_TA(2025)0</w:t>
      </w:r>
      <w:bookmarkEnd w:id="0"/>
      <w:r w:rsidR="009770E6">
        <w:t>222</w:t>
      </w:r>
    </w:p>
    <w:p w14:paraId="454CCCE3" w14:textId="1635630F" w:rsidR="00355586" w:rsidRPr="00D4534F" w:rsidRDefault="00D05623" w:rsidP="00355586">
      <w:pPr>
        <w:pStyle w:val="ATHeading2"/>
      </w:pPr>
      <w:bookmarkStart w:id="1" w:name="title"/>
      <w:r w:rsidRPr="00D4534F">
        <w:t>G</w:t>
      </w:r>
      <w:r w:rsidR="00355586" w:rsidRPr="00D4534F">
        <w:t>enetically modified maize DP51291</w:t>
      </w:r>
      <w:bookmarkEnd w:id="1"/>
    </w:p>
    <w:p w14:paraId="2E5D0CE3" w14:textId="77777777" w:rsidR="00355586" w:rsidRPr="00D4534F" w:rsidRDefault="00355586" w:rsidP="00355586">
      <w:pPr>
        <w:rPr>
          <w:i/>
          <w:vanish/>
        </w:rPr>
      </w:pPr>
      <w:r w:rsidRPr="00D4534F">
        <w:rPr>
          <w:i/>
        </w:rPr>
        <w:fldChar w:fldCharType="begin"/>
      </w:r>
      <w:r w:rsidRPr="00D4534F">
        <w:rPr>
          <w:i/>
        </w:rPr>
        <w:instrText xml:space="preserve"> TC"(</w:instrText>
      </w:r>
      <w:bookmarkStart w:id="2" w:name="DocNumber"/>
      <w:r w:rsidRPr="00D4534F">
        <w:rPr>
          <w:i/>
        </w:rPr>
        <w:instrText>B10-0407/2025</w:instrText>
      </w:r>
      <w:bookmarkEnd w:id="2"/>
      <w:r w:rsidRPr="00D4534F">
        <w:rPr>
          <w:i/>
        </w:rPr>
        <w:instrText xml:space="preserve">)"\l3 \n&gt; \* MERGEFORMAT </w:instrText>
      </w:r>
      <w:r w:rsidRPr="00D4534F">
        <w:rPr>
          <w:i/>
        </w:rPr>
        <w:fldChar w:fldCharType="end"/>
      </w:r>
    </w:p>
    <w:p w14:paraId="42C433EF" w14:textId="77777777" w:rsidR="00355586" w:rsidRPr="00D4534F" w:rsidRDefault="00355586" w:rsidP="00355586">
      <w:pPr>
        <w:rPr>
          <w:vanish/>
        </w:rPr>
      </w:pPr>
      <w:bookmarkStart w:id="3" w:name="PE"/>
      <w:r w:rsidRPr="00D4534F">
        <w:rPr>
          <w:vanish/>
        </w:rPr>
        <w:t>PE775.588</w:t>
      </w:r>
      <w:bookmarkEnd w:id="3"/>
    </w:p>
    <w:p w14:paraId="7C093EFF" w14:textId="3E66DDE3" w:rsidR="00355586" w:rsidRPr="00D4534F" w:rsidRDefault="00355586" w:rsidP="00355586">
      <w:pPr>
        <w:pStyle w:val="ATHeading3"/>
      </w:pPr>
      <w:bookmarkStart w:id="4" w:name="Sujet"/>
      <w:r w:rsidRPr="00D4534F">
        <w:t xml:space="preserve">European Parliament resolution of </w:t>
      </w:r>
      <w:r w:rsidR="00D05623" w:rsidRPr="00D4534F">
        <w:t xml:space="preserve">8 </w:t>
      </w:r>
      <w:r w:rsidRPr="00D4534F">
        <w:t xml:space="preserve">October 2025 on Commission </w:t>
      </w:r>
      <w:r w:rsidR="00D05623" w:rsidRPr="00D4534F">
        <w:t>I</w:t>
      </w:r>
      <w:r w:rsidRPr="00D4534F">
        <w:t xml:space="preserve">mplementing </w:t>
      </w:r>
      <w:r w:rsidR="00D05623" w:rsidRPr="00D4534F">
        <w:t>D</w:t>
      </w:r>
      <w:r w:rsidRPr="00D4534F">
        <w:t xml:space="preserve">ecision </w:t>
      </w:r>
      <w:r w:rsidR="00BA1B2E" w:rsidRPr="00D4534F">
        <w:rPr>
          <w:szCs w:val="24"/>
        </w:rPr>
        <w:t xml:space="preserve">(EU) 2025/1898 </w:t>
      </w:r>
      <w:r w:rsidR="0044279B" w:rsidRPr="00D4534F">
        <w:rPr>
          <w:szCs w:val="24"/>
        </w:rPr>
        <w:t xml:space="preserve">of 22 September 2025 </w:t>
      </w:r>
      <w:r w:rsidRPr="00D4534F">
        <w:t>authorising the placing on the market of products containing, consisting of or produced from genetically modified maize DP51291 pursuant to Regulation (EC) No 1829/2003 of the European Parliament and of the Council</w:t>
      </w:r>
      <w:bookmarkEnd w:id="4"/>
      <w:r w:rsidRPr="00D4534F">
        <w:t xml:space="preserve"> </w:t>
      </w:r>
      <w:bookmarkStart w:id="5" w:name="References"/>
      <w:r w:rsidRPr="00D4534F">
        <w:t>(2025/2807(RSP))</w:t>
      </w:r>
      <w:bookmarkEnd w:id="5"/>
    </w:p>
    <w:p w14:paraId="6A234C6C" w14:textId="77777777" w:rsidR="000109FC" w:rsidRPr="00D4534F" w:rsidRDefault="000109FC" w:rsidP="000109FC">
      <w:pPr>
        <w:pStyle w:val="EPComma"/>
        <w:jc w:val="both"/>
      </w:pPr>
      <w:bookmarkStart w:id="6" w:name="TextBodyBegin"/>
      <w:bookmarkEnd w:id="6"/>
      <w:r w:rsidRPr="00D4534F">
        <w:rPr>
          <w:i/>
        </w:rPr>
        <w:t>The European Parliament</w:t>
      </w:r>
      <w:r w:rsidRPr="00D4534F">
        <w:t>,</w:t>
      </w:r>
    </w:p>
    <w:p w14:paraId="6737B28F" w14:textId="5AADB90C" w:rsidR="000109FC" w:rsidRPr="00D4534F" w:rsidRDefault="000109FC" w:rsidP="003121D2">
      <w:pPr>
        <w:pStyle w:val="NormalHanging12a"/>
        <w:widowControl/>
        <w:rPr>
          <w:szCs w:val="24"/>
        </w:rPr>
      </w:pPr>
      <w:r w:rsidRPr="00D4534F">
        <w:rPr>
          <w:szCs w:val="24"/>
        </w:rPr>
        <w:t>–</w:t>
      </w:r>
      <w:r w:rsidRPr="00D4534F">
        <w:rPr>
          <w:szCs w:val="24"/>
        </w:rPr>
        <w:tab/>
        <w:t xml:space="preserve">having regard to Commission </w:t>
      </w:r>
      <w:r w:rsidR="00343BEA" w:rsidRPr="00D4534F">
        <w:rPr>
          <w:szCs w:val="24"/>
        </w:rPr>
        <w:t>I</w:t>
      </w:r>
      <w:r w:rsidRPr="00D4534F">
        <w:rPr>
          <w:szCs w:val="24"/>
        </w:rPr>
        <w:t xml:space="preserve">mplementing </w:t>
      </w:r>
      <w:r w:rsidR="00343BEA" w:rsidRPr="00D4534F">
        <w:rPr>
          <w:szCs w:val="24"/>
        </w:rPr>
        <w:t>D</w:t>
      </w:r>
      <w:r w:rsidRPr="00D4534F">
        <w:rPr>
          <w:szCs w:val="24"/>
        </w:rPr>
        <w:t xml:space="preserve">ecision </w:t>
      </w:r>
      <w:r w:rsidR="00D07422" w:rsidRPr="00D4534F">
        <w:rPr>
          <w:szCs w:val="24"/>
        </w:rPr>
        <w:t xml:space="preserve">(EU) 2025/1898 </w:t>
      </w:r>
      <w:r w:rsidR="00343BEA" w:rsidRPr="00D4534F">
        <w:rPr>
          <w:szCs w:val="24"/>
        </w:rPr>
        <w:t>of 22</w:t>
      </w:r>
      <w:r w:rsidR="00B276BC" w:rsidRPr="00D4534F">
        <w:rPr>
          <w:szCs w:val="24"/>
        </w:rPr>
        <w:t> </w:t>
      </w:r>
      <w:r w:rsidR="00343BEA" w:rsidRPr="00D4534F">
        <w:rPr>
          <w:szCs w:val="24"/>
        </w:rPr>
        <w:t>September</w:t>
      </w:r>
      <w:r w:rsidR="00B276BC" w:rsidRPr="00D4534F">
        <w:rPr>
          <w:szCs w:val="24"/>
        </w:rPr>
        <w:t> </w:t>
      </w:r>
      <w:r w:rsidR="00343BEA" w:rsidRPr="00D4534F">
        <w:rPr>
          <w:szCs w:val="24"/>
        </w:rPr>
        <w:t xml:space="preserve">2025 </w:t>
      </w:r>
      <w:r w:rsidRPr="00D4534F">
        <w:rPr>
          <w:szCs w:val="24"/>
        </w:rPr>
        <w:t>authorising the placing on the market of products containing, consisting of or produced from genetically modified maize DP51291 pursuant to Regulation (EC) No 1829/2003 of the European Parliament and of the Council</w:t>
      </w:r>
      <w:r w:rsidR="00343BEA" w:rsidRPr="00D4534F">
        <w:rPr>
          <w:rStyle w:val="FootnoteReference"/>
          <w:szCs w:val="24"/>
        </w:rPr>
        <w:footnoteReference w:id="1"/>
      </w:r>
      <w:r w:rsidRPr="00D4534F">
        <w:rPr>
          <w:szCs w:val="24"/>
        </w:rPr>
        <w:t>,</w:t>
      </w:r>
    </w:p>
    <w:p w14:paraId="5ECA044B" w14:textId="4B451D2E" w:rsidR="000109FC" w:rsidRPr="00D4534F" w:rsidRDefault="000109FC" w:rsidP="003121D2">
      <w:pPr>
        <w:pStyle w:val="NormalHanging12a"/>
        <w:widowControl/>
        <w:rPr>
          <w:szCs w:val="24"/>
        </w:rPr>
      </w:pPr>
      <w:r w:rsidRPr="00D4534F">
        <w:rPr>
          <w:szCs w:val="24"/>
        </w:rPr>
        <w:t>–</w:t>
      </w:r>
      <w:r w:rsidRPr="00D4534F">
        <w:rPr>
          <w:szCs w:val="24"/>
        </w:rPr>
        <w:tab/>
        <w:t>having regard to Regulation (EC) No 1829/2003 of the European Parliament and of the Council of 22</w:t>
      </w:r>
      <w:r w:rsidR="003121D2" w:rsidRPr="00D4534F">
        <w:rPr>
          <w:szCs w:val="24"/>
        </w:rPr>
        <w:t> </w:t>
      </w:r>
      <w:r w:rsidRPr="00D4534F">
        <w:rPr>
          <w:szCs w:val="24"/>
        </w:rPr>
        <w:t>September</w:t>
      </w:r>
      <w:r w:rsidR="003121D2" w:rsidRPr="00D4534F">
        <w:rPr>
          <w:szCs w:val="24"/>
        </w:rPr>
        <w:t> </w:t>
      </w:r>
      <w:r w:rsidRPr="00D4534F">
        <w:rPr>
          <w:szCs w:val="24"/>
        </w:rPr>
        <w:t>2003 on genetically modified food and feed</w:t>
      </w:r>
      <w:r w:rsidRPr="00D4534F">
        <w:rPr>
          <w:rStyle w:val="FootnoteReference"/>
          <w:szCs w:val="24"/>
        </w:rPr>
        <w:footnoteReference w:id="2"/>
      </w:r>
      <w:r w:rsidRPr="00D4534F">
        <w:rPr>
          <w:szCs w:val="24"/>
        </w:rPr>
        <w:t xml:space="preserve">, and </w:t>
      </w:r>
      <w:proofErr w:type="gramStart"/>
      <w:r w:rsidRPr="00D4534F">
        <w:rPr>
          <w:szCs w:val="24"/>
        </w:rPr>
        <w:t>in particular Article</w:t>
      </w:r>
      <w:proofErr w:type="gramEnd"/>
      <w:r w:rsidRPr="00D4534F">
        <w:rPr>
          <w:szCs w:val="24"/>
        </w:rPr>
        <w:t xml:space="preserve"> 7(3) and Article 19(3) thereof,</w:t>
      </w:r>
    </w:p>
    <w:p w14:paraId="0713A41D" w14:textId="23C6EC41" w:rsidR="000109FC" w:rsidRPr="00D4534F" w:rsidRDefault="000109FC" w:rsidP="003121D2">
      <w:pPr>
        <w:pStyle w:val="NormalHanging12a"/>
        <w:widowControl/>
        <w:rPr>
          <w:szCs w:val="24"/>
        </w:rPr>
      </w:pPr>
      <w:r w:rsidRPr="00D4534F">
        <w:rPr>
          <w:szCs w:val="24"/>
        </w:rPr>
        <w:t>–</w:t>
      </w:r>
      <w:r w:rsidRPr="00D4534F">
        <w:rPr>
          <w:szCs w:val="24"/>
        </w:rPr>
        <w:tab/>
        <w:t>having regard to the vot</w:t>
      </w:r>
      <w:r w:rsidRPr="00D4534F">
        <w:rPr>
          <w:szCs w:val="24"/>
          <w:shd w:val="clear" w:color="auto" w:fill="FFFFFF"/>
        </w:rPr>
        <w:t>e of the Standing Committee on Plants, Animals, Food and Feed referred to in Article 35 of Regulation (EC) No 1829/2003, on 13</w:t>
      </w:r>
      <w:r w:rsidR="003121D2" w:rsidRPr="00D4534F">
        <w:rPr>
          <w:szCs w:val="24"/>
        </w:rPr>
        <w:t> </w:t>
      </w:r>
      <w:r w:rsidRPr="00D4534F">
        <w:rPr>
          <w:szCs w:val="24"/>
          <w:shd w:val="clear" w:color="auto" w:fill="FFFFFF"/>
        </w:rPr>
        <w:t>June</w:t>
      </w:r>
      <w:r w:rsidR="003121D2" w:rsidRPr="00D4534F">
        <w:rPr>
          <w:szCs w:val="24"/>
        </w:rPr>
        <w:t> </w:t>
      </w:r>
      <w:r w:rsidRPr="00D4534F">
        <w:rPr>
          <w:szCs w:val="24"/>
          <w:shd w:val="clear" w:color="auto" w:fill="FFFFFF"/>
        </w:rPr>
        <w:t>2025, at which no opinion was delivered, and the vote of the Appeal Committee on 15</w:t>
      </w:r>
      <w:r w:rsidR="003121D2" w:rsidRPr="00D4534F">
        <w:rPr>
          <w:szCs w:val="24"/>
        </w:rPr>
        <w:t> </w:t>
      </w:r>
      <w:r w:rsidRPr="00D4534F">
        <w:rPr>
          <w:szCs w:val="24"/>
          <w:shd w:val="clear" w:color="auto" w:fill="FFFFFF"/>
        </w:rPr>
        <w:t>July</w:t>
      </w:r>
      <w:r w:rsidR="003121D2" w:rsidRPr="00D4534F">
        <w:rPr>
          <w:szCs w:val="24"/>
        </w:rPr>
        <w:t> </w:t>
      </w:r>
      <w:r w:rsidRPr="00D4534F">
        <w:rPr>
          <w:szCs w:val="24"/>
          <w:shd w:val="clear" w:color="auto" w:fill="FFFFFF"/>
        </w:rPr>
        <w:t xml:space="preserve">2025, at which again no </w:t>
      </w:r>
      <w:r w:rsidRPr="00D4534F">
        <w:rPr>
          <w:szCs w:val="24"/>
        </w:rPr>
        <w:t>opinion was delivered,</w:t>
      </w:r>
    </w:p>
    <w:p w14:paraId="178BB179" w14:textId="52A72C24" w:rsidR="000109FC" w:rsidRPr="00D4534F" w:rsidRDefault="000109FC" w:rsidP="003121D2">
      <w:pPr>
        <w:pStyle w:val="NormalHanging12a"/>
        <w:widowControl/>
        <w:rPr>
          <w:szCs w:val="24"/>
        </w:rPr>
      </w:pPr>
      <w:r w:rsidRPr="00D4534F">
        <w:rPr>
          <w:szCs w:val="24"/>
        </w:rPr>
        <w:t>–</w:t>
      </w:r>
      <w:r w:rsidRPr="00D4534F">
        <w:rPr>
          <w:szCs w:val="24"/>
        </w:rPr>
        <w:tab/>
        <w:t>having regard to Article 11 of Regulation (EU) No 182/2011 of the European Parliament and of the Council of 16 February</w:t>
      </w:r>
      <w:r w:rsidR="003121D2" w:rsidRPr="00D4534F">
        <w:rPr>
          <w:szCs w:val="24"/>
        </w:rPr>
        <w:t> </w:t>
      </w:r>
      <w:r w:rsidRPr="00D4534F">
        <w:rPr>
          <w:szCs w:val="24"/>
        </w:rPr>
        <w:t>2011 laying down the rules and general principles concerning mechanisms for control by Member States of the Commission’s exercise of implementing powers</w:t>
      </w:r>
      <w:r w:rsidRPr="00D4534F">
        <w:rPr>
          <w:rStyle w:val="FootnoteReference"/>
          <w:szCs w:val="24"/>
        </w:rPr>
        <w:footnoteReference w:id="3"/>
      </w:r>
      <w:r w:rsidRPr="00D4534F">
        <w:rPr>
          <w:szCs w:val="24"/>
        </w:rPr>
        <w:t>,</w:t>
      </w:r>
    </w:p>
    <w:p w14:paraId="652426A0" w14:textId="117EBBB3" w:rsidR="000109FC" w:rsidRPr="00D4534F" w:rsidRDefault="000109FC" w:rsidP="003121D2">
      <w:pPr>
        <w:pStyle w:val="NormalHanging12a"/>
        <w:widowControl/>
        <w:rPr>
          <w:szCs w:val="24"/>
        </w:rPr>
      </w:pPr>
      <w:r w:rsidRPr="00D4534F">
        <w:rPr>
          <w:szCs w:val="24"/>
        </w:rPr>
        <w:lastRenderedPageBreak/>
        <w:t>–</w:t>
      </w:r>
      <w:r w:rsidRPr="00D4534F">
        <w:rPr>
          <w:szCs w:val="24"/>
        </w:rPr>
        <w:tab/>
        <w:t>having regard to the opinion adopted by the European Food Safety Authority (EFSA) on 2</w:t>
      </w:r>
      <w:r w:rsidR="003121D2" w:rsidRPr="00D4534F">
        <w:rPr>
          <w:szCs w:val="24"/>
        </w:rPr>
        <w:t> </w:t>
      </w:r>
      <w:r w:rsidRPr="00D4534F">
        <w:rPr>
          <w:szCs w:val="24"/>
        </w:rPr>
        <w:t>October</w:t>
      </w:r>
      <w:r w:rsidR="003121D2" w:rsidRPr="00D4534F">
        <w:rPr>
          <w:szCs w:val="24"/>
        </w:rPr>
        <w:t> </w:t>
      </w:r>
      <w:r w:rsidRPr="00D4534F">
        <w:rPr>
          <w:szCs w:val="24"/>
        </w:rPr>
        <w:t>2024 and published on 11</w:t>
      </w:r>
      <w:r w:rsidR="003121D2" w:rsidRPr="00D4534F">
        <w:rPr>
          <w:szCs w:val="24"/>
        </w:rPr>
        <w:t> </w:t>
      </w:r>
      <w:r w:rsidRPr="00D4534F">
        <w:rPr>
          <w:szCs w:val="24"/>
        </w:rPr>
        <w:t>November</w:t>
      </w:r>
      <w:r w:rsidR="003121D2" w:rsidRPr="00D4534F">
        <w:rPr>
          <w:szCs w:val="24"/>
        </w:rPr>
        <w:t> </w:t>
      </w:r>
      <w:r w:rsidRPr="00D4534F">
        <w:rPr>
          <w:szCs w:val="24"/>
        </w:rPr>
        <w:t>2024</w:t>
      </w:r>
      <w:r w:rsidRPr="00D4534F">
        <w:rPr>
          <w:rStyle w:val="FootnoteReference"/>
          <w:szCs w:val="24"/>
        </w:rPr>
        <w:footnoteReference w:id="4"/>
      </w:r>
      <w:r w:rsidRPr="00D4534F">
        <w:rPr>
          <w:szCs w:val="24"/>
        </w:rPr>
        <w:t>,</w:t>
      </w:r>
    </w:p>
    <w:p w14:paraId="36EAC6C1" w14:textId="77777777" w:rsidR="000109FC" w:rsidRPr="00D4534F" w:rsidRDefault="000109FC" w:rsidP="003121D2">
      <w:pPr>
        <w:pStyle w:val="NormalHanging12a"/>
        <w:widowControl/>
        <w:rPr>
          <w:szCs w:val="24"/>
          <w:shd w:val="clear" w:color="auto" w:fill="FFFFFF"/>
        </w:rPr>
      </w:pPr>
      <w:r w:rsidRPr="00D4534F">
        <w:rPr>
          <w:szCs w:val="24"/>
        </w:rPr>
        <w:t>–</w:t>
      </w:r>
      <w:r w:rsidRPr="00D4534F">
        <w:rPr>
          <w:szCs w:val="24"/>
        </w:rPr>
        <w:tab/>
      </w:r>
      <w:r w:rsidRPr="00D4534F">
        <w:rPr>
          <w:szCs w:val="24"/>
          <w:shd w:val="clear" w:color="auto" w:fill="FFFFFF"/>
        </w:rPr>
        <w:t>having regard to its previous resolutions objecting to the authorisation of genetically modified organisms (‘GMOs’)</w:t>
      </w:r>
      <w:r w:rsidRPr="00D4534F">
        <w:rPr>
          <w:rStyle w:val="FootnoteReference"/>
          <w:szCs w:val="24"/>
          <w:shd w:val="clear" w:color="auto" w:fill="FFFFFF"/>
        </w:rPr>
        <w:footnoteReference w:id="5"/>
      </w:r>
      <w:r w:rsidRPr="00D4534F">
        <w:rPr>
          <w:szCs w:val="24"/>
          <w:shd w:val="clear" w:color="auto" w:fill="FFFFFF"/>
        </w:rPr>
        <w:t>,</w:t>
      </w:r>
    </w:p>
    <w:p w14:paraId="67D7B2E7" w14:textId="77777777" w:rsidR="000109FC" w:rsidRPr="00D4534F" w:rsidRDefault="000109FC" w:rsidP="003121D2">
      <w:pPr>
        <w:pStyle w:val="NormalHanging12a"/>
        <w:widowControl/>
        <w:rPr>
          <w:szCs w:val="24"/>
        </w:rPr>
      </w:pPr>
      <w:r w:rsidRPr="00D4534F">
        <w:rPr>
          <w:szCs w:val="24"/>
        </w:rPr>
        <w:lastRenderedPageBreak/>
        <w:t>–</w:t>
      </w:r>
      <w:r w:rsidRPr="00D4534F">
        <w:rPr>
          <w:szCs w:val="24"/>
        </w:rPr>
        <w:tab/>
        <w:t>having regard to Rule 115(2) and (3) of its Rules of Procedure,</w:t>
      </w:r>
    </w:p>
    <w:p w14:paraId="58F72B1F" w14:textId="77777777" w:rsidR="000109FC" w:rsidRPr="00D4534F" w:rsidRDefault="000109FC" w:rsidP="003121D2">
      <w:pPr>
        <w:pStyle w:val="NormalHanging12a"/>
        <w:widowControl/>
        <w:rPr>
          <w:szCs w:val="24"/>
        </w:rPr>
      </w:pPr>
      <w:r w:rsidRPr="00D4534F">
        <w:rPr>
          <w:szCs w:val="24"/>
        </w:rPr>
        <w:t>–</w:t>
      </w:r>
      <w:r w:rsidRPr="00D4534F">
        <w:rPr>
          <w:szCs w:val="24"/>
        </w:rPr>
        <w:tab/>
        <w:t>having regard to the motion for a resolution by the Committee on the Environment, Climate and Food Safety,</w:t>
      </w:r>
    </w:p>
    <w:p w14:paraId="1D3E30FC" w14:textId="0FA4CB16" w:rsidR="000109FC" w:rsidRPr="00D4534F" w:rsidRDefault="000109FC" w:rsidP="003121D2">
      <w:pPr>
        <w:pStyle w:val="NormalHanging12a"/>
        <w:widowControl/>
        <w:rPr>
          <w:szCs w:val="24"/>
        </w:rPr>
      </w:pPr>
      <w:r w:rsidRPr="00D4534F">
        <w:rPr>
          <w:szCs w:val="24"/>
        </w:rPr>
        <w:t>A.</w:t>
      </w:r>
      <w:r w:rsidRPr="00D4534F">
        <w:rPr>
          <w:szCs w:val="24"/>
        </w:rPr>
        <w:tab/>
        <w:t>whereas on 27</w:t>
      </w:r>
      <w:r w:rsidR="003121D2" w:rsidRPr="00D4534F">
        <w:rPr>
          <w:szCs w:val="24"/>
        </w:rPr>
        <w:t> </w:t>
      </w:r>
      <w:r w:rsidRPr="00D4534F">
        <w:rPr>
          <w:szCs w:val="24"/>
        </w:rPr>
        <w:t>January</w:t>
      </w:r>
      <w:r w:rsidR="003121D2" w:rsidRPr="00D4534F">
        <w:rPr>
          <w:szCs w:val="24"/>
        </w:rPr>
        <w:t> </w:t>
      </w:r>
      <w:r w:rsidRPr="00D4534F">
        <w:rPr>
          <w:szCs w:val="24"/>
        </w:rPr>
        <w:t>2023, Corteva Agriscience Belgium B.V., based in Belgium, on behalf of Corteva Agriscience LLC, based in the United States, submitted an application to the national competent authority of the Netherlands for the placing on the market of foods, food ingredients and feed containing, consisting of or produced from genetically modified maize DP51291 (the ‘GM maize’</w:t>
      </w:r>
      <w:proofErr w:type="gramStart"/>
      <w:r w:rsidRPr="00D4534F">
        <w:rPr>
          <w:szCs w:val="24"/>
        </w:rPr>
        <w:t>);</w:t>
      </w:r>
      <w:proofErr w:type="gramEnd"/>
    </w:p>
    <w:p w14:paraId="75E9FC86" w14:textId="77777777" w:rsidR="000109FC" w:rsidRPr="00D4534F" w:rsidRDefault="000109FC" w:rsidP="003121D2">
      <w:pPr>
        <w:pStyle w:val="NormalHanging12a"/>
        <w:widowControl/>
        <w:rPr>
          <w:szCs w:val="24"/>
        </w:rPr>
      </w:pPr>
      <w:r w:rsidRPr="00D4534F">
        <w:rPr>
          <w:szCs w:val="24"/>
        </w:rPr>
        <w:t>B.</w:t>
      </w:r>
      <w:r w:rsidRPr="00D4534F">
        <w:rPr>
          <w:szCs w:val="24"/>
        </w:rPr>
        <w:tab/>
        <w:t xml:space="preserve">whereas the GM maize produces the IPD072Aa toxin to act against corn rootworm, the </w:t>
      </w:r>
      <w:proofErr w:type="spellStart"/>
      <w:r w:rsidRPr="00D4534F">
        <w:rPr>
          <w:szCs w:val="24"/>
        </w:rPr>
        <w:t>phosphinothricin</w:t>
      </w:r>
      <w:proofErr w:type="spellEnd"/>
      <w:r w:rsidRPr="00D4534F">
        <w:rPr>
          <w:szCs w:val="24"/>
        </w:rPr>
        <w:t xml:space="preserve"> acetyl transferase (PAT) protein for tolerance to </w:t>
      </w:r>
      <w:proofErr w:type="spellStart"/>
      <w:r w:rsidRPr="00D4534F">
        <w:rPr>
          <w:szCs w:val="24"/>
        </w:rPr>
        <w:t>glufosinate</w:t>
      </w:r>
      <w:proofErr w:type="spellEnd"/>
      <w:r w:rsidRPr="00D4534F">
        <w:rPr>
          <w:szCs w:val="24"/>
        </w:rPr>
        <w:t xml:space="preserve">-containing herbicides and the PMI protein as a selectable </w:t>
      </w:r>
      <w:proofErr w:type="gramStart"/>
      <w:r w:rsidRPr="00D4534F">
        <w:rPr>
          <w:szCs w:val="24"/>
        </w:rPr>
        <w:t>marker;</w:t>
      </w:r>
      <w:proofErr w:type="gramEnd"/>
    </w:p>
    <w:p w14:paraId="2C899DBD" w14:textId="6E487A73" w:rsidR="000109FC" w:rsidRPr="00D4534F" w:rsidRDefault="000109FC" w:rsidP="003121D2">
      <w:pPr>
        <w:pStyle w:val="NormalHanging12a"/>
        <w:widowControl/>
        <w:rPr>
          <w:szCs w:val="24"/>
        </w:rPr>
      </w:pPr>
      <w:r w:rsidRPr="00D4534F">
        <w:rPr>
          <w:szCs w:val="24"/>
        </w:rPr>
        <w:t>C.</w:t>
      </w:r>
      <w:r w:rsidRPr="00D4534F">
        <w:rPr>
          <w:szCs w:val="24"/>
        </w:rPr>
        <w:tab/>
        <w:t xml:space="preserve">whereas </w:t>
      </w:r>
      <w:proofErr w:type="spellStart"/>
      <w:r w:rsidRPr="00D4534F">
        <w:rPr>
          <w:szCs w:val="24"/>
        </w:rPr>
        <w:t>glufosinate</w:t>
      </w:r>
      <w:proofErr w:type="spellEnd"/>
      <w:r w:rsidRPr="00D4534F">
        <w:rPr>
          <w:szCs w:val="24"/>
        </w:rPr>
        <w:t>, which is considered as a complementary herbicide, is classified as a substance toxic for reproduction in category 1B and therefore meets the ‘cut-off criteria’ set out in Regulation (EC) No 1107/2009 of the European Parliament and of the Council</w:t>
      </w:r>
      <w:r w:rsidRPr="00D4534F">
        <w:rPr>
          <w:rStyle w:val="FootnoteReference"/>
          <w:szCs w:val="24"/>
        </w:rPr>
        <w:footnoteReference w:id="6"/>
      </w:r>
      <w:r w:rsidRPr="00D4534F">
        <w:rPr>
          <w:szCs w:val="24"/>
        </w:rPr>
        <w:t xml:space="preserve">; whereas the approval of </w:t>
      </w:r>
      <w:proofErr w:type="spellStart"/>
      <w:r w:rsidRPr="00D4534F">
        <w:rPr>
          <w:szCs w:val="24"/>
        </w:rPr>
        <w:t>glufosinate</w:t>
      </w:r>
      <w:proofErr w:type="spellEnd"/>
      <w:r w:rsidRPr="00D4534F">
        <w:rPr>
          <w:szCs w:val="24"/>
        </w:rPr>
        <w:t xml:space="preserve"> for use in the Union expired on 31</w:t>
      </w:r>
      <w:r w:rsidR="003121D2" w:rsidRPr="00D4534F">
        <w:rPr>
          <w:szCs w:val="24"/>
        </w:rPr>
        <w:t> </w:t>
      </w:r>
      <w:r w:rsidRPr="00D4534F">
        <w:rPr>
          <w:szCs w:val="24"/>
        </w:rPr>
        <w:t>July</w:t>
      </w:r>
      <w:r w:rsidR="003121D2" w:rsidRPr="00D4534F">
        <w:rPr>
          <w:szCs w:val="24"/>
        </w:rPr>
        <w:t> </w:t>
      </w:r>
      <w:proofErr w:type="gramStart"/>
      <w:r w:rsidRPr="00D4534F">
        <w:rPr>
          <w:szCs w:val="24"/>
        </w:rPr>
        <w:t>2018;</w:t>
      </w:r>
      <w:proofErr w:type="gramEnd"/>
    </w:p>
    <w:p w14:paraId="36751548" w14:textId="77777777" w:rsidR="000109FC" w:rsidRPr="00D4534F" w:rsidRDefault="000109FC" w:rsidP="003121D2">
      <w:pPr>
        <w:pStyle w:val="NormalHanging12a"/>
        <w:widowControl/>
        <w:rPr>
          <w:szCs w:val="24"/>
        </w:rPr>
      </w:pPr>
      <w:r w:rsidRPr="00D4534F">
        <w:rPr>
          <w:szCs w:val="24"/>
        </w:rPr>
        <w:t>D.</w:t>
      </w:r>
      <w:r w:rsidRPr="00D4534F">
        <w:rPr>
          <w:szCs w:val="24"/>
        </w:rPr>
        <w:tab/>
        <w:t xml:space="preserve">whereas IPD072Aa is an insecticidal toxin produced by the bacterium Pseudomonas </w:t>
      </w:r>
      <w:proofErr w:type="spellStart"/>
      <w:r w:rsidRPr="00D4534F">
        <w:rPr>
          <w:szCs w:val="24"/>
        </w:rPr>
        <w:t>chlororaphis</w:t>
      </w:r>
      <w:proofErr w:type="spellEnd"/>
      <w:r w:rsidRPr="00D4534F">
        <w:rPr>
          <w:szCs w:val="24"/>
        </w:rPr>
        <w:t xml:space="preserve">, engineered to act against corn </w:t>
      </w:r>
      <w:proofErr w:type="gramStart"/>
      <w:r w:rsidRPr="00D4534F">
        <w:rPr>
          <w:szCs w:val="24"/>
        </w:rPr>
        <w:t>rootworm;</w:t>
      </w:r>
      <w:proofErr w:type="gramEnd"/>
      <w:r w:rsidRPr="00D4534F">
        <w:rPr>
          <w:szCs w:val="24"/>
        </w:rPr>
        <w:t xml:space="preserve"> </w:t>
      </w:r>
    </w:p>
    <w:p w14:paraId="44BE38C8" w14:textId="77777777" w:rsidR="000109FC" w:rsidRPr="00D4534F" w:rsidRDefault="000109FC" w:rsidP="003121D2">
      <w:pPr>
        <w:pStyle w:val="NormalHanging12a"/>
        <w:widowControl/>
        <w:rPr>
          <w:b/>
          <w:i/>
          <w:iCs/>
          <w:szCs w:val="24"/>
        </w:rPr>
      </w:pPr>
      <w:r w:rsidRPr="00D4534F">
        <w:rPr>
          <w:b/>
          <w:i/>
          <w:iCs/>
          <w:szCs w:val="24"/>
        </w:rPr>
        <w:lastRenderedPageBreak/>
        <w:t>Complex genetic engineering</w:t>
      </w:r>
    </w:p>
    <w:p w14:paraId="50953163" w14:textId="77777777" w:rsidR="000109FC" w:rsidRPr="00D4534F" w:rsidRDefault="000109FC" w:rsidP="003121D2">
      <w:pPr>
        <w:pStyle w:val="NormalHanging12a"/>
        <w:widowControl/>
        <w:rPr>
          <w:szCs w:val="24"/>
        </w:rPr>
      </w:pPr>
      <w:r w:rsidRPr="00D4534F">
        <w:rPr>
          <w:szCs w:val="24"/>
        </w:rPr>
        <w:t>E.</w:t>
      </w:r>
      <w:r w:rsidRPr="00D4534F">
        <w:rPr>
          <w:szCs w:val="24"/>
        </w:rPr>
        <w:tab/>
        <w:t xml:space="preserve">whereas maize DP51291 was developed through a complex, multi-step genetic engineering process involving the creation of a genomic ‘landing pad’, followed by microprojectile co-bombardment using five plasmids, and a subsequent agrobacterium tumefaciens-mediated insertion of expression cassettes into the landing </w:t>
      </w:r>
      <w:proofErr w:type="gramStart"/>
      <w:r w:rsidRPr="00D4534F">
        <w:rPr>
          <w:szCs w:val="24"/>
        </w:rPr>
        <w:t>pad;</w:t>
      </w:r>
      <w:proofErr w:type="gramEnd"/>
    </w:p>
    <w:p w14:paraId="06948FEA" w14:textId="77777777" w:rsidR="000109FC" w:rsidRPr="00D4534F" w:rsidRDefault="000109FC" w:rsidP="003121D2">
      <w:pPr>
        <w:pStyle w:val="NormalHanging12a"/>
        <w:widowControl/>
        <w:rPr>
          <w:szCs w:val="24"/>
        </w:rPr>
      </w:pPr>
      <w:r w:rsidRPr="00D4534F">
        <w:rPr>
          <w:szCs w:val="24"/>
        </w:rPr>
        <w:t>F.</w:t>
      </w:r>
      <w:r w:rsidRPr="00D4534F">
        <w:rPr>
          <w:szCs w:val="24"/>
        </w:rPr>
        <w:tab/>
        <w:t>whereas this genetic modification process resulted in the deletion of 113 base pairs of maize genomic DNA, as revealed by bioinformatic analysis, and led to the formation of several novel open reading frames (ORFs), indicating potential genomic perturbations arising from the transformation procedure; whereas five of these ORFs exhibited greater than 35 % sequence identity to known allergens, thereby exceeding the threshold commonly used in allergenicity assessments</w:t>
      </w:r>
      <w:r w:rsidRPr="00D4534F">
        <w:rPr>
          <w:rStyle w:val="FootnoteReference"/>
          <w:szCs w:val="24"/>
        </w:rPr>
        <w:footnoteReference w:id="7"/>
      </w:r>
      <w:r w:rsidRPr="00D4534F">
        <w:rPr>
          <w:szCs w:val="24"/>
        </w:rPr>
        <w:t xml:space="preserve">; </w:t>
      </w:r>
    </w:p>
    <w:p w14:paraId="0C61BB88" w14:textId="77777777" w:rsidR="000109FC" w:rsidRPr="00D4534F" w:rsidRDefault="000109FC" w:rsidP="003121D2">
      <w:pPr>
        <w:pStyle w:val="NormalHanging12a"/>
        <w:widowControl/>
        <w:rPr>
          <w:b/>
          <w:i/>
          <w:iCs/>
          <w:szCs w:val="24"/>
        </w:rPr>
      </w:pPr>
      <w:r w:rsidRPr="00D4534F">
        <w:rPr>
          <w:b/>
          <w:i/>
          <w:iCs/>
          <w:szCs w:val="24"/>
        </w:rPr>
        <w:t>Lack of data on agricultural practices and environmental factors</w:t>
      </w:r>
    </w:p>
    <w:p w14:paraId="1C641ABD" w14:textId="77777777" w:rsidR="000109FC" w:rsidRPr="00D4534F" w:rsidRDefault="000109FC" w:rsidP="003121D2">
      <w:pPr>
        <w:pStyle w:val="NormalHanging12a"/>
        <w:widowControl/>
        <w:rPr>
          <w:szCs w:val="24"/>
        </w:rPr>
      </w:pPr>
      <w:r w:rsidRPr="00D4534F">
        <w:rPr>
          <w:szCs w:val="24"/>
        </w:rPr>
        <w:t>G.</w:t>
      </w:r>
      <w:r w:rsidRPr="00D4534F">
        <w:rPr>
          <w:szCs w:val="24"/>
        </w:rPr>
        <w:tab/>
        <w:t>whereas Commission Implementing Regulation (EU) No 503/2013</w:t>
      </w:r>
      <w:r w:rsidRPr="00D4534F">
        <w:rPr>
          <w:rStyle w:val="FootnoteReference"/>
          <w:szCs w:val="24"/>
        </w:rPr>
        <w:footnoteReference w:id="8"/>
      </w:r>
      <w:r w:rsidRPr="00D4534F">
        <w:rPr>
          <w:szCs w:val="24"/>
        </w:rPr>
        <w:t xml:space="preserve"> requires an assessment of whether the expected agricultural practices influence the expression of the studied </w:t>
      </w:r>
      <w:proofErr w:type="gramStart"/>
      <w:r w:rsidRPr="00D4534F">
        <w:rPr>
          <w:szCs w:val="24"/>
        </w:rPr>
        <w:t>endpoints;</w:t>
      </w:r>
      <w:proofErr w:type="gramEnd"/>
      <w:r w:rsidRPr="00D4534F">
        <w:rPr>
          <w:szCs w:val="24"/>
        </w:rPr>
        <w:t xml:space="preserve"> whereas, according to that Implementing Regulation, this is especially relevant for herbicide-tolerant plants;</w:t>
      </w:r>
    </w:p>
    <w:p w14:paraId="47627F54" w14:textId="55A0E90F" w:rsidR="000109FC" w:rsidRPr="00D4534F" w:rsidRDefault="000109FC" w:rsidP="003121D2">
      <w:pPr>
        <w:pStyle w:val="NormalHanging12a"/>
        <w:widowControl/>
        <w:rPr>
          <w:szCs w:val="24"/>
        </w:rPr>
      </w:pPr>
      <w:r w:rsidRPr="00D4534F">
        <w:rPr>
          <w:szCs w:val="24"/>
        </w:rPr>
        <w:t>H.</w:t>
      </w:r>
      <w:r w:rsidRPr="00D4534F">
        <w:rPr>
          <w:szCs w:val="24"/>
        </w:rPr>
        <w:tab/>
        <w:t>whereas environmental stressors, such as drought or temperature extremes, can induce unexpected patterns of gene expression in newly inserted DNA sequences</w:t>
      </w:r>
      <w:r w:rsidRPr="00D4534F">
        <w:rPr>
          <w:rStyle w:val="FootnoteReference"/>
          <w:szCs w:val="24"/>
        </w:rPr>
        <w:footnoteReference w:id="9"/>
      </w:r>
      <w:r w:rsidRPr="00D4534F">
        <w:rPr>
          <w:szCs w:val="24"/>
        </w:rPr>
        <w:t>;</w:t>
      </w:r>
    </w:p>
    <w:p w14:paraId="28BB9BF9" w14:textId="77777777" w:rsidR="000109FC" w:rsidRPr="00D4534F" w:rsidRDefault="000109FC" w:rsidP="003121D2">
      <w:pPr>
        <w:pStyle w:val="NormalHanging12a"/>
        <w:widowControl/>
        <w:rPr>
          <w:szCs w:val="24"/>
        </w:rPr>
      </w:pPr>
      <w:r w:rsidRPr="00D4534F">
        <w:rPr>
          <w:szCs w:val="24"/>
        </w:rPr>
        <w:t>I.</w:t>
      </w:r>
      <w:r w:rsidRPr="00D4534F">
        <w:rPr>
          <w:szCs w:val="24"/>
        </w:rPr>
        <w:tab/>
        <w:t xml:space="preserve">whereas the field trials used to support the compositional and phenotypic analysis of the GM maize were conducted over a single growing season (2021) in the United States and Canada under weather conditions that do not adequately represent the diversity of maize-growing regions, particularly in countries such as </w:t>
      </w:r>
      <w:proofErr w:type="gramStart"/>
      <w:r w:rsidRPr="00D4534F">
        <w:rPr>
          <w:szCs w:val="24"/>
        </w:rPr>
        <w:t>Brazil;</w:t>
      </w:r>
      <w:proofErr w:type="gramEnd"/>
    </w:p>
    <w:p w14:paraId="405B6CDC" w14:textId="77777777" w:rsidR="000109FC" w:rsidRPr="00D4534F" w:rsidRDefault="000109FC" w:rsidP="003121D2">
      <w:pPr>
        <w:pStyle w:val="NormalHanging12a"/>
        <w:widowControl/>
        <w:rPr>
          <w:szCs w:val="24"/>
        </w:rPr>
      </w:pPr>
      <w:r w:rsidRPr="00D4534F">
        <w:rPr>
          <w:szCs w:val="24"/>
        </w:rPr>
        <w:t>J.</w:t>
      </w:r>
      <w:r w:rsidRPr="00D4534F">
        <w:rPr>
          <w:szCs w:val="24"/>
        </w:rPr>
        <w:tab/>
        <w:t xml:space="preserve">whereas extreme weather events were reported at some trial locations; whereas no specific investigations were undertaken to assess future conditions influenced by ongoing climate </w:t>
      </w:r>
      <w:proofErr w:type="gramStart"/>
      <w:r w:rsidRPr="00D4534F">
        <w:rPr>
          <w:szCs w:val="24"/>
        </w:rPr>
        <w:t>change;</w:t>
      </w:r>
      <w:proofErr w:type="gramEnd"/>
    </w:p>
    <w:p w14:paraId="0E6BFFC1" w14:textId="77777777" w:rsidR="000109FC" w:rsidRPr="00D4534F" w:rsidRDefault="000109FC" w:rsidP="003121D2">
      <w:pPr>
        <w:pStyle w:val="NormalHanging12a"/>
        <w:widowControl/>
        <w:rPr>
          <w:szCs w:val="24"/>
        </w:rPr>
      </w:pPr>
      <w:r w:rsidRPr="00D4534F">
        <w:rPr>
          <w:szCs w:val="24"/>
        </w:rPr>
        <w:t>K.</w:t>
      </w:r>
      <w:r w:rsidRPr="00D4534F">
        <w:rPr>
          <w:szCs w:val="24"/>
        </w:rPr>
        <w:tab/>
        <w:t xml:space="preserve">whereas </w:t>
      </w:r>
      <w:proofErr w:type="spellStart"/>
      <w:r w:rsidRPr="00D4534F">
        <w:rPr>
          <w:szCs w:val="24"/>
        </w:rPr>
        <w:t>glufosinate</w:t>
      </w:r>
      <w:proofErr w:type="spellEnd"/>
      <w:r w:rsidRPr="00D4534F">
        <w:rPr>
          <w:szCs w:val="24"/>
        </w:rPr>
        <w:t>, was applied only once during the field trials, following EFSA's dosage recommendations; whereas, however, in real-world agricultural practices, herbicide application rates and frequencies often vary significantly by region and may involve higher or repeated use, meaning that the field trial data may not sufficiently reflect the full range of environmental and agricultural conditions under which the GM maize is likely to be cultivated or imported;</w:t>
      </w:r>
    </w:p>
    <w:p w14:paraId="603F3BB2" w14:textId="77777777" w:rsidR="000109FC" w:rsidRPr="00D4534F" w:rsidRDefault="000109FC" w:rsidP="003121D2">
      <w:pPr>
        <w:pStyle w:val="NormalHanging12a"/>
        <w:widowControl/>
        <w:rPr>
          <w:b/>
          <w:i/>
          <w:iCs/>
          <w:szCs w:val="24"/>
        </w:rPr>
      </w:pPr>
      <w:r w:rsidRPr="00D4534F">
        <w:rPr>
          <w:b/>
          <w:i/>
          <w:iCs/>
          <w:szCs w:val="24"/>
        </w:rPr>
        <w:lastRenderedPageBreak/>
        <w:t xml:space="preserve">Lack of assessment of </w:t>
      </w:r>
      <w:proofErr w:type="spellStart"/>
      <w:r w:rsidRPr="00D4534F">
        <w:rPr>
          <w:b/>
          <w:i/>
          <w:iCs/>
          <w:szCs w:val="24"/>
        </w:rPr>
        <w:t>glufosinate</w:t>
      </w:r>
      <w:proofErr w:type="spellEnd"/>
      <w:r w:rsidRPr="00D4534F">
        <w:rPr>
          <w:b/>
          <w:i/>
          <w:iCs/>
          <w:szCs w:val="24"/>
        </w:rPr>
        <w:t xml:space="preserve"> </w:t>
      </w:r>
    </w:p>
    <w:p w14:paraId="74E1F86C" w14:textId="77777777" w:rsidR="000109FC" w:rsidRPr="00D4534F" w:rsidRDefault="000109FC" w:rsidP="003121D2">
      <w:pPr>
        <w:pStyle w:val="NormalHanging12a"/>
        <w:widowControl/>
        <w:rPr>
          <w:szCs w:val="24"/>
        </w:rPr>
      </w:pPr>
      <w:r w:rsidRPr="00D4534F">
        <w:rPr>
          <w:szCs w:val="24"/>
        </w:rPr>
        <w:t>L.</w:t>
      </w:r>
      <w:r w:rsidRPr="00D4534F">
        <w:rPr>
          <w:szCs w:val="24"/>
        </w:rPr>
        <w:tab/>
        <w:t xml:space="preserve">whereas </w:t>
      </w:r>
      <w:proofErr w:type="spellStart"/>
      <w:r w:rsidRPr="00D4534F">
        <w:rPr>
          <w:szCs w:val="24"/>
        </w:rPr>
        <w:t>glufosinate</w:t>
      </w:r>
      <w:proofErr w:type="spellEnd"/>
      <w:r w:rsidRPr="00D4534F">
        <w:rPr>
          <w:szCs w:val="24"/>
        </w:rPr>
        <w:t xml:space="preserve"> is associated with significant risks to biodiversity, toxicity, and long-term ecosystem </w:t>
      </w:r>
      <w:proofErr w:type="gramStart"/>
      <w:r w:rsidRPr="00D4534F">
        <w:rPr>
          <w:szCs w:val="24"/>
        </w:rPr>
        <w:t>health;</w:t>
      </w:r>
      <w:proofErr w:type="gramEnd"/>
    </w:p>
    <w:p w14:paraId="1C04427E" w14:textId="77777777" w:rsidR="000109FC" w:rsidRPr="00D4534F" w:rsidRDefault="000109FC" w:rsidP="003121D2">
      <w:pPr>
        <w:pStyle w:val="NormalHanging12a"/>
        <w:widowControl/>
        <w:rPr>
          <w:szCs w:val="24"/>
        </w:rPr>
      </w:pPr>
      <w:r w:rsidRPr="00D4534F">
        <w:rPr>
          <w:szCs w:val="24"/>
        </w:rPr>
        <w:t>M.</w:t>
      </w:r>
      <w:r w:rsidRPr="00D4534F">
        <w:rPr>
          <w:szCs w:val="24"/>
        </w:rPr>
        <w:tab/>
        <w:t>whereas the vast majority of GM crops have been genetically modified so that they are tolerant to one or more ‘complementary’ herbicides which can be used throughout the cultivation of the GM crop, without the crop dying, as would be the case for a non-herbicide-tolerant crop; whereas a number of studies show that herbicide-tolerant GM crops result in a higher use of complementary herbicides, in large part because of the emergence of herbicide-tolerant weeds</w:t>
      </w:r>
      <w:r w:rsidRPr="00D4534F">
        <w:rPr>
          <w:rStyle w:val="FootnoteReference"/>
          <w:szCs w:val="24"/>
        </w:rPr>
        <w:footnoteReference w:id="10"/>
      </w:r>
      <w:r w:rsidRPr="00D4534F">
        <w:rPr>
          <w:szCs w:val="24"/>
        </w:rPr>
        <w:t>;</w:t>
      </w:r>
    </w:p>
    <w:p w14:paraId="6A77ADF8" w14:textId="77777777" w:rsidR="000109FC" w:rsidRPr="00D4534F" w:rsidRDefault="000109FC" w:rsidP="003121D2">
      <w:pPr>
        <w:pStyle w:val="NormalHanging12a"/>
        <w:widowControl/>
        <w:rPr>
          <w:szCs w:val="24"/>
        </w:rPr>
      </w:pPr>
      <w:r w:rsidRPr="00D4534F">
        <w:rPr>
          <w:szCs w:val="24"/>
        </w:rPr>
        <w:t>N.</w:t>
      </w:r>
      <w:r w:rsidRPr="00D4534F">
        <w:rPr>
          <w:szCs w:val="24"/>
        </w:rPr>
        <w:tab/>
        <w:t>whereas herbicide-tolerant GM crops lock farmers into a weed management system that is largely or wholly dependent on herbicides, and does so by charging a premium for GM seeds that can be justified only if farmers purchasing such seeds also spray the complementary herbicides; whereas heightened reliance on complementary herbicides on farms planting the GM crops accelerates the emergence and spread of weeds resistant to those herbicides, thereby triggering the need for even more herbicide use, a vicious circle known as ‘the herbicide treadmill’;</w:t>
      </w:r>
    </w:p>
    <w:p w14:paraId="0C59E6E7" w14:textId="77777777" w:rsidR="000109FC" w:rsidRPr="00D4534F" w:rsidRDefault="000109FC" w:rsidP="003121D2">
      <w:pPr>
        <w:pStyle w:val="NormalHanging12a"/>
        <w:widowControl/>
        <w:rPr>
          <w:szCs w:val="24"/>
        </w:rPr>
      </w:pPr>
      <w:r w:rsidRPr="00D4534F">
        <w:rPr>
          <w:szCs w:val="24"/>
        </w:rPr>
        <w:t>O.</w:t>
      </w:r>
      <w:r w:rsidRPr="00D4534F">
        <w:rPr>
          <w:szCs w:val="24"/>
        </w:rPr>
        <w:tab/>
        <w:t xml:space="preserve">whereas the adverse impacts stemming from excessive reliance on herbicides will worsen as regards soil health, water quality, and above and below ground biodiversity, and lead to increased human and animal exposure, potentially also via increased herbicide residues on food and </w:t>
      </w:r>
      <w:proofErr w:type="gramStart"/>
      <w:r w:rsidRPr="00D4534F">
        <w:rPr>
          <w:szCs w:val="24"/>
        </w:rPr>
        <w:t>feed;</w:t>
      </w:r>
      <w:proofErr w:type="gramEnd"/>
    </w:p>
    <w:p w14:paraId="6FFBDD4B" w14:textId="77777777" w:rsidR="000109FC" w:rsidRPr="00D4534F" w:rsidRDefault="000109FC" w:rsidP="003121D2">
      <w:pPr>
        <w:pStyle w:val="NormalHanging12a"/>
        <w:widowControl/>
        <w:rPr>
          <w:szCs w:val="24"/>
        </w:rPr>
      </w:pPr>
      <w:r w:rsidRPr="00D4534F">
        <w:rPr>
          <w:szCs w:val="24"/>
        </w:rPr>
        <w:t>P.</w:t>
      </w:r>
      <w:r w:rsidRPr="00D4534F">
        <w:rPr>
          <w:szCs w:val="24"/>
        </w:rPr>
        <w:tab/>
        <w:t xml:space="preserve">whereas an assessment of herbicide residues and metabolites found on GM plants is considered outside the remit of the EFSA Panel on Genetically Modified Organisms (‘EFSA GMO Panel’) and is therefore not undertaken as part of the authorisation process for </w:t>
      </w:r>
      <w:proofErr w:type="gramStart"/>
      <w:r w:rsidRPr="00D4534F">
        <w:rPr>
          <w:szCs w:val="24"/>
        </w:rPr>
        <w:t>GMOs;</w:t>
      </w:r>
      <w:proofErr w:type="gramEnd"/>
    </w:p>
    <w:p w14:paraId="2C657AFC" w14:textId="77777777" w:rsidR="000109FC" w:rsidRPr="00D4534F" w:rsidRDefault="000109FC" w:rsidP="003121D2">
      <w:pPr>
        <w:pStyle w:val="NormalHanging12a"/>
        <w:widowControl/>
        <w:rPr>
          <w:b/>
          <w:i/>
          <w:iCs/>
          <w:szCs w:val="24"/>
        </w:rPr>
      </w:pPr>
      <w:r w:rsidRPr="00D4534F">
        <w:rPr>
          <w:b/>
          <w:i/>
          <w:iCs/>
          <w:szCs w:val="24"/>
        </w:rPr>
        <w:t>Outstanding questions concerning the IPD072Aa toxin</w:t>
      </w:r>
    </w:p>
    <w:p w14:paraId="4C2BEF63" w14:textId="77777777" w:rsidR="000109FC" w:rsidRPr="00D4534F" w:rsidRDefault="000109FC" w:rsidP="003121D2">
      <w:pPr>
        <w:pStyle w:val="NormalHanging12a"/>
        <w:widowControl/>
        <w:rPr>
          <w:szCs w:val="24"/>
        </w:rPr>
      </w:pPr>
      <w:r w:rsidRPr="00D4534F">
        <w:rPr>
          <w:szCs w:val="24"/>
        </w:rPr>
        <w:t>Q.</w:t>
      </w:r>
      <w:r w:rsidRPr="00D4534F">
        <w:rPr>
          <w:szCs w:val="24"/>
        </w:rPr>
        <w:tab/>
        <w:t xml:space="preserve">whereas Implementing Regulation (EU) No 503/2013 requires a toxicological assessment to demonstrate that the intended effects of a genetic modification do not involve adverse effects on human and animal </w:t>
      </w:r>
      <w:proofErr w:type="gramStart"/>
      <w:r w:rsidRPr="00D4534F">
        <w:rPr>
          <w:szCs w:val="24"/>
        </w:rPr>
        <w:t>health;</w:t>
      </w:r>
      <w:proofErr w:type="gramEnd"/>
    </w:p>
    <w:p w14:paraId="4C8B7AA3" w14:textId="1919CD47" w:rsidR="000109FC" w:rsidRPr="00D4534F" w:rsidRDefault="000109FC" w:rsidP="003121D2">
      <w:pPr>
        <w:pStyle w:val="NormalHanging12a"/>
        <w:widowControl/>
        <w:rPr>
          <w:szCs w:val="24"/>
        </w:rPr>
      </w:pPr>
      <w:r w:rsidRPr="00D4534F">
        <w:rPr>
          <w:szCs w:val="24"/>
        </w:rPr>
        <w:t>R.</w:t>
      </w:r>
      <w:r w:rsidRPr="00D4534F">
        <w:rPr>
          <w:szCs w:val="24"/>
        </w:rPr>
        <w:tab/>
        <w:t xml:space="preserve">whereas IPD072Aa is a new protein, meaning that its use in agriculture and introduction into the food chain cannot fully rely on previously gained </w:t>
      </w:r>
      <w:proofErr w:type="gramStart"/>
      <w:r w:rsidRPr="00D4534F">
        <w:rPr>
          <w:szCs w:val="24"/>
        </w:rPr>
        <w:t>experience;</w:t>
      </w:r>
      <w:proofErr w:type="gramEnd"/>
    </w:p>
    <w:p w14:paraId="1DEC989B" w14:textId="77777777" w:rsidR="000109FC" w:rsidRPr="00D4534F" w:rsidRDefault="000109FC" w:rsidP="003121D2">
      <w:pPr>
        <w:pStyle w:val="NormalHanging12a"/>
        <w:widowControl/>
        <w:rPr>
          <w:szCs w:val="24"/>
        </w:rPr>
      </w:pPr>
      <w:r w:rsidRPr="00D4534F">
        <w:rPr>
          <w:szCs w:val="24"/>
        </w:rPr>
        <w:t>S.</w:t>
      </w:r>
      <w:r w:rsidRPr="00D4534F">
        <w:rPr>
          <w:szCs w:val="24"/>
        </w:rPr>
        <w:tab/>
        <w:t xml:space="preserve">whereas, despite differences, observed similarities between IPD072Aa and </w:t>
      </w:r>
      <w:proofErr w:type="spellStart"/>
      <w:r w:rsidRPr="00D4534F">
        <w:rPr>
          <w:szCs w:val="24"/>
        </w:rPr>
        <w:t>Bt</w:t>
      </w:r>
      <w:proofErr w:type="spellEnd"/>
      <w:r w:rsidRPr="00D4534F">
        <w:rPr>
          <w:szCs w:val="24"/>
        </w:rPr>
        <w:t xml:space="preserve"> toxins highlight the need for careful consideration in the risk assessment process; whereas several studies have indicated that </w:t>
      </w:r>
      <w:proofErr w:type="spellStart"/>
      <w:r w:rsidRPr="00D4534F">
        <w:rPr>
          <w:szCs w:val="24"/>
        </w:rPr>
        <w:t>Bt</w:t>
      </w:r>
      <w:proofErr w:type="spellEnd"/>
      <w:r w:rsidRPr="00D4534F">
        <w:rPr>
          <w:szCs w:val="24"/>
        </w:rPr>
        <w:t xml:space="preserve"> toxins may induce immune-related side effects, </w:t>
      </w:r>
      <w:r w:rsidRPr="00D4534F">
        <w:rPr>
          <w:szCs w:val="24"/>
        </w:rPr>
        <w:lastRenderedPageBreak/>
        <w:t>including potential adjuvant properties</w:t>
      </w:r>
      <w:r w:rsidRPr="00D4534F">
        <w:rPr>
          <w:rStyle w:val="FootnoteReference"/>
          <w:szCs w:val="24"/>
        </w:rPr>
        <w:footnoteReference w:id="11"/>
      </w:r>
      <w:r w:rsidRPr="00D4534F">
        <w:rPr>
          <w:szCs w:val="24"/>
        </w:rPr>
        <w:t xml:space="preserve">, meaning that they can increase the allergenicity of other proteins with which they come into </w:t>
      </w:r>
      <w:proofErr w:type="gramStart"/>
      <w:r w:rsidRPr="00D4534F">
        <w:rPr>
          <w:szCs w:val="24"/>
        </w:rPr>
        <w:t>contact;</w:t>
      </w:r>
      <w:proofErr w:type="gramEnd"/>
    </w:p>
    <w:p w14:paraId="18A74089" w14:textId="77777777" w:rsidR="000109FC" w:rsidRPr="00D4534F" w:rsidRDefault="000109FC" w:rsidP="003121D2">
      <w:pPr>
        <w:pStyle w:val="NormalHanging12a"/>
        <w:widowControl/>
        <w:rPr>
          <w:szCs w:val="24"/>
        </w:rPr>
      </w:pPr>
      <w:r w:rsidRPr="00D4534F">
        <w:rPr>
          <w:szCs w:val="24"/>
        </w:rPr>
        <w:t>T.</w:t>
      </w:r>
      <w:r w:rsidRPr="00D4534F">
        <w:rPr>
          <w:szCs w:val="24"/>
        </w:rPr>
        <w:tab/>
        <w:t xml:space="preserve">whereas a scientific study found that the toxicity of </w:t>
      </w:r>
      <w:proofErr w:type="spellStart"/>
      <w:r w:rsidRPr="00D4534F">
        <w:rPr>
          <w:szCs w:val="24"/>
        </w:rPr>
        <w:t>Bt</w:t>
      </w:r>
      <w:proofErr w:type="spellEnd"/>
      <w:r w:rsidRPr="00D4534F">
        <w:rPr>
          <w:szCs w:val="24"/>
        </w:rPr>
        <w:t xml:space="preserve"> toxins may also be increased through interaction with residues from spraying with herbicides, and that further studies are needed on the combinatorial effects of ‘stacked’ events (GM crops which have been modified to be herbicide-tolerant and to produce insecticides in the form of </w:t>
      </w:r>
      <w:proofErr w:type="spellStart"/>
      <w:r w:rsidRPr="00D4534F">
        <w:rPr>
          <w:szCs w:val="24"/>
        </w:rPr>
        <w:t>Bt</w:t>
      </w:r>
      <w:proofErr w:type="spellEnd"/>
      <w:r w:rsidRPr="00D4534F">
        <w:rPr>
          <w:szCs w:val="24"/>
        </w:rPr>
        <w:t xml:space="preserve"> toxins)</w:t>
      </w:r>
      <w:r w:rsidRPr="00D4534F">
        <w:rPr>
          <w:rStyle w:val="FootnoteReference"/>
          <w:szCs w:val="24"/>
        </w:rPr>
        <w:footnoteReference w:id="12"/>
      </w:r>
      <w:r w:rsidRPr="00D4534F">
        <w:rPr>
          <w:szCs w:val="24"/>
        </w:rPr>
        <w:t xml:space="preserve">; whereas assessment of the potential interaction of herbicide residues and their metabolites with </w:t>
      </w:r>
      <w:proofErr w:type="spellStart"/>
      <w:r w:rsidRPr="00D4534F">
        <w:rPr>
          <w:szCs w:val="24"/>
        </w:rPr>
        <w:t>Bt</w:t>
      </w:r>
      <w:proofErr w:type="spellEnd"/>
      <w:r w:rsidRPr="00D4534F">
        <w:rPr>
          <w:szCs w:val="24"/>
        </w:rPr>
        <w:t xml:space="preserve"> toxins is, however, considered to be outside the remit of the EFSA GMO Panel and is, therefore, not undertaken as part of the risk assessment;</w:t>
      </w:r>
    </w:p>
    <w:p w14:paraId="63639385" w14:textId="77777777" w:rsidR="000109FC" w:rsidRPr="00D4534F" w:rsidRDefault="000109FC" w:rsidP="003121D2">
      <w:pPr>
        <w:pStyle w:val="NormalHanging12a"/>
        <w:widowControl/>
        <w:rPr>
          <w:szCs w:val="24"/>
        </w:rPr>
      </w:pPr>
      <w:r w:rsidRPr="00D4534F">
        <w:rPr>
          <w:szCs w:val="24"/>
        </w:rPr>
        <w:t>U.</w:t>
      </w:r>
      <w:r w:rsidRPr="00D4534F">
        <w:rPr>
          <w:szCs w:val="24"/>
        </w:rPr>
        <w:tab/>
        <w:t xml:space="preserve">whereas the toxicity assessment of IPD072Aa does not consider potential synergistic or cumulative effects resulting from interactions with plant metabolites or herbicide </w:t>
      </w:r>
      <w:proofErr w:type="gramStart"/>
      <w:r w:rsidRPr="00D4534F">
        <w:rPr>
          <w:szCs w:val="24"/>
        </w:rPr>
        <w:t>residues;</w:t>
      </w:r>
      <w:proofErr w:type="gramEnd"/>
    </w:p>
    <w:p w14:paraId="7E1F47A7" w14:textId="77777777" w:rsidR="000109FC" w:rsidRPr="00D4534F" w:rsidRDefault="000109FC" w:rsidP="003121D2">
      <w:pPr>
        <w:pStyle w:val="NormalHanging12a"/>
        <w:widowControl/>
        <w:rPr>
          <w:szCs w:val="24"/>
        </w:rPr>
      </w:pPr>
      <w:r w:rsidRPr="00D4534F">
        <w:rPr>
          <w:szCs w:val="24"/>
        </w:rPr>
        <w:t>V.</w:t>
      </w:r>
      <w:r w:rsidRPr="00D4534F">
        <w:rPr>
          <w:szCs w:val="24"/>
        </w:rPr>
        <w:tab/>
        <w:t xml:space="preserve">whereas no data have been provided on the accumulation of IPD072Aa in food webs, its environmental dissemination, particularly via wastewater and manure into soil and aquatic ecosystems, or its effects on non-target </w:t>
      </w:r>
      <w:proofErr w:type="gramStart"/>
      <w:r w:rsidRPr="00D4534F">
        <w:rPr>
          <w:szCs w:val="24"/>
        </w:rPr>
        <w:t>organisms;</w:t>
      </w:r>
      <w:proofErr w:type="gramEnd"/>
    </w:p>
    <w:p w14:paraId="110CD8EB" w14:textId="77777777" w:rsidR="000109FC" w:rsidRPr="00D4534F" w:rsidRDefault="000109FC" w:rsidP="003121D2">
      <w:pPr>
        <w:pStyle w:val="NormalHanging12a"/>
        <w:widowControl/>
        <w:rPr>
          <w:szCs w:val="24"/>
        </w:rPr>
      </w:pPr>
      <w:r w:rsidRPr="00D4534F">
        <w:rPr>
          <w:szCs w:val="24"/>
        </w:rPr>
        <w:t>W.</w:t>
      </w:r>
      <w:r w:rsidRPr="00D4534F">
        <w:rPr>
          <w:szCs w:val="24"/>
        </w:rPr>
        <w:tab/>
        <w:t>whereas the potential for gene flow to wild relatives such as teosinte, reported in Spain and France, raises concerns regarding the persistence of the transgene in the environment and its possible ecological consequences</w:t>
      </w:r>
      <w:r w:rsidRPr="00D4534F">
        <w:rPr>
          <w:rStyle w:val="FootnoteReference"/>
          <w:szCs w:val="24"/>
        </w:rPr>
        <w:footnoteReference w:id="13"/>
      </w:r>
      <w:r w:rsidRPr="00D4534F">
        <w:rPr>
          <w:szCs w:val="24"/>
        </w:rPr>
        <w:t>;</w:t>
      </w:r>
    </w:p>
    <w:p w14:paraId="34EA5D9A" w14:textId="77777777" w:rsidR="000109FC" w:rsidRPr="00D4534F" w:rsidRDefault="000109FC" w:rsidP="003121D2">
      <w:pPr>
        <w:pStyle w:val="NormalHanging12a"/>
        <w:widowControl/>
        <w:rPr>
          <w:szCs w:val="24"/>
        </w:rPr>
      </w:pPr>
      <w:r w:rsidRPr="00D4534F">
        <w:rPr>
          <w:szCs w:val="24"/>
        </w:rPr>
        <w:t>X.</w:t>
      </w:r>
      <w:r w:rsidRPr="00D4534F">
        <w:rPr>
          <w:szCs w:val="24"/>
        </w:rPr>
        <w:tab/>
        <w:t xml:space="preserve">whereas the monitoring requirements laid down in Implementing Regulation (EU) No 503/2013 are insufficiently enforced, with no independent verification of the data submitted by Corteva Agriscience </w:t>
      </w:r>
      <w:proofErr w:type="gramStart"/>
      <w:r w:rsidRPr="00D4534F">
        <w:rPr>
          <w:szCs w:val="24"/>
        </w:rPr>
        <w:t>LLC;</w:t>
      </w:r>
      <w:proofErr w:type="gramEnd"/>
    </w:p>
    <w:p w14:paraId="1E15B98F" w14:textId="77777777" w:rsidR="000109FC" w:rsidRPr="00D4534F" w:rsidRDefault="000109FC" w:rsidP="003121D2">
      <w:pPr>
        <w:pStyle w:val="NormalHanging12a"/>
        <w:widowControl/>
        <w:rPr>
          <w:b/>
          <w:i/>
          <w:iCs/>
          <w:szCs w:val="24"/>
        </w:rPr>
      </w:pPr>
      <w:r w:rsidRPr="00D4534F">
        <w:rPr>
          <w:b/>
          <w:i/>
          <w:iCs/>
          <w:szCs w:val="24"/>
        </w:rPr>
        <w:t>Ensuring a global level playing field and upholding the Union’s international obligations</w:t>
      </w:r>
    </w:p>
    <w:p w14:paraId="427C69E8" w14:textId="4C3646E1" w:rsidR="000109FC" w:rsidRPr="00D4534F" w:rsidRDefault="000109FC" w:rsidP="003121D2">
      <w:pPr>
        <w:pStyle w:val="NormalHanging12a"/>
        <w:widowControl/>
        <w:rPr>
          <w:b/>
          <w:szCs w:val="24"/>
        </w:rPr>
      </w:pPr>
      <w:r w:rsidRPr="00D4534F">
        <w:rPr>
          <w:szCs w:val="24"/>
        </w:rPr>
        <w:t>Y.</w:t>
      </w:r>
      <w:r w:rsidRPr="00D4534F">
        <w:rPr>
          <w:b/>
          <w:szCs w:val="24"/>
        </w:rPr>
        <w:tab/>
      </w:r>
      <w:r w:rsidRPr="00D4534F">
        <w:rPr>
          <w:bCs/>
          <w:szCs w:val="24"/>
        </w:rPr>
        <w:t xml:space="preserve">whereas the cultivation of the GM maize is not permitted in the Union; whereas the adoption of </w:t>
      </w:r>
      <w:r w:rsidR="00D07733" w:rsidRPr="00D4534F">
        <w:rPr>
          <w:bCs/>
          <w:szCs w:val="24"/>
        </w:rPr>
        <w:t>Implementing D</w:t>
      </w:r>
      <w:r w:rsidRPr="00D4534F">
        <w:rPr>
          <w:bCs/>
          <w:szCs w:val="24"/>
        </w:rPr>
        <w:t>ecision</w:t>
      </w:r>
      <w:r w:rsidR="00D07733" w:rsidRPr="00D4534F">
        <w:rPr>
          <w:bCs/>
          <w:szCs w:val="24"/>
        </w:rPr>
        <w:t xml:space="preserve"> (EU) 2025/1898</w:t>
      </w:r>
      <w:r w:rsidRPr="00D4534F">
        <w:rPr>
          <w:bCs/>
          <w:szCs w:val="24"/>
        </w:rPr>
        <w:t xml:space="preserve"> allow</w:t>
      </w:r>
      <w:r w:rsidR="00D07733" w:rsidRPr="00D4534F">
        <w:rPr>
          <w:bCs/>
          <w:szCs w:val="24"/>
        </w:rPr>
        <w:t>s</w:t>
      </w:r>
      <w:r w:rsidRPr="00D4534F">
        <w:rPr>
          <w:bCs/>
          <w:szCs w:val="24"/>
        </w:rPr>
        <w:t xml:space="preserve"> imports into the Union that do not comply with the standards observed by Union farmers, thereby placing them at a competitive </w:t>
      </w:r>
      <w:proofErr w:type="gramStart"/>
      <w:r w:rsidRPr="00D4534F">
        <w:rPr>
          <w:bCs/>
          <w:szCs w:val="24"/>
        </w:rPr>
        <w:t>disadvantage;</w:t>
      </w:r>
      <w:proofErr w:type="gramEnd"/>
    </w:p>
    <w:p w14:paraId="39F7C3A5" w14:textId="77777777" w:rsidR="000109FC" w:rsidRPr="00D4534F" w:rsidRDefault="000109FC" w:rsidP="003121D2">
      <w:pPr>
        <w:pStyle w:val="NormalHanging12a"/>
        <w:widowControl/>
        <w:rPr>
          <w:b/>
          <w:szCs w:val="24"/>
        </w:rPr>
      </w:pPr>
      <w:r w:rsidRPr="00D4534F">
        <w:rPr>
          <w:szCs w:val="24"/>
        </w:rPr>
        <w:t>Z.</w:t>
      </w:r>
      <w:r w:rsidRPr="00D4534F">
        <w:rPr>
          <w:szCs w:val="24"/>
        </w:rPr>
        <w:tab/>
        <w:t>whereas the conclusions of the Strategic Dialogue on the Future of EU Agriculture</w:t>
      </w:r>
      <w:r w:rsidRPr="00D4534F">
        <w:rPr>
          <w:rStyle w:val="FootnoteReference"/>
          <w:szCs w:val="24"/>
        </w:rPr>
        <w:footnoteReference w:id="14"/>
      </w:r>
      <w:r w:rsidRPr="00D4534F">
        <w:rPr>
          <w:szCs w:val="24"/>
        </w:rPr>
        <w:t xml:space="preserve"> call on the Commission to reassess its approach on market access for agri-food imports and exports, given the challenge of diverging standards of the Union and its trading </w:t>
      </w:r>
      <w:r w:rsidRPr="00D4534F">
        <w:rPr>
          <w:szCs w:val="24"/>
        </w:rPr>
        <w:lastRenderedPageBreak/>
        <w:t>partners; whereas fairer trade relations, on a global level, consistent with goals for a healthy environment, were one of the main demands of farmers during the demonstrations of 2023 and 2024;</w:t>
      </w:r>
    </w:p>
    <w:p w14:paraId="71196D07" w14:textId="77777777" w:rsidR="000109FC" w:rsidRPr="00D4534F" w:rsidRDefault="000109FC" w:rsidP="003121D2">
      <w:pPr>
        <w:pStyle w:val="NormalHanging12a"/>
        <w:widowControl/>
        <w:rPr>
          <w:szCs w:val="24"/>
        </w:rPr>
      </w:pPr>
      <w:r w:rsidRPr="00D4534F">
        <w:rPr>
          <w:szCs w:val="24"/>
        </w:rPr>
        <w:t>AA.</w:t>
      </w:r>
      <w:r w:rsidRPr="00D4534F">
        <w:rPr>
          <w:szCs w:val="24"/>
        </w:rPr>
        <w:tab/>
        <w:t>whereas a 2017 report by the United Nations’ (UN) Special Rapporteur on the right to food found that, particularly in developing countries, hazardous pesticides have catastrophic impacts on health</w:t>
      </w:r>
      <w:r w:rsidRPr="00D4534F">
        <w:rPr>
          <w:rStyle w:val="FootnoteReference"/>
          <w:szCs w:val="24"/>
        </w:rPr>
        <w:footnoteReference w:id="15"/>
      </w:r>
      <w:r w:rsidRPr="00D4534F">
        <w:rPr>
          <w:szCs w:val="24"/>
        </w:rPr>
        <w:t>; whereas the UN Sustainable Development Goal (‘UN SDG’) Target 3.9 aims by 2030 to substantially reduce the number of deaths and illnesses from hazardous chemicals and air, water and soil pollution and contamination</w:t>
      </w:r>
      <w:r w:rsidRPr="00D4534F">
        <w:rPr>
          <w:rStyle w:val="FootnoteReference"/>
          <w:szCs w:val="24"/>
        </w:rPr>
        <w:footnoteReference w:id="16"/>
      </w:r>
      <w:r w:rsidRPr="00D4534F">
        <w:rPr>
          <w:szCs w:val="24"/>
        </w:rPr>
        <w:t>;</w:t>
      </w:r>
    </w:p>
    <w:p w14:paraId="77788872" w14:textId="77777777" w:rsidR="000109FC" w:rsidRPr="00D4534F" w:rsidRDefault="000109FC" w:rsidP="003121D2">
      <w:pPr>
        <w:pStyle w:val="NormalHanging12a"/>
        <w:widowControl/>
        <w:rPr>
          <w:szCs w:val="24"/>
        </w:rPr>
      </w:pPr>
      <w:r w:rsidRPr="00D4534F">
        <w:rPr>
          <w:szCs w:val="24"/>
        </w:rPr>
        <w:t>AB.</w:t>
      </w:r>
      <w:r w:rsidRPr="00D4534F">
        <w:rPr>
          <w:szCs w:val="24"/>
        </w:rPr>
        <w:tab/>
        <w:t>whereas the Kunming-Montreal Global Biodiversity Framework, agreed at the COP15 of the UN Convention on Biological Diversity (‘UN CBD’) in December 2022, includes a global target to reduce the risk of pesticides by at least 50 % by 2030</w:t>
      </w:r>
      <w:r w:rsidRPr="00D4534F">
        <w:rPr>
          <w:rStyle w:val="FootnoteReference"/>
          <w:szCs w:val="24"/>
        </w:rPr>
        <w:footnoteReference w:id="17"/>
      </w:r>
      <w:r w:rsidRPr="00D4534F">
        <w:rPr>
          <w:szCs w:val="24"/>
        </w:rPr>
        <w:t>;</w:t>
      </w:r>
    </w:p>
    <w:p w14:paraId="6617749F" w14:textId="77777777" w:rsidR="000109FC" w:rsidRPr="00D4534F" w:rsidRDefault="000109FC" w:rsidP="003121D2">
      <w:pPr>
        <w:pStyle w:val="NormalHanging12a"/>
        <w:widowControl/>
        <w:rPr>
          <w:szCs w:val="24"/>
        </w:rPr>
      </w:pPr>
      <w:r w:rsidRPr="00D4534F">
        <w:rPr>
          <w:szCs w:val="24"/>
        </w:rPr>
        <w:t>AC.</w:t>
      </w:r>
      <w:r w:rsidRPr="00D4534F">
        <w:rPr>
          <w:szCs w:val="24"/>
        </w:rPr>
        <w:tab/>
        <w:t xml:space="preserve">whereas Regulation (EC) No 1829/2003 states that GM food or feed must not have adverse effects on human health, animal health or the environment, and requires the Commission to take into account any relevant provisions of Union law and other legitimate factors relevant to the matter under consideration when drafting its </w:t>
      </w:r>
      <w:proofErr w:type="gramStart"/>
      <w:r w:rsidRPr="00D4534F">
        <w:rPr>
          <w:szCs w:val="24"/>
        </w:rPr>
        <w:t>decision;</w:t>
      </w:r>
      <w:proofErr w:type="gramEnd"/>
      <w:r w:rsidRPr="00D4534F">
        <w:rPr>
          <w:szCs w:val="24"/>
        </w:rPr>
        <w:t xml:space="preserve"> whereas such legitimate factors should include the Union’s obligations under the UN SDGs and the UN CBD;</w:t>
      </w:r>
    </w:p>
    <w:p w14:paraId="2CE1F7AA" w14:textId="77777777" w:rsidR="000109FC" w:rsidRPr="00D4534F" w:rsidRDefault="000109FC" w:rsidP="003121D2">
      <w:pPr>
        <w:pStyle w:val="NormalHanging12a"/>
        <w:widowControl/>
        <w:rPr>
          <w:b/>
          <w:i/>
          <w:iCs/>
          <w:szCs w:val="24"/>
        </w:rPr>
      </w:pPr>
      <w:r w:rsidRPr="00D4534F">
        <w:rPr>
          <w:b/>
          <w:i/>
          <w:iCs/>
          <w:szCs w:val="24"/>
        </w:rPr>
        <w:t>Reducing dependency on imported feed</w:t>
      </w:r>
    </w:p>
    <w:p w14:paraId="73E710EB" w14:textId="77777777" w:rsidR="000109FC" w:rsidRPr="00D4534F" w:rsidRDefault="000109FC" w:rsidP="003121D2">
      <w:pPr>
        <w:pStyle w:val="NormalHanging12a"/>
        <w:widowControl/>
        <w:rPr>
          <w:szCs w:val="24"/>
        </w:rPr>
      </w:pPr>
      <w:r w:rsidRPr="00D4534F">
        <w:rPr>
          <w:szCs w:val="24"/>
        </w:rPr>
        <w:t>AD.</w:t>
      </w:r>
      <w:r w:rsidRPr="00D4534F">
        <w:rPr>
          <w:szCs w:val="24"/>
        </w:rPr>
        <w:tab/>
        <w:t xml:space="preserve">whereas one of the lessons from the COVID-19 crisis and the still ongoing war in Ukraine is the need for the Union to end the dependencies on some critical </w:t>
      </w:r>
      <w:proofErr w:type="gramStart"/>
      <w:r w:rsidRPr="00D4534F">
        <w:rPr>
          <w:szCs w:val="24"/>
        </w:rPr>
        <w:t>materials;</w:t>
      </w:r>
      <w:proofErr w:type="gramEnd"/>
      <w:r w:rsidRPr="00D4534F">
        <w:rPr>
          <w:szCs w:val="24"/>
        </w:rPr>
        <w:t xml:space="preserve"> whereas in the mission letter to Commissioner Christophe Hansen, Commission President Ursula von der Leyen asked him to look at ways to reduce imports of critical commodities</w:t>
      </w:r>
      <w:r w:rsidRPr="00D4534F">
        <w:rPr>
          <w:rStyle w:val="FootnoteReference"/>
          <w:szCs w:val="24"/>
        </w:rPr>
        <w:footnoteReference w:id="18"/>
      </w:r>
      <w:r w:rsidRPr="00D4534F">
        <w:rPr>
          <w:szCs w:val="24"/>
        </w:rPr>
        <w:t>;</w:t>
      </w:r>
    </w:p>
    <w:p w14:paraId="0280F140" w14:textId="77777777" w:rsidR="000109FC" w:rsidRPr="00D4534F" w:rsidRDefault="000109FC" w:rsidP="003121D2">
      <w:pPr>
        <w:pStyle w:val="NormalHanging12a"/>
        <w:widowControl/>
        <w:rPr>
          <w:b/>
          <w:i/>
          <w:iCs/>
          <w:szCs w:val="24"/>
        </w:rPr>
      </w:pPr>
      <w:r w:rsidRPr="00D4534F">
        <w:rPr>
          <w:b/>
          <w:i/>
          <w:iCs/>
          <w:szCs w:val="24"/>
        </w:rPr>
        <w:t>Undemocratic decision-making</w:t>
      </w:r>
    </w:p>
    <w:p w14:paraId="27B3CAB1" w14:textId="77777777" w:rsidR="000109FC" w:rsidRPr="00D4534F" w:rsidRDefault="000109FC" w:rsidP="003121D2">
      <w:pPr>
        <w:pStyle w:val="NormalHanging12a"/>
        <w:widowControl/>
        <w:rPr>
          <w:szCs w:val="24"/>
        </w:rPr>
      </w:pPr>
      <w:r w:rsidRPr="00D4534F">
        <w:rPr>
          <w:szCs w:val="24"/>
        </w:rPr>
        <w:t>AE.</w:t>
      </w:r>
      <w:r w:rsidRPr="00D4534F">
        <w:rPr>
          <w:szCs w:val="24"/>
        </w:rPr>
        <w:tab/>
        <w:t>whereas, in its eighth term, Parliament adopted a total of 36 resolutions objecting to the placing on the market of GMOs for food and feed (33 resolutions) and to the cultivation of GMOs in the Union (three resolutions); whereas, in its ninth term, Parliament adopted 38 resolutions objecting to placing GMOs on the market and has adopted another 11 resolutions objecting to placing GMOs on the market already in the current 10th term;</w:t>
      </w:r>
    </w:p>
    <w:p w14:paraId="3773A2BF" w14:textId="77777777" w:rsidR="000109FC" w:rsidRPr="00D4534F" w:rsidRDefault="000109FC" w:rsidP="003121D2">
      <w:pPr>
        <w:pStyle w:val="NormalHanging12a"/>
        <w:widowControl/>
        <w:rPr>
          <w:szCs w:val="24"/>
        </w:rPr>
      </w:pPr>
      <w:r w:rsidRPr="00D4534F">
        <w:rPr>
          <w:szCs w:val="24"/>
        </w:rPr>
        <w:t>AF.</w:t>
      </w:r>
      <w:r w:rsidRPr="00D4534F">
        <w:rPr>
          <w:szCs w:val="24"/>
        </w:rPr>
        <w:tab/>
        <w:t xml:space="preserve">whereas despite its own acknowledgement of the democratic shortcomings, the lack of support from Member States and the objections of Parliament, the Commission continues to authorise </w:t>
      </w:r>
      <w:proofErr w:type="gramStart"/>
      <w:r w:rsidRPr="00D4534F">
        <w:rPr>
          <w:szCs w:val="24"/>
        </w:rPr>
        <w:t>GMOs;</w:t>
      </w:r>
      <w:proofErr w:type="gramEnd"/>
    </w:p>
    <w:p w14:paraId="6A375DF0" w14:textId="77777777" w:rsidR="000109FC" w:rsidRPr="00D4534F" w:rsidRDefault="000109FC" w:rsidP="003121D2">
      <w:pPr>
        <w:pStyle w:val="NormalHanging12a"/>
        <w:widowControl/>
        <w:rPr>
          <w:szCs w:val="24"/>
        </w:rPr>
      </w:pPr>
      <w:r w:rsidRPr="00D4534F">
        <w:rPr>
          <w:szCs w:val="24"/>
        </w:rPr>
        <w:lastRenderedPageBreak/>
        <w:t>AG.</w:t>
      </w:r>
      <w:r w:rsidRPr="00D4534F">
        <w:rPr>
          <w:szCs w:val="24"/>
        </w:rPr>
        <w:tab/>
        <w:t>whereas no change of law is required for the Commission to be able not to authorise GMOs when there is no qualified majority of Member States in favour in the Appeal Committee</w:t>
      </w:r>
      <w:r w:rsidRPr="00D4534F">
        <w:rPr>
          <w:rStyle w:val="FootnoteReference"/>
          <w:szCs w:val="24"/>
        </w:rPr>
        <w:footnoteReference w:id="19"/>
      </w:r>
      <w:r w:rsidRPr="00D4534F">
        <w:rPr>
          <w:szCs w:val="24"/>
        </w:rPr>
        <w:t>;</w:t>
      </w:r>
    </w:p>
    <w:p w14:paraId="691BB73F" w14:textId="330E8821" w:rsidR="000109FC" w:rsidRPr="00D4534F" w:rsidRDefault="000109FC" w:rsidP="003121D2">
      <w:pPr>
        <w:pStyle w:val="NormalHanging12a"/>
        <w:widowControl/>
        <w:rPr>
          <w:szCs w:val="24"/>
        </w:rPr>
      </w:pPr>
      <w:r w:rsidRPr="00D4534F">
        <w:rPr>
          <w:szCs w:val="24"/>
        </w:rPr>
        <w:t>AH.</w:t>
      </w:r>
      <w:r w:rsidRPr="00D4534F">
        <w:rPr>
          <w:szCs w:val="24"/>
        </w:rPr>
        <w:tab/>
        <w:t>whereas the vote on 13</w:t>
      </w:r>
      <w:r w:rsidR="003121D2" w:rsidRPr="00D4534F">
        <w:rPr>
          <w:szCs w:val="24"/>
        </w:rPr>
        <w:t> </w:t>
      </w:r>
      <w:r w:rsidRPr="00D4534F">
        <w:rPr>
          <w:szCs w:val="24"/>
        </w:rPr>
        <w:t>June</w:t>
      </w:r>
      <w:r w:rsidR="003121D2" w:rsidRPr="00D4534F">
        <w:rPr>
          <w:szCs w:val="24"/>
        </w:rPr>
        <w:t> </w:t>
      </w:r>
      <w:r w:rsidRPr="00D4534F">
        <w:rPr>
          <w:szCs w:val="24"/>
        </w:rPr>
        <w:t>2025 of the Standing Committee on Plants, Animals, Food and Feed referred to in Article 35 of Regulation (EC) No 1829/2003 delivered no opinion, meaning that the authorisation was not supported by a qualified majority of Member States</w:t>
      </w:r>
      <w:r w:rsidRPr="00D4534F">
        <w:rPr>
          <w:rStyle w:val="FootnoteReference"/>
          <w:szCs w:val="24"/>
        </w:rPr>
        <w:footnoteReference w:id="20"/>
      </w:r>
      <w:r w:rsidRPr="00D4534F">
        <w:rPr>
          <w:szCs w:val="24"/>
        </w:rPr>
        <w:t xml:space="preserve">; </w:t>
      </w:r>
      <w:r w:rsidRPr="00D4534F">
        <w:rPr>
          <w:szCs w:val="24"/>
          <w:shd w:val="clear" w:color="auto" w:fill="FFFFFF"/>
        </w:rPr>
        <w:t>whereas the vote on 15</w:t>
      </w:r>
      <w:r w:rsidR="003121D2" w:rsidRPr="00D4534F">
        <w:rPr>
          <w:szCs w:val="24"/>
        </w:rPr>
        <w:t> </w:t>
      </w:r>
      <w:r w:rsidRPr="00D4534F">
        <w:rPr>
          <w:szCs w:val="24"/>
          <w:shd w:val="clear" w:color="auto" w:fill="FFFFFF"/>
        </w:rPr>
        <w:t>July</w:t>
      </w:r>
      <w:r w:rsidR="003121D2" w:rsidRPr="00D4534F">
        <w:rPr>
          <w:szCs w:val="24"/>
        </w:rPr>
        <w:t> </w:t>
      </w:r>
      <w:r w:rsidRPr="00D4534F">
        <w:rPr>
          <w:szCs w:val="24"/>
          <w:shd w:val="clear" w:color="auto" w:fill="FFFFFF"/>
        </w:rPr>
        <w:t xml:space="preserve">2025 of the Appeal Committee again delivered no </w:t>
      </w:r>
      <w:proofErr w:type="gramStart"/>
      <w:r w:rsidRPr="00D4534F">
        <w:rPr>
          <w:szCs w:val="24"/>
          <w:shd w:val="clear" w:color="auto" w:fill="FFFFFF"/>
        </w:rPr>
        <w:t>opinion;</w:t>
      </w:r>
      <w:proofErr w:type="gramEnd"/>
    </w:p>
    <w:p w14:paraId="6751DDC7" w14:textId="34422364" w:rsidR="000109FC" w:rsidRPr="00D4534F" w:rsidRDefault="000109FC" w:rsidP="003121D2">
      <w:pPr>
        <w:pStyle w:val="NormalBold"/>
        <w:widowControl/>
        <w:spacing w:after="240"/>
        <w:ind w:left="567" w:hanging="567"/>
        <w:rPr>
          <w:b w:val="0"/>
          <w:szCs w:val="24"/>
        </w:rPr>
      </w:pPr>
      <w:r w:rsidRPr="00D4534F">
        <w:rPr>
          <w:b w:val="0"/>
          <w:szCs w:val="24"/>
        </w:rPr>
        <w:t>1.</w:t>
      </w:r>
      <w:r w:rsidRPr="00D4534F">
        <w:rPr>
          <w:b w:val="0"/>
          <w:szCs w:val="24"/>
        </w:rPr>
        <w:tab/>
        <w:t xml:space="preserve">Considers that </w:t>
      </w:r>
      <w:r w:rsidR="00343BEA" w:rsidRPr="00D4534F">
        <w:rPr>
          <w:b w:val="0"/>
          <w:szCs w:val="24"/>
        </w:rPr>
        <w:t>I</w:t>
      </w:r>
      <w:r w:rsidRPr="00D4534F">
        <w:rPr>
          <w:b w:val="0"/>
          <w:szCs w:val="24"/>
        </w:rPr>
        <w:t xml:space="preserve">mplementing </w:t>
      </w:r>
      <w:r w:rsidR="00343BEA" w:rsidRPr="00D4534F">
        <w:rPr>
          <w:b w:val="0"/>
          <w:szCs w:val="24"/>
        </w:rPr>
        <w:t>D</w:t>
      </w:r>
      <w:r w:rsidRPr="00D4534F">
        <w:rPr>
          <w:b w:val="0"/>
          <w:szCs w:val="24"/>
        </w:rPr>
        <w:t xml:space="preserve">ecision </w:t>
      </w:r>
      <w:r w:rsidR="00D07422" w:rsidRPr="00D4534F">
        <w:rPr>
          <w:b w:val="0"/>
          <w:szCs w:val="24"/>
        </w:rPr>
        <w:t xml:space="preserve">(EU) 2025/1898 </w:t>
      </w:r>
      <w:r w:rsidRPr="00D4534F">
        <w:rPr>
          <w:b w:val="0"/>
          <w:szCs w:val="24"/>
        </w:rPr>
        <w:t>exceeds the implementing powers provided for in Regulation (EC) No </w:t>
      </w:r>
      <w:proofErr w:type="gramStart"/>
      <w:r w:rsidRPr="00D4534F">
        <w:rPr>
          <w:b w:val="0"/>
          <w:szCs w:val="24"/>
        </w:rPr>
        <w:t>1829/2003;</w:t>
      </w:r>
      <w:proofErr w:type="gramEnd"/>
    </w:p>
    <w:p w14:paraId="4AB5F8BA" w14:textId="12870C6A" w:rsidR="000109FC" w:rsidRPr="00D4534F" w:rsidRDefault="000109FC" w:rsidP="003121D2">
      <w:pPr>
        <w:pStyle w:val="NormalBold"/>
        <w:widowControl/>
        <w:spacing w:after="240"/>
        <w:ind w:left="567" w:hanging="567"/>
        <w:rPr>
          <w:b w:val="0"/>
          <w:szCs w:val="24"/>
        </w:rPr>
      </w:pPr>
      <w:r w:rsidRPr="00D4534F">
        <w:rPr>
          <w:b w:val="0"/>
          <w:szCs w:val="24"/>
        </w:rPr>
        <w:t>2.</w:t>
      </w:r>
      <w:r w:rsidRPr="00D4534F">
        <w:rPr>
          <w:b w:val="0"/>
          <w:szCs w:val="24"/>
        </w:rPr>
        <w:tab/>
        <w:t xml:space="preserve">Considers that </w:t>
      </w:r>
      <w:r w:rsidR="00343BEA" w:rsidRPr="00D4534F">
        <w:rPr>
          <w:b w:val="0"/>
          <w:szCs w:val="24"/>
        </w:rPr>
        <w:t>I</w:t>
      </w:r>
      <w:r w:rsidRPr="00D4534F">
        <w:rPr>
          <w:b w:val="0"/>
          <w:szCs w:val="24"/>
        </w:rPr>
        <w:t xml:space="preserve">mplementing </w:t>
      </w:r>
      <w:r w:rsidR="00343BEA" w:rsidRPr="00D4534F">
        <w:rPr>
          <w:b w:val="0"/>
          <w:szCs w:val="24"/>
        </w:rPr>
        <w:t>D</w:t>
      </w:r>
      <w:r w:rsidRPr="00D4534F">
        <w:rPr>
          <w:b w:val="0"/>
          <w:szCs w:val="24"/>
        </w:rPr>
        <w:t>ecision</w:t>
      </w:r>
      <w:r w:rsidR="00D07422" w:rsidRPr="00D4534F">
        <w:rPr>
          <w:b w:val="0"/>
          <w:szCs w:val="24"/>
        </w:rPr>
        <w:t xml:space="preserve"> (EU) 2025/1898</w:t>
      </w:r>
      <w:r w:rsidRPr="00D4534F">
        <w:rPr>
          <w:b w:val="0"/>
          <w:szCs w:val="24"/>
        </w:rPr>
        <w:t xml:space="preserve"> is not consistent with Union law, in that it is not compatible with the aim of Regulation (EC) No 1829/2003, which is, in accordance with the general principles laid down in Regulation (EC)</w:t>
      </w:r>
      <w:r w:rsidR="003121D2" w:rsidRPr="00D4534F">
        <w:rPr>
          <w:szCs w:val="24"/>
        </w:rPr>
        <w:t> </w:t>
      </w:r>
      <w:r w:rsidRPr="00D4534F">
        <w:rPr>
          <w:b w:val="0"/>
          <w:szCs w:val="24"/>
        </w:rPr>
        <w:t>No 178/2002 of the European Parliament and of the Council</w:t>
      </w:r>
      <w:r w:rsidRPr="00D4534F">
        <w:rPr>
          <w:rStyle w:val="FootnoteReference"/>
          <w:b w:val="0"/>
          <w:szCs w:val="24"/>
        </w:rPr>
        <w:footnoteReference w:id="21"/>
      </w:r>
      <w:r w:rsidRPr="00D4534F">
        <w:rPr>
          <w:b w:val="0"/>
          <w:szCs w:val="24"/>
        </w:rPr>
        <w:t>, to provide the basis for ensuring a high level of protection of human life and health, animal health and welfare, and environmental and consumer interests, in relation to GM food and feed, while ensuring the effective functioning of the internal market;</w:t>
      </w:r>
    </w:p>
    <w:p w14:paraId="4213E4D1" w14:textId="60D5A421" w:rsidR="000109FC" w:rsidRPr="00D4534F" w:rsidRDefault="000109FC" w:rsidP="003121D2">
      <w:pPr>
        <w:pStyle w:val="NormalBold"/>
        <w:widowControl/>
        <w:spacing w:after="240"/>
        <w:ind w:left="567" w:hanging="567"/>
        <w:rPr>
          <w:b w:val="0"/>
          <w:szCs w:val="24"/>
        </w:rPr>
      </w:pPr>
      <w:r w:rsidRPr="00D4534F">
        <w:rPr>
          <w:b w:val="0"/>
          <w:szCs w:val="24"/>
        </w:rPr>
        <w:t>3.</w:t>
      </w:r>
      <w:r w:rsidRPr="00D4534F">
        <w:rPr>
          <w:b w:val="0"/>
          <w:szCs w:val="24"/>
        </w:rPr>
        <w:tab/>
        <w:t xml:space="preserve">Calls on the Commission to </w:t>
      </w:r>
      <w:r w:rsidR="00343BEA" w:rsidRPr="00D4534F">
        <w:rPr>
          <w:b w:val="0"/>
          <w:szCs w:val="24"/>
        </w:rPr>
        <w:t>repeal I</w:t>
      </w:r>
      <w:r w:rsidRPr="00D4534F">
        <w:rPr>
          <w:b w:val="0"/>
          <w:szCs w:val="24"/>
        </w:rPr>
        <w:t xml:space="preserve">mplementing </w:t>
      </w:r>
      <w:r w:rsidR="00343BEA" w:rsidRPr="00D4534F">
        <w:rPr>
          <w:b w:val="0"/>
          <w:szCs w:val="24"/>
        </w:rPr>
        <w:t>D</w:t>
      </w:r>
      <w:r w:rsidRPr="00D4534F">
        <w:rPr>
          <w:b w:val="0"/>
          <w:szCs w:val="24"/>
        </w:rPr>
        <w:t xml:space="preserve">ecision </w:t>
      </w:r>
      <w:r w:rsidR="00D07422" w:rsidRPr="00D4534F">
        <w:rPr>
          <w:b w:val="0"/>
          <w:szCs w:val="24"/>
        </w:rPr>
        <w:t xml:space="preserve">(EU) 2025/1898 </w:t>
      </w:r>
      <w:r w:rsidRPr="00D4534F">
        <w:rPr>
          <w:b w:val="0"/>
          <w:szCs w:val="24"/>
        </w:rPr>
        <w:t xml:space="preserve">and to submit a new draft to the </w:t>
      </w:r>
      <w:proofErr w:type="gramStart"/>
      <w:r w:rsidRPr="00D4534F">
        <w:rPr>
          <w:b w:val="0"/>
          <w:szCs w:val="24"/>
        </w:rPr>
        <w:t>committee;</w:t>
      </w:r>
      <w:proofErr w:type="gramEnd"/>
    </w:p>
    <w:p w14:paraId="103DF953" w14:textId="77777777" w:rsidR="000109FC" w:rsidRPr="00D4534F" w:rsidRDefault="000109FC" w:rsidP="003121D2">
      <w:pPr>
        <w:pStyle w:val="NormalBold"/>
        <w:widowControl/>
        <w:spacing w:after="240"/>
        <w:ind w:left="567" w:hanging="567"/>
        <w:rPr>
          <w:b w:val="0"/>
          <w:szCs w:val="24"/>
        </w:rPr>
      </w:pPr>
      <w:r w:rsidRPr="00D4534F">
        <w:rPr>
          <w:b w:val="0"/>
          <w:szCs w:val="24"/>
        </w:rPr>
        <w:t>4.</w:t>
      </w:r>
      <w:r w:rsidRPr="00D4534F">
        <w:rPr>
          <w:b w:val="0"/>
          <w:szCs w:val="24"/>
        </w:rPr>
        <w:tab/>
        <w:t xml:space="preserve">Calls on the Commission to ensure convergence of standards between the Union and its partners in free trade agreement negotiations, in order to meet Union safety </w:t>
      </w:r>
      <w:proofErr w:type="gramStart"/>
      <w:r w:rsidRPr="00D4534F">
        <w:rPr>
          <w:b w:val="0"/>
          <w:szCs w:val="24"/>
        </w:rPr>
        <w:t>standards;</w:t>
      </w:r>
      <w:proofErr w:type="gramEnd"/>
    </w:p>
    <w:p w14:paraId="34929EFF" w14:textId="77777777" w:rsidR="000109FC" w:rsidRPr="00D4534F" w:rsidRDefault="000109FC" w:rsidP="003121D2">
      <w:pPr>
        <w:pStyle w:val="NormalBold"/>
        <w:widowControl/>
        <w:spacing w:after="240"/>
        <w:ind w:left="567" w:hanging="567"/>
        <w:rPr>
          <w:b w:val="0"/>
          <w:szCs w:val="24"/>
        </w:rPr>
      </w:pPr>
      <w:r w:rsidRPr="00D4534F">
        <w:rPr>
          <w:b w:val="0"/>
          <w:szCs w:val="24"/>
        </w:rPr>
        <w:t>5.</w:t>
      </w:r>
      <w:r w:rsidRPr="00D4534F">
        <w:rPr>
          <w:b w:val="0"/>
          <w:szCs w:val="24"/>
        </w:rPr>
        <w:tab/>
        <w:t xml:space="preserve">Calls on the Commission not to authorise the GM maize due to the increased risks to biodiversity, food safety and workers’ health in line with the One Health </w:t>
      </w:r>
      <w:proofErr w:type="gramStart"/>
      <w:r w:rsidRPr="00D4534F">
        <w:rPr>
          <w:b w:val="0"/>
          <w:szCs w:val="24"/>
        </w:rPr>
        <w:t>approach;</w:t>
      </w:r>
      <w:proofErr w:type="gramEnd"/>
    </w:p>
    <w:p w14:paraId="77EA7F2A" w14:textId="77777777" w:rsidR="000109FC" w:rsidRPr="00D4534F" w:rsidRDefault="000109FC" w:rsidP="003121D2">
      <w:pPr>
        <w:pStyle w:val="NormalBold"/>
        <w:widowControl/>
        <w:spacing w:after="240"/>
        <w:ind w:left="567" w:hanging="567"/>
        <w:rPr>
          <w:b w:val="0"/>
          <w:szCs w:val="24"/>
        </w:rPr>
      </w:pPr>
      <w:r w:rsidRPr="00D4534F">
        <w:rPr>
          <w:b w:val="0"/>
          <w:szCs w:val="24"/>
        </w:rPr>
        <w:t>6.</w:t>
      </w:r>
      <w:r w:rsidRPr="00D4534F">
        <w:rPr>
          <w:b w:val="0"/>
          <w:szCs w:val="24"/>
        </w:rPr>
        <w:tab/>
        <w:t>Expects the Commission, as matter of urgency, to deliver on its commitment</w:t>
      </w:r>
      <w:r w:rsidRPr="00D4534F">
        <w:rPr>
          <w:rStyle w:val="FootnoteReference"/>
          <w:b w:val="0"/>
          <w:szCs w:val="24"/>
        </w:rPr>
        <w:footnoteReference w:id="22"/>
      </w:r>
      <w:r w:rsidRPr="00D4534F">
        <w:rPr>
          <w:b w:val="0"/>
          <w:szCs w:val="24"/>
        </w:rPr>
        <w:t xml:space="preserve"> to come forward with a proposal to ensure that hazardous chemicals banned in the Union are not produced for </w:t>
      </w:r>
      <w:proofErr w:type="gramStart"/>
      <w:r w:rsidRPr="00D4534F">
        <w:rPr>
          <w:b w:val="0"/>
          <w:szCs w:val="24"/>
        </w:rPr>
        <w:t>export;</w:t>
      </w:r>
      <w:proofErr w:type="gramEnd"/>
    </w:p>
    <w:p w14:paraId="7A1D68FD" w14:textId="77777777" w:rsidR="000109FC" w:rsidRPr="00D4534F" w:rsidRDefault="000109FC" w:rsidP="003121D2">
      <w:pPr>
        <w:pStyle w:val="NormalBold"/>
        <w:widowControl/>
        <w:spacing w:after="240"/>
        <w:ind w:left="567" w:hanging="567"/>
        <w:rPr>
          <w:b w:val="0"/>
          <w:szCs w:val="24"/>
        </w:rPr>
      </w:pPr>
      <w:r w:rsidRPr="00D4534F">
        <w:rPr>
          <w:b w:val="0"/>
          <w:szCs w:val="24"/>
        </w:rPr>
        <w:t>7.</w:t>
      </w:r>
      <w:r w:rsidRPr="00D4534F">
        <w:rPr>
          <w:b w:val="0"/>
          <w:szCs w:val="24"/>
        </w:rPr>
        <w:tab/>
        <w:t>Welcomes the fact that the Commission finally recognised, in a letter of 11 September 2020 to Members, the need to take sustainability into account when it comes to authorisation decisions on GMOs</w:t>
      </w:r>
      <w:r w:rsidRPr="00D4534F">
        <w:rPr>
          <w:rStyle w:val="FootnoteReference"/>
          <w:b w:val="0"/>
          <w:szCs w:val="24"/>
        </w:rPr>
        <w:footnoteReference w:id="23"/>
      </w:r>
      <w:r w:rsidRPr="00D4534F">
        <w:rPr>
          <w:b w:val="0"/>
          <w:szCs w:val="24"/>
        </w:rPr>
        <w:t xml:space="preserve">; expresses its deep disappointment, however, that, </w:t>
      </w:r>
      <w:r w:rsidRPr="00D4534F">
        <w:rPr>
          <w:b w:val="0"/>
          <w:szCs w:val="24"/>
        </w:rPr>
        <w:lastRenderedPageBreak/>
        <w:t xml:space="preserve">since then the Commission has continued to authorise GMOs for import into the Union, despite ongoing objections by Parliament and a majority of Member States voting </w:t>
      </w:r>
      <w:proofErr w:type="gramStart"/>
      <w:r w:rsidRPr="00D4534F">
        <w:rPr>
          <w:b w:val="0"/>
          <w:szCs w:val="24"/>
        </w:rPr>
        <w:t>against;</w:t>
      </w:r>
      <w:proofErr w:type="gramEnd"/>
    </w:p>
    <w:p w14:paraId="5551A021" w14:textId="77777777" w:rsidR="000109FC" w:rsidRPr="00D4534F" w:rsidRDefault="000109FC" w:rsidP="003121D2">
      <w:pPr>
        <w:pStyle w:val="NormalBold"/>
        <w:widowControl/>
        <w:spacing w:after="240"/>
        <w:ind w:left="567" w:hanging="567"/>
        <w:rPr>
          <w:b w:val="0"/>
          <w:szCs w:val="24"/>
        </w:rPr>
      </w:pPr>
      <w:r w:rsidRPr="00D4534F">
        <w:rPr>
          <w:b w:val="0"/>
          <w:szCs w:val="24"/>
        </w:rPr>
        <w:t>8.</w:t>
      </w:r>
      <w:r w:rsidRPr="00D4534F">
        <w:rPr>
          <w:b w:val="0"/>
          <w:szCs w:val="24"/>
        </w:rPr>
        <w:tab/>
        <w:t xml:space="preserve">Urges the Commission, again, to </w:t>
      </w:r>
      <w:proofErr w:type="gramStart"/>
      <w:r w:rsidRPr="00D4534F">
        <w:rPr>
          <w:b w:val="0"/>
          <w:szCs w:val="24"/>
        </w:rPr>
        <w:t>take into account</w:t>
      </w:r>
      <w:proofErr w:type="gramEnd"/>
      <w:r w:rsidRPr="00D4534F">
        <w:rPr>
          <w:b w:val="0"/>
          <w:szCs w:val="24"/>
        </w:rPr>
        <w:t xml:space="preserve"> the Union’s obligations under international agreements, such as the Paris Climate Agreement, the UN CBD and the UN SDGs; reiterates its call for draft implementing acts to be accompanied by an explanatory memorandum explaining how they uphold the principle of ‘do no harm’</w:t>
      </w:r>
      <w:r w:rsidRPr="00D4534F">
        <w:rPr>
          <w:rStyle w:val="FootnoteReference"/>
          <w:b w:val="0"/>
          <w:szCs w:val="24"/>
        </w:rPr>
        <w:footnoteReference w:id="24"/>
      </w:r>
      <w:r w:rsidRPr="00D4534F">
        <w:rPr>
          <w:b w:val="0"/>
          <w:szCs w:val="24"/>
        </w:rPr>
        <w:t>;</w:t>
      </w:r>
    </w:p>
    <w:p w14:paraId="3778F352" w14:textId="38371793" w:rsidR="002358F7" w:rsidRPr="002358F7" w:rsidRDefault="000109FC" w:rsidP="003121D2">
      <w:pPr>
        <w:pStyle w:val="NormalBold"/>
        <w:widowControl/>
        <w:spacing w:after="240"/>
        <w:ind w:left="567" w:hanging="567"/>
      </w:pPr>
      <w:r w:rsidRPr="00D4534F">
        <w:rPr>
          <w:b w:val="0"/>
          <w:szCs w:val="24"/>
        </w:rPr>
        <w:t>9.</w:t>
      </w:r>
      <w:r w:rsidRPr="00D4534F">
        <w:rPr>
          <w:b w:val="0"/>
          <w:szCs w:val="24"/>
        </w:rPr>
        <w:tab/>
        <w:t>Instructs its President to forward this resolution to the Council and the Commission, and to the governments and parliaments of the Member States.</w:t>
      </w:r>
    </w:p>
    <w:p w14:paraId="2355C804" w14:textId="1F3B3BE4" w:rsidR="00E365E1" w:rsidRPr="002358F7" w:rsidRDefault="00E365E1" w:rsidP="003121D2">
      <w:pPr>
        <w:widowControl/>
        <w:spacing w:after="240"/>
        <w:ind w:left="567" w:hanging="567"/>
      </w:pPr>
    </w:p>
    <w:sectPr w:rsidR="00E365E1" w:rsidRPr="002358F7" w:rsidSect="002358F7">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B37D9D" w14:textId="77777777" w:rsidR="00355586" w:rsidRPr="002358F7" w:rsidRDefault="00355586">
      <w:r w:rsidRPr="002358F7">
        <w:separator/>
      </w:r>
    </w:p>
  </w:endnote>
  <w:endnote w:type="continuationSeparator" w:id="0">
    <w:p w14:paraId="4CD29CED" w14:textId="77777777" w:rsidR="00355586" w:rsidRPr="002358F7" w:rsidRDefault="00355586">
      <w:r w:rsidRPr="002358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EF42B" w14:textId="77777777" w:rsidR="00064002" w:rsidRPr="002358F7"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857AE" w14:textId="77777777" w:rsidR="00064002" w:rsidRPr="002358F7"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D9C1B" w14:textId="77777777" w:rsidR="00064002" w:rsidRPr="002358F7"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49C7DD" w14:textId="77777777" w:rsidR="00355586" w:rsidRPr="002358F7" w:rsidRDefault="00355586">
      <w:r w:rsidRPr="002358F7">
        <w:separator/>
      </w:r>
    </w:p>
  </w:footnote>
  <w:footnote w:type="continuationSeparator" w:id="0">
    <w:p w14:paraId="483831A4" w14:textId="77777777" w:rsidR="00355586" w:rsidRPr="002358F7" w:rsidRDefault="00355586">
      <w:r w:rsidRPr="002358F7">
        <w:continuationSeparator/>
      </w:r>
    </w:p>
  </w:footnote>
  <w:footnote w:id="1">
    <w:p w14:paraId="319DB6DD" w14:textId="49A881FE" w:rsidR="00343BEA" w:rsidRPr="00D4534F" w:rsidRDefault="00343BEA" w:rsidP="00D4534F">
      <w:pPr>
        <w:pStyle w:val="FootnoteText"/>
        <w:ind w:left="567" w:hanging="567"/>
        <w:rPr>
          <w:sz w:val="24"/>
          <w:szCs w:val="24"/>
          <w:lang w:val="fi-FI"/>
        </w:rPr>
      </w:pPr>
      <w:r w:rsidRPr="00D4534F">
        <w:rPr>
          <w:rStyle w:val="FootnoteReference"/>
          <w:sz w:val="24"/>
          <w:szCs w:val="24"/>
        </w:rPr>
        <w:footnoteRef/>
      </w:r>
      <w:r w:rsidRPr="00D4534F">
        <w:rPr>
          <w:sz w:val="24"/>
          <w:szCs w:val="24"/>
          <w:lang w:val="fi-FI"/>
        </w:rPr>
        <w:t xml:space="preserve"> </w:t>
      </w:r>
      <w:r w:rsidRPr="00D4534F">
        <w:rPr>
          <w:sz w:val="24"/>
          <w:szCs w:val="24"/>
          <w:lang w:val="fi-FI"/>
        </w:rPr>
        <w:tab/>
        <w:t xml:space="preserve">OJ L, 2025/1898, 23.9.2025, ELI: </w:t>
      </w:r>
      <w:r w:rsidR="009770E6">
        <w:fldChar w:fldCharType="begin"/>
      </w:r>
      <w:r w:rsidR="009770E6" w:rsidRPr="009770E6">
        <w:rPr>
          <w:lang w:val="fi-FI"/>
        </w:rPr>
        <w:instrText>HYPERLINK "http://data.europa.eu/eli/dec_impl/2025/1898/oj"</w:instrText>
      </w:r>
      <w:r w:rsidR="009770E6">
        <w:fldChar w:fldCharType="separate"/>
      </w:r>
      <w:r w:rsidRPr="00D4534F">
        <w:rPr>
          <w:rStyle w:val="Hyperlink"/>
          <w:sz w:val="24"/>
          <w:szCs w:val="24"/>
          <w:lang w:val="fi-FI"/>
        </w:rPr>
        <w:t>http://data.europa.eu/eli/dec_impl/2025/1898/oj</w:t>
      </w:r>
      <w:r w:rsidR="009770E6">
        <w:rPr>
          <w:rStyle w:val="Hyperlink"/>
          <w:sz w:val="24"/>
          <w:szCs w:val="24"/>
          <w:lang w:val="fi-FI"/>
        </w:rPr>
        <w:fldChar w:fldCharType="end"/>
      </w:r>
      <w:r w:rsidRPr="00D4534F">
        <w:rPr>
          <w:sz w:val="24"/>
          <w:szCs w:val="24"/>
          <w:lang w:val="fi-FI"/>
        </w:rPr>
        <w:t>.</w:t>
      </w:r>
    </w:p>
  </w:footnote>
  <w:footnote w:id="2">
    <w:p w14:paraId="548E9764" w14:textId="7893DDDA" w:rsidR="000109FC" w:rsidRPr="00D4534F" w:rsidRDefault="000109FC" w:rsidP="002358F7">
      <w:pPr>
        <w:pStyle w:val="FootnoteText"/>
        <w:ind w:left="567" w:hanging="567"/>
        <w:rPr>
          <w:b/>
          <w:bCs/>
          <w:sz w:val="24"/>
          <w:szCs w:val="24"/>
          <w:lang w:val="pl-PL"/>
        </w:rPr>
      </w:pPr>
      <w:r w:rsidRPr="00D4534F">
        <w:rPr>
          <w:rStyle w:val="FootnoteReference"/>
          <w:sz w:val="24"/>
          <w:szCs w:val="24"/>
          <w:lang w:val="en-GB"/>
        </w:rPr>
        <w:footnoteRef/>
      </w:r>
      <w:r w:rsidR="002358F7" w:rsidRPr="00D4534F">
        <w:rPr>
          <w:sz w:val="24"/>
          <w:szCs w:val="24"/>
          <w:lang w:val="pl-PL"/>
        </w:rPr>
        <w:t xml:space="preserve"> </w:t>
      </w:r>
      <w:r w:rsidR="002358F7" w:rsidRPr="00D4534F">
        <w:rPr>
          <w:sz w:val="24"/>
          <w:szCs w:val="24"/>
          <w:lang w:val="pl-PL"/>
        </w:rPr>
        <w:tab/>
      </w:r>
      <w:r w:rsidRPr="00D4534F">
        <w:rPr>
          <w:sz w:val="24"/>
          <w:szCs w:val="24"/>
          <w:lang w:val="pl-PL"/>
        </w:rPr>
        <w:t>OJ L 268, 18.10.2003, p. 1, ELI: </w:t>
      </w:r>
      <w:r w:rsidR="009770E6">
        <w:fldChar w:fldCharType="begin"/>
      </w:r>
      <w:r w:rsidR="009770E6" w:rsidRPr="009770E6">
        <w:rPr>
          <w:lang w:val="pl-PL"/>
        </w:rPr>
        <w:instrText>HYPERLINK "http://data.europa.eu/eli/reg/2003/1829/oj"</w:instrText>
      </w:r>
      <w:r w:rsidR="009770E6">
        <w:fldChar w:fldCharType="separate"/>
      </w:r>
      <w:r w:rsidRPr="00D4534F">
        <w:rPr>
          <w:rStyle w:val="Hyperlink"/>
          <w:sz w:val="24"/>
          <w:szCs w:val="24"/>
          <w:lang w:val="pl-PL"/>
        </w:rPr>
        <w:t>http://data.europa.eu/eli/reg/2003/1829/oj</w:t>
      </w:r>
      <w:r w:rsidR="009770E6">
        <w:rPr>
          <w:rStyle w:val="Hyperlink"/>
          <w:sz w:val="24"/>
          <w:szCs w:val="24"/>
          <w:lang w:val="pl-PL"/>
        </w:rPr>
        <w:fldChar w:fldCharType="end"/>
      </w:r>
      <w:r w:rsidRPr="00D4534F">
        <w:rPr>
          <w:sz w:val="24"/>
          <w:szCs w:val="24"/>
          <w:u w:val="single"/>
          <w:lang w:val="pl-PL"/>
        </w:rPr>
        <w:t>.</w:t>
      </w:r>
    </w:p>
  </w:footnote>
  <w:footnote w:id="3">
    <w:p w14:paraId="7D52CB04" w14:textId="46914B21" w:rsidR="000109FC" w:rsidRPr="00D4534F" w:rsidRDefault="000109FC" w:rsidP="002358F7">
      <w:pPr>
        <w:pStyle w:val="FootnoteText"/>
        <w:ind w:left="567" w:hanging="567"/>
        <w:rPr>
          <w:sz w:val="24"/>
          <w:szCs w:val="24"/>
          <w:lang w:val="fi-FI"/>
        </w:rPr>
      </w:pPr>
      <w:r w:rsidRPr="00D4534F">
        <w:rPr>
          <w:rStyle w:val="FootnoteReference"/>
          <w:sz w:val="24"/>
          <w:szCs w:val="24"/>
          <w:lang w:val="en-GB"/>
        </w:rPr>
        <w:footnoteRef/>
      </w:r>
      <w:r w:rsidR="002358F7" w:rsidRPr="00D4534F">
        <w:rPr>
          <w:sz w:val="24"/>
          <w:szCs w:val="24"/>
          <w:lang w:val="fi-FI"/>
        </w:rPr>
        <w:t xml:space="preserve"> </w:t>
      </w:r>
      <w:r w:rsidR="002358F7" w:rsidRPr="00D4534F">
        <w:rPr>
          <w:sz w:val="24"/>
          <w:szCs w:val="24"/>
          <w:lang w:val="fi-FI"/>
        </w:rPr>
        <w:tab/>
      </w:r>
      <w:r w:rsidRPr="00D4534F">
        <w:rPr>
          <w:sz w:val="24"/>
          <w:szCs w:val="24"/>
          <w:lang w:val="fi-FI"/>
        </w:rPr>
        <w:t xml:space="preserve">OJ L 55, 28.2.2011, p. 13, ELI: </w:t>
      </w:r>
      <w:r w:rsidR="009770E6">
        <w:fldChar w:fldCharType="begin"/>
      </w:r>
      <w:r w:rsidR="009770E6" w:rsidRPr="009770E6">
        <w:rPr>
          <w:lang w:val="fi-FI"/>
        </w:rPr>
        <w:instrText>HYPERLINK "http://data.europa.eu/eli/reg/2011/182/oj"</w:instrText>
      </w:r>
      <w:r w:rsidR="009770E6">
        <w:fldChar w:fldCharType="separate"/>
      </w:r>
      <w:r w:rsidRPr="00D4534F">
        <w:rPr>
          <w:rStyle w:val="Hyperlink"/>
          <w:sz w:val="24"/>
          <w:szCs w:val="24"/>
          <w:lang w:val="fi-FI"/>
        </w:rPr>
        <w:t>http://data.europa.eu/eli/reg/2011/182/oj</w:t>
      </w:r>
      <w:r w:rsidR="009770E6">
        <w:rPr>
          <w:rStyle w:val="Hyperlink"/>
          <w:sz w:val="24"/>
          <w:szCs w:val="24"/>
          <w:lang w:val="fi-FI"/>
        </w:rPr>
        <w:fldChar w:fldCharType="end"/>
      </w:r>
      <w:r w:rsidRPr="00D4534F">
        <w:rPr>
          <w:sz w:val="24"/>
          <w:szCs w:val="24"/>
          <w:lang w:val="fi-FI"/>
        </w:rPr>
        <w:t>.</w:t>
      </w:r>
    </w:p>
  </w:footnote>
  <w:footnote w:id="4">
    <w:p w14:paraId="6C4343AC" w14:textId="77F3763C" w:rsidR="000109FC" w:rsidRPr="00D4534F" w:rsidRDefault="000109FC" w:rsidP="003121D2">
      <w:pPr>
        <w:pStyle w:val="FootnoteText"/>
        <w:keepLines w:val="0"/>
        <w:ind w:left="567" w:hanging="567"/>
        <w:rPr>
          <w:sz w:val="24"/>
          <w:szCs w:val="24"/>
          <w:lang w:val="en-GB"/>
        </w:rPr>
      </w:pPr>
      <w:r w:rsidRPr="00D4534F">
        <w:rPr>
          <w:rStyle w:val="Funotenzeichen"/>
          <w:sz w:val="24"/>
          <w:szCs w:val="24"/>
          <w:lang w:val="en-GB"/>
        </w:rPr>
        <w:footnoteRef/>
      </w:r>
      <w:r w:rsidR="002358F7" w:rsidRPr="00D4534F">
        <w:rPr>
          <w:sz w:val="24"/>
          <w:szCs w:val="24"/>
          <w:lang w:val="en-GB"/>
        </w:rPr>
        <w:t xml:space="preserve"> </w:t>
      </w:r>
      <w:r w:rsidR="002358F7" w:rsidRPr="00D4534F">
        <w:rPr>
          <w:sz w:val="24"/>
          <w:szCs w:val="24"/>
          <w:lang w:val="en-GB"/>
        </w:rPr>
        <w:tab/>
      </w:r>
      <w:r w:rsidRPr="00D4534F">
        <w:rPr>
          <w:sz w:val="24"/>
          <w:szCs w:val="24"/>
          <w:lang w:val="en-GB"/>
        </w:rPr>
        <w:t xml:space="preserve">Scientific opinion of the EFSA Panel on Genetically Modified Organisms on the ‘Assessment of genetically modified maize DP51291 (application GMFF-2021-0071)’. EFSA Journal 2024;22(11):9059; </w:t>
      </w:r>
      <w:hyperlink r:id="rId1" w:history="1">
        <w:r w:rsidRPr="00D4534F">
          <w:rPr>
            <w:rStyle w:val="Hyperlink"/>
            <w:sz w:val="24"/>
            <w:szCs w:val="24"/>
            <w:lang w:val="en-GB"/>
          </w:rPr>
          <w:t>https://doi.org/10.2903/j.efsa.2024.9059</w:t>
        </w:r>
      </w:hyperlink>
      <w:r w:rsidRPr="00D4534F">
        <w:rPr>
          <w:sz w:val="24"/>
          <w:szCs w:val="24"/>
          <w:lang w:val="en-GB"/>
        </w:rPr>
        <w:t xml:space="preserve">. </w:t>
      </w:r>
    </w:p>
  </w:footnote>
  <w:footnote w:id="5">
    <w:p w14:paraId="6B881AFD" w14:textId="45FA529F" w:rsidR="000109FC" w:rsidRPr="00D4534F" w:rsidRDefault="000109FC" w:rsidP="003121D2">
      <w:pPr>
        <w:pStyle w:val="FootnoteText"/>
        <w:keepLines w:val="0"/>
        <w:ind w:left="567" w:hanging="567"/>
        <w:rPr>
          <w:color w:val="000000" w:themeColor="text1"/>
          <w:sz w:val="24"/>
          <w:szCs w:val="24"/>
          <w:vertAlign w:val="superscript"/>
          <w:lang w:val="en-GB"/>
        </w:rPr>
      </w:pPr>
      <w:r w:rsidRPr="00D4534F">
        <w:rPr>
          <w:rStyle w:val="FootnoteReference"/>
          <w:sz w:val="24"/>
          <w:szCs w:val="24"/>
          <w:lang w:val="en-GB"/>
        </w:rPr>
        <w:footnoteRef/>
      </w:r>
      <w:r w:rsidR="002358F7" w:rsidRPr="00D4534F">
        <w:rPr>
          <w:color w:val="000000" w:themeColor="text1"/>
          <w:sz w:val="24"/>
          <w:szCs w:val="24"/>
          <w:lang w:val="en-GB"/>
        </w:rPr>
        <w:t xml:space="preserve"> </w:t>
      </w:r>
      <w:r w:rsidR="002358F7" w:rsidRPr="00D4534F">
        <w:rPr>
          <w:color w:val="000000" w:themeColor="text1"/>
          <w:sz w:val="24"/>
          <w:szCs w:val="24"/>
          <w:lang w:val="en-GB"/>
        </w:rPr>
        <w:tab/>
      </w:r>
      <w:r w:rsidRPr="00D4534F">
        <w:rPr>
          <w:color w:val="000000" w:themeColor="text1"/>
          <w:sz w:val="24"/>
          <w:szCs w:val="24"/>
          <w:lang w:val="en-GB"/>
        </w:rPr>
        <w:t xml:space="preserve">In its eighth term, Parliament adopted 36 </w:t>
      </w:r>
      <w:proofErr w:type="gramStart"/>
      <w:r w:rsidRPr="00D4534F">
        <w:rPr>
          <w:color w:val="000000" w:themeColor="text1"/>
          <w:sz w:val="24"/>
          <w:szCs w:val="24"/>
          <w:lang w:val="en-GB"/>
        </w:rPr>
        <w:t>resolutions</w:t>
      </w:r>
      <w:proofErr w:type="gramEnd"/>
      <w:r w:rsidRPr="00D4534F">
        <w:rPr>
          <w:color w:val="000000" w:themeColor="text1"/>
          <w:sz w:val="24"/>
          <w:szCs w:val="24"/>
          <w:lang w:val="en-GB"/>
        </w:rPr>
        <w:t xml:space="preserve"> and, in its ninth term, Parliament adopted 38 resolutions objecting to the authorisation of GMOs. Furthermore, in its tenth term, Parliament has adopted the following resolutions:</w:t>
      </w:r>
    </w:p>
    <w:p w14:paraId="5F803F57" w14:textId="2F407CD9" w:rsidR="000109FC" w:rsidRPr="00D4534F" w:rsidRDefault="002358F7" w:rsidP="003121D2">
      <w:pPr>
        <w:pStyle w:val="FootnoteText"/>
        <w:keepLines w:val="0"/>
        <w:ind w:left="567" w:hanging="567"/>
        <w:rPr>
          <w:color w:val="000000" w:themeColor="text1"/>
          <w:sz w:val="24"/>
          <w:szCs w:val="24"/>
          <w:vertAlign w:val="superscript"/>
          <w:lang w:val="en-GB"/>
        </w:rPr>
      </w:pPr>
      <w:r w:rsidRPr="00D4534F">
        <w:rPr>
          <w:color w:val="000000" w:themeColor="text1"/>
          <w:sz w:val="24"/>
          <w:szCs w:val="24"/>
          <w:lang w:val="en-GB"/>
        </w:rPr>
        <w:t xml:space="preserve"> </w:t>
      </w:r>
      <w:r w:rsidRPr="00D4534F">
        <w:rPr>
          <w:color w:val="000000" w:themeColor="text1"/>
          <w:sz w:val="24"/>
          <w:szCs w:val="24"/>
          <w:lang w:val="en-GB"/>
        </w:rPr>
        <w:tab/>
      </w:r>
      <w:r w:rsidR="000109FC" w:rsidRPr="00D4534F">
        <w:rPr>
          <w:color w:val="000000" w:themeColor="text1"/>
          <w:sz w:val="24"/>
          <w:szCs w:val="24"/>
          <w:lang w:val="en-GB"/>
        </w:rPr>
        <w:t>–</w:t>
      </w:r>
      <w:r w:rsidR="000109FC" w:rsidRPr="00D4534F">
        <w:rPr>
          <w:color w:val="000000" w:themeColor="text1"/>
          <w:sz w:val="24"/>
          <w:szCs w:val="24"/>
          <w:lang w:val="en-GB"/>
        </w:rPr>
        <w:tab/>
        <w:t xml:space="preserve">European Parliament resolution of 26 November 2024 on Commission Implementing Decision (EU) 2024/2628 renewing the authorisation for the placing on the market of products containing, consisting of or produced from genetically modified maize MON 89034 × 1507 × NK603 pursuant to Regulation (EC) No 1829/2003 of the European Parliament and of the Council (OJ C, C/2025/1797, 4.4.2025, ELI: </w:t>
      </w:r>
      <w:r w:rsidR="009770E6">
        <w:fldChar w:fldCharType="begin"/>
      </w:r>
      <w:r w:rsidR="009770E6" w:rsidRPr="009770E6">
        <w:rPr>
          <w:lang w:val="en-GB"/>
        </w:rPr>
        <w:instrText>HYPERLINK "http://data.europa.eu/eli/C/2025/1797/oj"</w:instrText>
      </w:r>
      <w:r w:rsidR="009770E6">
        <w:fldChar w:fldCharType="separate"/>
      </w:r>
      <w:r w:rsidR="000109FC" w:rsidRPr="00D4534F">
        <w:rPr>
          <w:rStyle w:val="Hyperlink"/>
          <w:sz w:val="24"/>
          <w:szCs w:val="24"/>
          <w:lang w:val="en-GB"/>
        </w:rPr>
        <w:t>http://data.europa.eu/eli/C/2025/1797/oj</w:t>
      </w:r>
      <w:r w:rsidR="009770E6">
        <w:rPr>
          <w:rStyle w:val="Hyperlink"/>
          <w:sz w:val="24"/>
          <w:szCs w:val="24"/>
          <w:lang w:val="en-GB"/>
        </w:rPr>
        <w:fldChar w:fldCharType="end"/>
      </w:r>
      <w:r w:rsidR="000109FC" w:rsidRPr="00D4534F">
        <w:rPr>
          <w:color w:val="000000" w:themeColor="text1"/>
          <w:sz w:val="24"/>
          <w:szCs w:val="24"/>
          <w:lang w:val="en-GB"/>
        </w:rPr>
        <w:t>).</w:t>
      </w:r>
    </w:p>
    <w:p w14:paraId="560AC7F1" w14:textId="58025790" w:rsidR="000109FC" w:rsidRPr="00D4534F" w:rsidRDefault="002358F7" w:rsidP="003121D2">
      <w:pPr>
        <w:pStyle w:val="FootnoteText"/>
        <w:keepLines w:val="0"/>
        <w:ind w:left="567" w:hanging="567"/>
        <w:rPr>
          <w:color w:val="000000" w:themeColor="text1"/>
          <w:sz w:val="24"/>
          <w:szCs w:val="24"/>
          <w:vertAlign w:val="superscript"/>
          <w:lang w:val="en-GB"/>
        </w:rPr>
      </w:pPr>
      <w:r w:rsidRPr="00D4534F">
        <w:rPr>
          <w:color w:val="000000" w:themeColor="text1"/>
          <w:sz w:val="24"/>
          <w:szCs w:val="24"/>
          <w:lang w:val="en-GB"/>
        </w:rPr>
        <w:t xml:space="preserve"> </w:t>
      </w:r>
      <w:r w:rsidRPr="00D4534F">
        <w:rPr>
          <w:color w:val="000000" w:themeColor="text1"/>
          <w:sz w:val="24"/>
          <w:szCs w:val="24"/>
          <w:lang w:val="en-GB"/>
        </w:rPr>
        <w:tab/>
      </w:r>
      <w:r w:rsidR="000109FC" w:rsidRPr="00D4534F">
        <w:rPr>
          <w:color w:val="000000" w:themeColor="text1"/>
          <w:sz w:val="24"/>
          <w:szCs w:val="24"/>
          <w:lang w:val="en-GB"/>
        </w:rPr>
        <w:t>–</w:t>
      </w:r>
      <w:r w:rsidR="000109FC" w:rsidRPr="00D4534F">
        <w:rPr>
          <w:color w:val="000000" w:themeColor="text1"/>
          <w:sz w:val="24"/>
          <w:szCs w:val="24"/>
          <w:lang w:val="en-GB"/>
        </w:rPr>
        <w:tab/>
        <w:t xml:space="preserve">European Parliament resolution of 26 November 2024 on Commission Implementing Decision (EU) 2024/2627 authorising the placing on the market of products containing, consisting of or produced from genetically modified cotton COT102 pursuant to Regulation (EC) No 1829/2003 of the European Parliament and of the Council (OJ C, C/2025/1798, 4.4.2025, ELI: </w:t>
      </w:r>
      <w:r w:rsidR="009770E6">
        <w:fldChar w:fldCharType="begin"/>
      </w:r>
      <w:r w:rsidR="009770E6" w:rsidRPr="009770E6">
        <w:rPr>
          <w:lang w:val="en-GB"/>
        </w:rPr>
        <w:instrText>HYPERLINK "http://data.europa.eu/eli/C/2025/1798/oj"</w:instrText>
      </w:r>
      <w:r w:rsidR="009770E6">
        <w:fldChar w:fldCharType="separate"/>
      </w:r>
      <w:r w:rsidR="000109FC" w:rsidRPr="00D4534F">
        <w:rPr>
          <w:rStyle w:val="Hyperlink"/>
          <w:sz w:val="24"/>
          <w:szCs w:val="24"/>
          <w:lang w:val="en-GB"/>
        </w:rPr>
        <w:t>http://data.europa.eu/eli/C/2025/1798/oj</w:t>
      </w:r>
      <w:r w:rsidR="009770E6">
        <w:rPr>
          <w:rStyle w:val="Hyperlink"/>
          <w:sz w:val="24"/>
          <w:szCs w:val="24"/>
          <w:lang w:val="en-GB"/>
        </w:rPr>
        <w:fldChar w:fldCharType="end"/>
      </w:r>
      <w:r w:rsidR="000109FC" w:rsidRPr="00D4534F">
        <w:rPr>
          <w:color w:val="000000" w:themeColor="text1"/>
          <w:sz w:val="24"/>
          <w:szCs w:val="24"/>
          <w:lang w:val="en-GB"/>
        </w:rPr>
        <w:t>).</w:t>
      </w:r>
    </w:p>
    <w:p w14:paraId="76A5527F" w14:textId="6CE61B22" w:rsidR="000109FC" w:rsidRPr="00D4534F" w:rsidRDefault="002358F7" w:rsidP="003121D2">
      <w:pPr>
        <w:pStyle w:val="FootnoteText"/>
        <w:keepLines w:val="0"/>
        <w:ind w:left="567" w:hanging="567"/>
        <w:rPr>
          <w:color w:val="000000" w:themeColor="text1"/>
          <w:sz w:val="24"/>
          <w:szCs w:val="24"/>
          <w:vertAlign w:val="superscript"/>
          <w:lang w:val="en-GB"/>
        </w:rPr>
      </w:pPr>
      <w:r w:rsidRPr="00D4534F">
        <w:rPr>
          <w:color w:val="000000" w:themeColor="text1"/>
          <w:sz w:val="24"/>
          <w:szCs w:val="24"/>
          <w:lang w:val="en-GB"/>
        </w:rPr>
        <w:t xml:space="preserve"> </w:t>
      </w:r>
      <w:r w:rsidRPr="00D4534F">
        <w:rPr>
          <w:color w:val="000000" w:themeColor="text1"/>
          <w:sz w:val="24"/>
          <w:szCs w:val="24"/>
          <w:lang w:val="en-GB"/>
        </w:rPr>
        <w:tab/>
      </w:r>
      <w:r w:rsidR="000109FC" w:rsidRPr="00D4534F">
        <w:rPr>
          <w:color w:val="000000" w:themeColor="text1"/>
          <w:sz w:val="24"/>
          <w:szCs w:val="24"/>
          <w:lang w:val="en-GB"/>
        </w:rPr>
        <w:t>–</w:t>
      </w:r>
      <w:r w:rsidR="000109FC" w:rsidRPr="00D4534F">
        <w:rPr>
          <w:color w:val="000000" w:themeColor="text1"/>
          <w:sz w:val="24"/>
          <w:szCs w:val="24"/>
          <w:lang w:val="en-GB"/>
        </w:rPr>
        <w:tab/>
        <w:t xml:space="preserve">European Parliament resolution of 26 November 2024 on Commission Implementing Decision (EU) 2024/2629 renewing the authorisation for the placing on the market of products containing, consisting of or produced from genetically modified maize MON 89034 × 1507 × MON 88017 × 59122 and eight of its sub-combinations pursuant to Regulation (EC) No 1829/2003 of the European Parliament and of the Council (OJ C, C/2025/1799, 4.4.2025, ELI: </w:t>
      </w:r>
      <w:r w:rsidR="009770E6">
        <w:fldChar w:fldCharType="begin"/>
      </w:r>
      <w:r w:rsidR="009770E6" w:rsidRPr="009770E6">
        <w:rPr>
          <w:lang w:val="en-GB"/>
        </w:rPr>
        <w:instrText>HYPERLINK "http://data.europa.eu/eli/C/2025/1799/oj"</w:instrText>
      </w:r>
      <w:r w:rsidR="009770E6">
        <w:fldChar w:fldCharType="separate"/>
      </w:r>
      <w:r w:rsidR="000109FC" w:rsidRPr="00D4534F">
        <w:rPr>
          <w:rStyle w:val="Hyperlink"/>
          <w:sz w:val="24"/>
          <w:szCs w:val="24"/>
          <w:lang w:val="en-GB"/>
        </w:rPr>
        <w:t>http://data.europa.eu/eli/C/2025/1799/oj</w:t>
      </w:r>
      <w:r w:rsidR="009770E6">
        <w:rPr>
          <w:rStyle w:val="Hyperlink"/>
          <w:sz w:val="24"/>
          <w:szCs w:val="24"/>
          <w:lang w:val="en-GB"/>
        </w:rPr>
        <w:fldChar w:fldCharType="end"/>
      </w:r>
      <w:r w:rsidR="000109FC" w:rsidRPr="00D4534F">
        <w:rPr>
          <w:color w:val="000000" w:themeColor="text1"/>
          <w:sz w:val="24"/>
          <w:szCs w:val="24"/>
          <w:lang w:val="en-GB"/>
        </w:rPr>
        <w:t>).</w:t>
      </w:r>
    </w:p>
    <w:p w14:paraId="3F5ACC32" w14:textId="52ABCFCD" w:rsidR="000109FC" w:rsidRPr="00D4534F" w:rsidRDefault="002358F7" w:rsidP="003121D2">
      <w:pPr>
        <w:pStyle w:val="FootnoteText"/>
        <w:keepLines w:val="0"/>
        <w:ind w:left="567" w:hanging="567"/>
        <w:rPr>
          <w:color w:val="000000" w:themeColor="text1"/>
          <w:sz w:val="24"/>
          <w:szCs w:val="24"/>
          <w:vertAlign w:val="superscript"/>
          <w:lang w:val="en-GB"/>
        </w:rPr>
      </w:pPr>
      <w:r w:rsidRPr="00D4534F">
        <w:rPr>
          <w:color w:val="000000" w:themeColor="text1"/>
          <w:sz w:val="24"/>
          <w:szCs w:val="24"/>
          <w:lang w:val="en-GB"/>
        </w:rPr>
        <w:t xml:space="preserve"> </w:t>
      </w:r>
      <w:r w:rsidRPr="00D4534F">
        <w:rPr>
          <w:color w:val="000000" w:themeColor="text1"/>
          <w:sz w:val="24"/>
          <w:szCs w:val="24"/>
          <w:lang w:val="en-GB"/>
        </w:rPr>
        <w:tab/>
      </w:r>
      <w:r w:rsidR="000109FC" w:rsidRPr="00D4534F">
        <w:rPr>
          <w:color w:val="000000" w:themeColor="text1"/>
          <w:sz w:val="24"/>
          <w:szCs w:val="24"/>
          <w:lang w:val="en-GB"/>
        </w:rPr>
        <w:t>–</w:t>
      </w:r>
      <w:r w:rsidR="000109FC" w:rsidRPr="00D4534F">
        <w:rPr>
          <w:color w:val="000000" w:themeColor="text1"/>
          <w:sz w:val="24"/>
          <w:szCs w:val="24"/>
          <w:lang w:val="en-GB"/>
        </w:rPr>
        <w:tab/>
        <w:t xml:space="preserve">European Parliament resolution of 26 November 2024 on Commission Implementing Decision (EU) 2024/1828 renewing the authorisation for the placing on the market of feed containing, consisting of and of food and feed products produced from genetically modified maize MON 810 pursuant to Regulation (EC) No 1829/2003 of the European Parliament and of the Council and repealing Commission Implementing Decision (EU) 2017/1207 (OJ C, C/2025/1800, 4.4.2025, ELI: </w:t>
      </w:r>
      <w:r w:rsidR="009770E6">
        <w:fldChar w:fldCharType="begin"/>
      </w:r>
      <w:r w:rsidR="009770E6" w:rsidRPr="009770E6">
        <w:rPr>
          <w:lang w:val="en-GB"/>
        </w:rPr>
        <w:instrText>HYPERLINK "http://data.europa.eu/eli/C/2025/1800/oj"</w:instrText>
      </w:r>
      <w:r w:rsidR="009770E6">
        <w:fldChar w:fldCharType="separate"/>
      </w:r>
      <w:r w:rsidR="000109FC" w:rsidRPr="00D4534F">
        <w:rPr>
          <w:rStyle w:val="Hyperlink"/>
          <w:sz w:val="24"/>
          <w:szCs w:val="24"/>
          <w:lang w:val="en-GB"/>
        </w:rPr>
        <w:t>http://data.europa.eu/eli/C/2025/1800/oj</w:t>
      </w:r>
      <w:r w:rsidR="009770E6">
        <w:rPr>
          <w:rStyle w:val="Hyperlink"/>
          <w:sz w:val="24"/>
          <w:szCs w:val="24"/>
          <w:lang w:val="en-GB"/>
        </w:rPr>
        <w:fldChar w:fldCharType="end"/>
      </w:r>
      <w:r w:rsidR="000109FC" w:rsidRPr="00D4534F">
        <w:rPr>
          <w:color w:val="000000" w:themeColor="text1"/>
          <w:sz w:val="24"/>
          <w:szCs w:val="24"/>
          <w:lang w:val="en-GB"/>
        </w:rPr>
        <w:t>).</w:t>
      </w:r>
    </w:p>
    <w:p w14:paraId="19586FF6" w14:textId="244FCD68" w:rsidR="000109FC" w:rsidRPr="00D4534F" w:rsidRDefault="002358F7" w:rsidP="003121D2">
      <w:pPr>
        <w:pStyle w:val="FootnoteText"/>
        <w:keepLines w:val="0"/>
        <w:ind w:left="567" w:hanging="567"/>
        <w:rPr>
          <w:color w:val="000000" w:themeColor="text1"/>
          <w:sz w:val="24"/>
          <w:szCs w:val="24"/>
          <w:vertAlign w:val="superscript"/>
          <w:lang w:val="en-GB"/>
        </w:rPr>
      </w:pPr>
      <w:r w:rsidRPr="00D4534F">
        <w:rPr>
          <w:color w:val="000000" w:themeColor="text1"/>
          <w:sz w:val="24"/>
          <w:szCs w:val="24"/>
          <w:lang w:val="en-GB"/>
        </w:rPr>
        <w:t xml:space="preserve"> </w:t>
      </w:r>
      <w:r w:rsidRPr="00D4534F">
        <w:rPr>
          <w:color w:val="000000" w:themeColor="text1"/>
          <w:sz w:val="24"/>
          <w:szCs w:val="24"/>
          <w:lang w:val="en-GB"/>
        </w:rPr>
        <w:tab/>
      </w:r>
      <w:r w:rsidR="000109FC" w:rsidRPr="00D4534F">
        <w:rPr>
          <w:color w:val="000000" w:themeColor="text1"/>
          <w:sz w:val="24"/>
          <w:szCs w:val="24"/>
          <w:lang w:val="en-GB"/>
        </w:rPr>
        <w:t>–</w:t>
      </w:r>
      <w:r w:rsidR="000109FC" w:rsidRPr="00D4534F">
        <w:rPr>
          <w:color w:val="000000" w:themeColor="text1"/>
          <w:sz w:val="24"/>
          <w:szCs w:val="24"/>
          <w:lang w:val="en-GB"/>
        </w:rPr>
        <w:tab/>
        <w:t xml:space="preserve">European Parliament resolution of 26 November 2024 on Commission Implementing Decision (EU) 2024/1822 authorising the placing on the market of products containing, consisting of or produced from genetically modified maize DP915635 pursuant to Regulation (EC) No 1829/2003 of the European Parliament and of the Council (OJ C, C/2025/1801, 4.4.2025, ELI: </w:t>
      </w:r>
      <w:r w:rsidR="009770E6">
        <w:fldChar w:fldCharType="begin"/>
      </w:r>
      <w:r w:rsidR="009770E6" w:rsidRPr="009770E6">
        <w:rPr>
          <w:lang w:val="en-GB"/>
        </w:rPr>
        <w:instrText>HYPERLINK "http://data.europa.eu/eli/C/2025/1801/oj"</w:instrText>
      </w:r>
      <w:r w:rsidR="009770E6">
        <w:fldChar w:fldCharType="separate"/>
      </w:r>
      <w:r w:rsidR="000109FC" w:rsidRPr="00D4534F">
        <w:rPr>
          <w:rStyle w:val="Hyperlink"/>
          <w:sz w:val="24"/>
          <w:szCs w:val="24"/>
          <w:lang w:val="en-GB"/>
        </w:rPr>
        <w:t>http://data.europa.eu/eli/C/2025/1801/oj</w:t>
      </w:r>
      <w:r w:rsidR="009770E6">
        <w:rPr>
          <w:rStyle w:val="Hyperlink"/>
          <w:sz w:val="24"/>
          <w:szCs w:val="24"/>
          <w:lang w:val="en-GB"/>
        </w:rPr>
        <w:fldChar w:fldCharType="end"/>
      </w:r>
      <w:r w:rsidR="000109FC" w:rsidRPr="00D4534F">
        <w:rPr>
          <w:color w:val="000000" w:themeColor="text1"/>
          <w:sz w:val="24"/>
          <w:szCs w:val="24"/>
          <w:lang w:val="en-GB"/>
        </w:rPr>
        <w:t>).</w:t>
      </w:r>
    </w:p>
    <w:p w14:paraId="70CBE304" w14:textId="2487D1C5" w:rsidR="000109FC" w:rsidRPr="00D4534F" w:rsidRDefault="002358F7" w:rsidP="003121D2">
      <w:pPr>
        <w:pStyle w:val="FootnoteText"/>
        <w:keepLines w:val="0"/>
        <w:ind w:left="567" w:hanging="567"/>
        <w:rPr>
          <w:color w:val="000000" w:themeColor="text1"/>
          <w:sz w:val="24"/>
          <w:szCs w:val="24"/>
          <w:vertAlign w:val="superscript"/>
          <w:lang w:val="en-GB"/>
        </w:rPr>
      </w:pPr>
      <w:r w:rsidRPr="00D4534F">
        <w:rPr>
          <w:color w:val="000000" w:themeColor="text1"/>
          <w:sz w:val="24"/>
          <w:szCs w:val="24"/>
          <w:lang w:val="en-GB"/>
        </w:rPr>
        <w:t xml:space="preserve"> </w:t>
      </w:r>
      <w:r w:rsidRPr="00D4534F">
        <w:rPr>
          <w:color w:val="000000" w:themeColor="text1"/>
          <w:sz w:val="24"/>
          <w:szCs w:val="24"/>
          <w:lang w:val="en-GB"/>
        </w:rPr>
        <w:tab/>
      </w:r>
      <w:r w:rsidR="000109FC" w:rsidRPr="00D4534F">
        <w:rPr>
          <w:color w:val="000000" w:themeColor="text1"/>
          <w:sz w:val="24"/>
          <w:szCs w:val="24"/>
          <w:lang w:val="en-GB"/>
        </w:rPr>
        <w:t>–</w:t>
      </w:r>
      <w:r w:rsidR="000109FC" w:rsidRPr="00D4534F">
        <w:rPr>
          <w:color w:val="000000" w:themeColor="text1"/>
          <w:sz w:val="24"/>
          <w:szCs w:val="24"/>
          <w:lang w:val="en-GB"/>
        </w:rPr>
        <w:tab/>
        <w:t xml:space="preserve">European Parliament resolution of 26 November 2024 on Commission Implementing Decision (EU) 2024/1826 authorising the placing on the market of products containing, consisting of or produced from genetically modified maize DP23211 pursuant to Regulation (EC) No 1829/2003 of the European Parliament and of the Council (OJ C, C/2025/1802, 4.4.2025, ELI: </w:t>
      </w:r>
      <w:r w:rsidR="009770E6">
        <w:fldChar w:fldCharType="begin"/>
      </w:r>
      <w:r w:rsidR="009770E6" w:rsidRPr="009770E6">
        <w:rPr>
          <w:lang w:val="en-GB"/>
        </w:rPr>
        <w:instrText>HYPERLINK "http://data.europa.eu/eli/C/2025/1802/oj"</w:instrText>
      </w:r>
      <w:r w:rsidR="009770E6">
        <w:fldChar w:fldCharType="separate"/>
      </w:r>
      <w:r w:rsidR="000109FC" w:rsidRPr="00D4534F">
        <w:rPr>
          <w:rStyle w:val="Hyperlink"/>
          <w:sz w:val="24"/>
          <w:szCs w:val="24"/>
          <w:lang w:val="en-GB"/>
        </w:rPr>
        <w:t>http://data.europa.eu/eli/C/2025/1802/oj</w:t>
      </w:r>
      <w:r w:rsidR="009770E6">
        <w:rPr>
          <w:rStyle w:val="Hyperlink"/>
          <w:sz w:val="24"/>
          <w:szCs w:val="24"/>
          <w:lang w:val="en-GB"/>
        </w:rPr>
        <w:fldChar w:fldCharType="end"/>
      </w:r>
      <w:r w:rsidR="000109FC" w:rsidRPr="00D4534F">
        <w:rPr>
          <w:color w:val="000000" w:themeColor="text1"/>
          <w:sz w:val="24"/>
          <w:szCs w:val="24"/>
          <w:lang w:val="en-GB"/>
        </w:rPr>
        <w:t>).</w:t>
      </w:r>
    </w:p>
    <w:p w14:paraId="58D10890" w14:textId="098734E2" w:rsidR="000109FC" w:rsidRPr="00D4534F" w:rsidRDefault="002358F7" w:rsidP="003121D2">
      <w:pPr>
        <w:pStyle w:val="FootnoteText"/>
        <w:keepLines w:val="0"/>
        <w:ind w:left="567" w:hanging="567"/>
        <w:rPr>
          <w:color w:val="000000" w:themeColor="text1"/>
          <w:sz w:val="24"/>
          <w:szCs w:val="24"/>
          <w:vertAlign w:val="superscript"/>
          <w:lang w:val="en-GB"/>
        </w:rPr>
      </w:pPr>
      <w:r w:rsidRPr="00D4534F">
        <w:rPr>
          <w:color w:val="000000" w:themeColor="text1"/>
          <w:sz w:val="24"/>
          <w:szCs w:val="24"/>
          <w:lang w:val="en-GB"/>
        </w:rPr>
        <w:t xml:space="preserve"> </w:t>
      </w:r>
      <w:r w:rsidRPr="00D4534F">
        <w:rPr>
          <w:color w:val="000000" w:themeColor="text1"/>
          <w:sz w:val="24"/>
          <w:szCs w:val="24"/>
          <w:lang w:val="en-GB"/>
        </w:rPr>
        <w:tab/>
      </w:r>
      <w:r w:rsidR="000109FC" w:rsidRPr="00D4534F">
        <w:rPr>
          <w:color w:val="000000" w:themeColor="text1"/>
          <w:sz w:val="24"/>
          <w:szCs w:val="24"/>
          <w:lang w:val="en-GB"/>
        </w:rPr>
        <w:t>–</w:t>
      </w:r>
      <w:r w:rsidR="000109FC" w:rsidRPr="00D4534F">
        <w:rPr>
          <w:color w:val="000000" w:themeColor="text1"/>
          <w:sz w:val="24"/>
          <w:szCs w:val="24"/>
          <w:lang w:val="en-GB"/>
        </w:rPr>
        <w:tab/>
        <w:t xml:space="preserve">European Parliament resolution of 26 November 2024 on Commission Implementing Decision (EU) 2024/2618 authorising the placing on the market of products containing, consisting of or produced from genetically modified maize DP202216 pursuant to Regulation (EC) No 1829/2003 of the European Parliament and of the Council (OJ C, C/2025/1803, 4.4.2025, ELI: </w:t>
      </w:r>
      <w:r w:rsidR="009770E6">
        <w:fldChar w:fldCharType="begin"/>
      </w:r>
      <w:r w:rsidR="009770E6" w:rsidRPr="009770E6">
        <w:rPr>
          <w:lang w:val="en-GB"/>
        </w:rPr>
        <w:instrText>HYPERLINK "http://data.europa.eu/eli/C/2025/1803/oj"</w:instrText>
      </w:r>
      <w:r w:rsidR="009770E6">
        <w:fldChar w:fldCharType="separate"/>
      </w:r>
      <w:r w:rsidR="000109FC" w:rsidRPr="00D4534F">
        <w:rPr>
          <w:rStyle w:val="Hyperlink"/>
          <w:sz w:val="24"/>
          <w:szCs w:val="24"/>
          <w:lang w:val="en-GB"/>
        </w:rPr>
        <w:t>http://data.europa.eu/eli/C/2025/1803/oj</w:t>
      </w:r>
      <w:r w:rsidR="009770E6">
        <w:rPr>
          <w:rStyle w:val="Hyperlink"/>
          <w:sz w:val="24"/>
          <w:szCs w:val="24"/>
          <w:lang w:val="en-GB"/>
        </w:rPr>
        <w:fldChar w:fldCharType="end"/>
      </w:r>
      <w:r w:rsidR="000109FC" w:rsidRPr="00D4534F">
        <w:rPr>
          <w:color w:val="000000" w:themeColor="text1"/>
          <w:sz w:val="24"/>
          <w:szCs w:val="24"/>
          <w:lang w:val="en-GB"/>
        </w:rPr>
        <w:t>).</w:t>
      </w:r>
    </w:p>
    <w:p w14:paraId="66425CBE" w14:textId="23046C10" w:rsidR="000109FC" w:rsidRPr="00D4534F" w:rsidRDefault="002358F7" w:rsidP="003121D2">
      <w:pPr>
        <w:pStyle w:val="FootnoteText"/>
        <w:keepLines w:val="0"/>
        <w:ind w:left="567" w:hanging="567"/>
        <w:rPr>
          <w:color w:val="000000" w:themeColor="text1"/>
          <w:sz w:val="24"/>
          <w:szCs w:val="24"/>
          <w:vertAlign w:val="superscript"/>
          <w:lang w:val="en-GB"/>
        </w:rPr>
      </w:pPr>
      <w:r w:rsidRPr="00D4534F">
        <w:rPr>
          <w:color w:val="000000" w:themeColor="text1"/>
          <w:sz w:val="24"/>
          <w:szCs w:val="24"/>
          <w:lang w:val="en-GB"/>
        </w:rPr>
        <w:t xml:space="preserve"> </w:t>
      </w:r>
      <w:r w:rsidRPr="00D4534F">
        <w:rPr>
          <w:color w:val="000000" w:themeColor="text1"/>
          <w:sz w:val="24"/>
          <w:szCs w:val="24"/>
          <w:lang w:val="en-GB"/>
        </w:rPr>
        <w:tab/>
      </w:r>
      <w:r w:rsidR="000109FC" w:rsidRPr="00D4534F">
        <w:rPr>
          <w:color w:val="000000" w:themeColor="text1"/>
          <w:sz w:val="24"/>
          <w:szCs w:val="24"/>
          <w:lang w:val="en-GB"/>
        </w:rPr>
        <w:t>–</w:t>
      </w:r>
      <w:r w:rsidR="000109FC" w:rsidRPr="00D4534F">
        <w:rPr>
          <w:color w:val="000000" w:themeColor="text1"/>
          <w:sz w:val="24"/>
          <w:szCs w:val="24"/>
          <w:lang w:val="en-GB"/>
        </w:rPr>
        <w:tab/>
        <w:t xml:space="preserve">European Parliament resolution of 26 November 2024 on the draft Commission implementing decision authorising the placing on the market of products containing, consisting of or produced from genetically modified maize MON 94804 pursuant to Regulation (EC) No 1829/2003 of the European Parliament and of the Council (OJ C, C/2025/1804, 4.4.2025, ELI: </w:t>
      </w:r>
      <w:r w:rsidR="009770E6">
        <w:fldChar w:fldCharType="begin"/>
      </w:r>
      <w:r w:rsidR="009770E6" w:rsidRPr="009770E6">
        <w:rPr>
          <w:lang w:val="en-GB"/>
        </w:rPr>
        <w:instrText>HYPERLINK "http://data.europa.eu/eli/C/2025/1804/oj"</w:instrText>
      </w:r>
      <w:r w:rsidR="009770E6">
        <w:fldChar w:fldCharType="separate"/>
      </w:r>
      <w:r w:rsidR="000109FC" w:rsidRPr="00D4534F">
        <w:rPr>
          <w:rStyle w:val="Hyperlink"/>
          <w:sz w:val="24"/>
          <w:szCs w:val="24"/>
          <w:lang w:val="en-GB"/>
        </w:rPr>
        <w:t>http://data.europa.eu/eli/C/2025/1804/oj</w:t>
      </w:r>
      <w:r w:rsidR="009770E6">
        <w:rPr>
          <w:rStyle w:val="Hyperlink"/>
          <w:sz w:val="24"/>
          <w:szCs w:val="24"/>
          <w:lang w:val="en-GB"/>
        </w:rPr>
        <w:fldChar w:fldCharType="end"/>
      </w:r>
      <w:r w:rsidR="000109FC" w:rsidRPr="00D4534F">
        <w:rPr>
          <w:color w:val="000000" w:themeColor="text1"/>
          <w:sz w:val="24"/>
          <w:szCs w:val="24"/>
          <w:lang w:val="en-GB"/>
        </w:rPr>
        <w:t>).</w:t>
      </w:r>
    </w:p>
    <w:p w14:paraId="1AECDC76" w14:textId="7BB270DC" w:rsidR="000109FC" w:rsidRPr="00D4534F" w:rsidRDefault="002358F7" w:rsidP="003121D2">
      <w:pPr>
        <w:pStyle w:val="FootnoteText"/>
        <w:keepLines w:val="0"/>
        <w:ind w:left="567" w:hanging="567"/>
        <w:rPr>
          <w:sz w:val="24"/>
          <w:szCs w:val="24"/>
          <w:vertAlign w:val="superscript"/>
          <w:lang w:val="en-GB"/>
        </w:rPr>
      </w:pPr>
      <w:r w:rsidRPr="00D4534F">
        <w:rPr>
          <w:color w:val="000000" w:themeColor="text1"/>
          <w:sz w:val="24"/>
          <w:szCs w:val="24"/>
          <w:lang w:val="en-GB"/>
        </w:rPr>
        <w:t xml:space="preserve"> </w:t>
      </w:r>
      <w:r w:rsidRPr="00D4534F">
        <w:rPr>
          <w:color w:val="000000" w:themeColor="text1"/>
          <w:sz w:val="24"/>
          <w:szCs w:val="24"/>
          <w:lang w:val="en-GB"/>
        </w:rPr>
        <w:tab/>
      </w:r>
      <w:r w:rsidR="000109FC" w:rsidRPr="00D4534F">
        <w:rPr>
          <w:color w:val="000000" w:themeColor="text1"/>
          <w:sz w:val="24"/>
          <w:szCs w:val="24"/>
          <w:lang w:val="en-GB"/>
        </w:rPr>
        <w:t>–</w:t>
      </w:r>
      <w:r w:rsidR="000109FC" w:rsidRPr="00D4534F">
        <w:rPr>
          <w:color w:val="000000" w:themeColor="text1"/>
          <w:sz w:val="24"/>
          <w:szCs w:val="24"/>
          <w:lang w:val="en-GB"/>
        </w:rPr>
        <w:tab/>
      </w:r>
      <w:r w:rsidR="000109FC" w:rsidRPr="00D4534F">
        <w:rPr>
          <w:sz w:val="24"/>
          <w:szCs w:val="24"/>
          <w:lang w:val="en-GB"/>
        </w:rPr>
        <w:t xml:space="preserve">European Parliament resolution of 12 February 2025 on the draft Commission implementing decision authorising the placing on the market of products containing, consisting of or produced from genetically modified maize DP910521 pursuant to Regulation (EC) No 1829/2003 of the European Parliament and of the Council (OJ C, C/2025/2246, 29.4.2025, ELI: </w:t>
      </w:r>
      <w:r w:rsidR="009770E6">
        <w:fldChar w:fldCharType="begin"/>
      </w:r>
      <w:r w:rsidR="009770E6" w:rsidRPr="009770E6">
        <w:rPr>
          <w:lang w:val="en-GB"/>
        </w:rPr>
        <w:instrText>HYPERLINK "http://data.europa.eu/eli/C/2025/2246/oj" \o "Gives access to this document through its ELI URI."</w:instrText>
      </w:r>
      <w:r w:rsidR="009770E6">
        <w:fldChar w:fldCharType="separate"/>
      </w:r>
      <w:r w:rsidR="000109FC" w:rsidRPr="00D4534F">
        <w:rPr>
          <w:rStyle w:val="Hyperlink"/>
          <w:sz w:val="24"/>
          <w:szCs w:val="24"/>
          <w:lang w:val="en-GB"/>
        </w:rPr>
        <w:t>http://data.europa.eu/eli/C/2025/2246/oj</w:t>
      </w:r>
      <w:r w:rsidR="009770E6">
        <w:rPr>
          <w:rStyle w:val="Hyperlink"/>
          <w:sz w:val="24"/>
          <w:szCs w:val="24"/>
          <w:lang w:val="en-GB"/>
        </w:rPr>
        <w:fldChar w:fldCharType="end"/>
      </w:r>
      <w:r w:rsidR="000109FC" w:rsidRPr="00D4534F">
        <w:rPr>
          <w:sz w:val="24"/>
          <w:szCs w:val="24"/>
          <w:lang w:val="en-GB"/>
        </w:rPr>
        <w:t>).</w:t>
      </w:r>
    </w:p>
    <w:p w14:paraId="0BD262E0" w14:textId="07A099F7" w:rsidR="000109FC" w:rsidRPr="00D4534F" w:rsidRDefault="002358F7" w:rsidP="003121D2">
      <w:pPr>
        <w:pStyle w:val="FootnoteText"/>
        <w:keepLines w:val="0"/>
        <w:ind w:left="567" w:hanging="567"/>
        <w:rPr>
          <w:sz w:val="24"/>
          <w:szCs w:val="24"/>
          <w:vertAlign w:val="superscript"/>
          <w:lang w:val="en-GB"/>
        </w:rPr>
      </w:pPr>
      <w:r w:rsidRPr="00D4534F">
        <w:rPr>
          <w:sz w:val="24"/>
          <w:szCs w:val="24"/>
          <w:lang w:val="en-GB"/>
        </w:rPr>
        <w:t xml:space="preserve"> </w:t>
      </w:r>
      <w:r w:rsidRPr="00D4534F">
        <w:rPr>
          <w:sz w:val="24"/>
          <w:szCs w:val="24"/>
          <w:lang w:val="en-GB"/>
        </w:rPr>
        <w:tab/>
      </w:r>
      <w:r w:rsidR="000109FC" w:rsidRPr="00D4534F">
        <w:rPr>
          <w:sz w:val="24"/>
          <w:szCs w:val="24"/>
          <w:lang w:val="en-GB"/>
        </w:rPr>
        <w:t>–</w:t>
      </w:r>
      <w:r w:rsidR="000109FC" w:rsidRPr="00D4534F">
        <w:rPr>
          <w:sz w:val="24"/>
          <w:szCs w:val="24"/>
          <w:lang w:val="en-GB"/>
        </w:rPr>
        <w:tab/>
        <w:t xml:space="preserve">European Parliament resolution of 12 February 2025 on the draft Commission implementing decision authorising the placing on the market of products containing, consisting of or produced from genetically modified maize MON 95275 pursuant to Regulation (EC) No 1829/2003 of the European Parliament and of the Council (OJ C, C/2025/2247, 29.4.2025, ELI: </w:t>
      </w:r>
      <w:r w:rsidR="009770E6">
        <w:fldChar w:fldCharType="begin"/>
      </w:r>
      <w:r w:rsidR="009770E6" w:rsidRPr="009770E6">
        <w:rPr>
          <w:lang w:val="en-GB"/>
        </w:rPr>
        <w:instrText>HYPERLINK "http://data.europa.eu/eli/C/2025/2247/oj" \o "Gives access to this document through its ELI URI."</w:instrText>
      </w:r>
      <w:r w:rsidR="009770E6">
        <w:fldChar w:fldCharType="separate"/>
      </w:r>
      <w:r w:rsidR="000109FC" w:rsidRPr="00D4534F">
        <w:rPr>
          <w:rStyle w:val="Hyperlink"/>
          <w:sz w:val="24"/>
          <w:szCs w:val="24"/>
          <w:lang w:val="en-GB"/>
        </w:rPr>
        <w:t>http://data.europa.eu/eli/C/2025/2247/oj</w:t>
      </w:r>
      <w:r w:rsidR="009770E6">
        <w:rPr>
          <w:rStyle w:val="Hyperlink"/>
          <w:sz w:val="24"/>
          <w:szCs w:val="24"/>
          <w:lang w:val="en-GB"/>
        </w:rPr>
        <w:fldChar w:fldCharType="end"/>
      </w:r>
      <w:r w:rsidR="000109FC" w:rsidRPr="00D4534F">
        <w:rPr>
          <w:sz w:val="24"/>
          <w:szCs w:val="24"/>
          <w:lang w:val="en-GB"/>
        </w:rPr>
        <w:t>).</w:t>
      </w:r>
    </w:p>
    <w:p w14:paraId="2127F435" w14:textId="373F5DE4" w:rsidR="000109FC" w:rsidRPr="00D4534F" w:rsidRDefault="002358F7" w:rsidP="003121D2">
      <w:pPr>
        <w:pStyle w:val="FootnoteText"/>
        <w:keepLines w:val="0"/>
        <w:ind w:left="567" w:hanging="567"/>
        <w:rPr>
          <w:sz w:val="24"/>
          <w:szCs w:val="24"/>
          <w:lang w:val="en-GB"/>
        </w:rPr>
      </w:pPr>
      <w:r w:rsidRPr="00D4534F">
        <w:rPr>
          <w:sz w:val="24"/>
          <w:szCs w:val="24"/>
          <w:lang w:val="en-GB"/>
        </w:rPr>
        <w:t xml:space="preserve"> </w:t>
      </w:r>
      <w:r w:rsidRPr="00D4534F">
        <w:rPr>
          <w:sz w:val="24"/>
          <w:szCs w:val="24"/>
          <w:lang w:val="en-GB"/>
        </w:rPr>
        <w:tab/>
      </w:r>
      <w:r w:rsidR="000109FC" w:rsidRPr="00D4534F">
        <w:rPr>
          <w:sz w:val="24"/>
          <w:szCs w:val="24"/>
          <w:lang w:val="en-GB"/>
        </w:rPr>
        <w:t>–</w:t>
      </w:r>
      <w:r w:rsidR="000109FC" w:rsidRPr="00D4534F">
        <w:rPr>
          <w:sz w:val="24"/>
          <w:szCs w:val="24"/>
          <w:lang w:val="en-GB"/>
        </w:rPr>
        <w:tab/>
        <w:t>European Parliament resolution of 8 May 2025 on the draft Commission implementing decision authorising the placing on the market of products containing, consisting of or produced from genetically modified soybean MON 87705 × MON 87708 × MON 89788 pursuant to Regulation (EC) No 1829/2003 of the European Parliament and of the Council (P10_TA(2025)0106).</w:t>
      </w:r>
    </w:p>
  </w:footnote>
  <w:footnote w:id="6">
    <w:p w14:paraId="14D05E03" w14:textId="33FC107D" w:rsidR="000109FC" w:rsidRPr="00D4534F" w:rsidRDefault="000109FC" w:rsidP="003121D2">
      <w:pPr>
        <w:pStyle w:val="FootnoteText"/>
        <w:keepLines w:val="0"/>
        <w:ind w:left="567" w:hanging="567"/>
        <w:rPr>
          <w:sz w:val="24"/>
          <w:szCs w:val="24"/>
          <w:lang w:val="en-GB"/>
        </w:rPr>
      </w:pPr>
      <w:r w:rsidRPr="00D4534F">
        <w:rPr>
          <w:rStyle w:val="FootnoteReference"/>
          <w:sz w:val="24"/>
          <w:szCs w:val="24"/>
          <w:lang w:val="en-GB"/>
        </w:rPr>
        <w:footnoteRef/>
      </w:r>
      <w:r w:rsidR="002358F7" w:rsidRPr="00D4534F">
        <w:rPr>
          <w:sz w:val="24"/>
          <w:szCs w:val="24"/>
          <w:lang w:val="en-GB"/>
        </w:rPr>
        <w:t xml:space="preserve"> </w:t>
      </w:r>
      <w:r w:rsidR="002358F7" w:rsidRPr="00D4534F">
        <w:rPr>
          <w:sz w:val="24"/>
          <w:szCs w:val="24"/>
          <w:lang w:val="en-GB"/>
        </w:rPr>
        <w:tab/>
      </w:r>
      <w:r w:rsidRPr="00D4534F">
        <w:rPr>
          <w:sz w:val="24"/>
          <w:szCs w:val="24"/>
          <w:lang w:val="en-GB"/>
        </w:rPr>
        <w:t xml:space="preserve">Regulation (EC) No 1107/2009 of the European Parliament and of the Council of 21 October 2009 concerning the placing of plant protection products on the market and repealing Council Directives 79/117/EEC and 91/414/EEC (OJ L 309, 24.11.2009, p. 1, ELI: </w:t>
      </w:r>
      <w:r w:rsidR="009770E6">
        <w:fldChar w:fldCharType="begin"/>
      </w:r>
      <w:r w:rsidR="009770E6" w:rsidRPr="009770E6">
        <w:rPr>
          <w:lang w:val="en-GB"/>
        </w:rPr>
        <w:instrText>HYPERLINK "http://data.europa.eu/eli/reg/2009/1107/oj" \o "Gives access to this document through its ELI URI."</w:instrText>
      </w:r>
      <w:r w:rsidR="009770E6">
        <w:fldChar w:fldCharType="separate"/>
      </w:r>
      <w:r w:rsidRPr="00D4534F">
        <w:rPr>
          <w:rStyle w:val="Hyperlink"/>
          <w:sz w:val="24"/>
          <w:szCs w:val="24"/>
          <w:lang w:val="en-GB"/>
        </w:rPr>
        <w:t>http://data.europa.eu/eli/reg/2009/1107/oj</w:t>
      </w:r>
      <w:r w:rsidR="009770E6">
        <w:rPr>
          <w:rStyle w:val="Hyperlink"/>
          <w:sz w:val="24"/>
          <w:szCs w:val="24"/>
          <w:lang w:val="en-GB"/>
        </w:rPr>
        <w:fldChar w:fldCharType="end"/>
      </w:r>
      <w:r w:rsidRPr="00D4534F">
        <w:rPr>
          <w:sz w:val="24"/>
          <w:szCs w:val="24"/>
          <w:lang w:val="en-GB"/>
        </w:rPr>
        <w:t>).</w:t>
      </w:r>
    </w:p>
  </w:footnote>
  <w:footnote w:id="7">
    <w:p w14:paraId="18B35AE1" w14:textId="4996ADDF" w:rsidR="000109FC" w:rsidRPr="00D4534F" w:rsidRDefault="000109FC" w:rsidP="003121D2">
      <w:pPr>
        <w:pStyle w:val="FootnoteText"/>
        <w:keepLines w:val="0"/>
        <w:ind w:left="567" w:hanging="567"/>
        <w:rPr>
          <w:sz w:val="24"/>
          <w:szCs w:val="24"/>
          <w:lang w:val="en-GB"/>
        </w:rPr>
      </w:pPr>
      <w:r w:rsidRPr="00D4534F">
        <w:rPr>
          <w:rStyle w:val="FootnoteReference"/>
          <w:sz w:val="24"/>
          <w:szCs w:val="24"/>
          <w:lang w:val="en-GB"/>
        </w:rPr>
        <w:footnoteRef/>
      </w:r>
      <w:r w:rsidR="002358F7" w:rsidRPr="00D4534F">
        <w:rPr>
          <w:sz w:val="24"/>
          <w:szCs w:val="24"/>
          <w:lang w:val="en-GB"/>
        </w:rPr>
        <w:t xml:space="preserve"> </w:t>
      </w:r>
      <w:r w:rsidR="002358F7" w:rsidRPr="00D4534F">
        <w:rPr>
          <w:sz w:val="24"/>
          <w:szCs w:val="24"/>
          <w:lang w:val="en-GB"/>
        </w:rPr>
        <w:tab/>
      </w:r>
      <w:r w:rsidR="009770E6">
        <w:fldChar w:fldCharType="begin"/>
      </w:r>
      <w:r w:rsidR="009770E6" w:rsidRPr="009770E6">
        <w:rPr>
          <w:lang w:val="en-GB"/>
        </w:rPr>
        <w:instrText>HYPERLINK "https://www.testbiotech.org/wp-content/uploads/2024/12/Testbiotech_comment_‌maize_DP51291.pdf"</w:instrText>
      </w:r>
      <w:r w:rsidR="009770E6">
        <w:fldChar w:fldCharType="separate"/>
      </w:r>
      <w:r w:rsidRPr="00D4534F">
        <w:rPr>
          <w:rStyle w:val="Hyperlink"/>
          <w:sz w:val="24"/>
          <w:szCs w:val="24"/>
          <w:lang w:val="en-GB"/>
        </w:rPr>
        <w:t>https://www.testbiotech.org/wp-content/uploads/2024/12/Testbiotech_comment_‌maize_DP51291.pdf</w:t>
      </w:r>
      <w:r w:rsidR="009770E6">
        <w:rPr>
          <w:rStyle w:val="Hyperlink"/>
          <w:sz w:val="24"/>
          <w:szCs w:val="24"/>
          <w:lang w:val="en-GB"/>
        </w:rPr>
        <w:fldChar w:fldCharType="end"/>
      </w:r>
      <w:r w:rsidRPr="00D4534F">
        <w:rPr>
          <w:sz w:val="24"/>
          <w:szCs w:val="24"/>
          <w:lang w:val="en-GB"/>
        </w:rPr>
        <w:t>.</w:t>
      </w:r>
    </w:p>
  </w:footnote>
  <w:footnote w:id="8">
    <w:p w14:paraId="33B22FA6" w14:textId="7533ECA4" w:rsidR="000109FC" w:rsidRPr="00D4534F" w:rsidRDefault="000109FC" w:rsidP="003121D2">
      <w:pPr>
        <w:pStyle w:val="FootnoteText"/>
        <w:keepLines w:val="0"/>
        <w:ind w:left="567" w:hanging="567"/>
        <w:rPr>
          <w:sz w:val="24"/>
          <w:szCs w:val="24"/>
          <w:lang w:val="en-GB"/>
        </w:rPr>
      </w:pPr>
      <w:r w:rsidRPr="00D4534F">
        <w:rPr>
          <w:rStyle w:val="FootnoteReference"/>
          <w:sz w:val="24"/>
          <w:szCs w:val="24"/>
          <w:lang w:val="en-GB"/>
        </w:rPr>
        <w:footnoteRef/>
      </w:r>
      <w:r w:rsidR="002358F7" w:rsidRPr="00D4534F">
        <w:rPr>
          <w:sz w:val="24"/>
          <w:szCs w:val="24"/>
          <w:lang w:val="en-GB"/>
        </w:rPr>
        <w:t xml:space="preserve"> </w:t>
      </w:r>
      <w:r w:rsidR="002358F7" w:rsidRPr="00D4534F">
        <w:rPr>
          <w:sz w:val="24"/>
          <w:szCs w:val="24"/>
          <w:lang w:val="en-GB"/>
        </w:rPr>
        <w:tab/>
      </w:r>
      <w:r w:rsidRPr="00D4534F">
        <w:rPr>
          <w:sz w:val="24"/>
          <w:szCs w:val="24"/>
          <w:lang w:val="en-GB"/>
        </w:rPr>
        <w:t xml:space="preserve">Commission Implementing Regulation (EU) No 503/2013 of 3 April 2013 on applications for authorisation of genetically modified food and feed in accordance with Regulation (EC) No 1829/2003 of the European Parliament and of the Council and amending Commission Regulations (EC) No 641/2004 and (EC) No 1981/2006 (OJ L 157, 8.6.2013, p. 1, ELI: </w:t>
      </w:r>
      <w:r w:rsidR="009770E6">
        <w:fldChar w:fldCharType="begin"/>
      </w:r>
      <w:r w:rsidR="009770E6" w:rsidRPr="009770E6">
        <w:rPr>
          <w:lang w:val="en-GB"/>
        </w:rPr>
        <w:instrText>HYPERLINK "http://data.europa.eu/eli/reg_impl/2013/503/oj"</w:instrText>
      </w:r>
      <w:r w:rsidR="009770E6">
        <w:fldChar w:fldCharType="separate"/>
      </w:r>
      <w:r w:rsidRPr="00D4534F">
        <w:rPr>
          <w:rStyle w:val="Hyperlink"/>
          <w:sz w:val="24"/>
          <w:szCs w:val="24"/>
          <w:lang w:val="en-GB"/>
        </w:rPr>
        <w:t>http://data.europa.eu/eli/reg_impl/2013/503/oj</w:t>
      </w:r>
      <w:r w:rsidR="009770E6">
        <w:rPr>
          <w:rStyle w:val="Hyperlink"/>
          <w:sz w:val="24"/>
          <w:szCs w:val="24"/>
          <w:lang w:val="en-GB"/>
        </w:rPr>
        <w:fldChar w:fldCharType="end"/>
      </w:r>
      <w:r w:rsidRPr="00D4534F">
        <w:rPr>
          <w:sz w:val="24"/>
          <w:szCs w:val="24"/>
          <w:lang w:val="en-GB"/>
        </w:rPr>
        <w:t>).</w:t>
      </w:r>
    </w:p>
  </w:footnote>
  <w:footnote w:id="9">
    <w:p w14:paraId="55DAB8D6" w14:textId="328AA194" w:rsidR="000109FC" w:rsidRPr="00D4534F" w:rsidRDefault="000109FC" w:rsidP="003121D2">
      <w:pPr>
        <w:pStyle w:val="FootnoteText"/>
        <w:keepLines w:val="0"/>
        <w:ind w:left="567" w:hanging="567"/>
        <w:rPr>
          <w:sz w:val="24"/>
          <w:szCs w:val="24"/>
          <w:lang w:val="en-GB"/>
        </w:rPr>
      </w:pPr>
      <w:r w:rsidRPr="00D4534F">
        <w:rPr>
          <w:rStyle w:val="FootnoteReference"/>
          <w:sz w:val="24"/>
          <w:szCs w:val="24"/>
          <w:lang w:val="en-GB"/>
        </w:rPr>
        <w:footnoteRef/>
      </w:r>
      <w:r w:rsidR="002358F7" w:rsidRPr="00D4534F">
        <w:rPr>
          <w:sz w:val="24"/>
          <w:szCs w:val="24"/>
          <w:lang w:val="en-GB"/>
        </w:rPr>
        <w:t xml:space="preserve"> </w:t>
      </w:r>
      <w:r w:rsidR="002358F7" w:rsidRPr="00D4534F">
        <w:rPr>
          <w:sz w:val="24"/>
          <w:szCs w:val="24"/>
          <w:lang w:val="en-GB"/>
        </w:rPr>
        <w:tab/>
      </w:r>
      <w:proofErr w:type="spellStart"/>
      <w:r w:rsidRPr="00D4534F">
        <w:rPr>
          <w:sz w:val="24"/>
          <w:szCs w:val="24"/>
          <w:lang w:val="en-GB"/>
        </w:rPr>
        <w:t>Trtikova</w:t>
      </w:r>
      <w:proofErr w:type="spellEnd"/>
      <w:r w:rsidRPr="00D4534F">
        <w:rPr>
          <w:sz w:val="24"/>
          <w:szCs w:val="24"/>
          <w:lang w:val="en-GB"/>
        </w:rPr>
        <w:t xml:space="preserve">, M., </w:t>
      </w:r>
      <w:proofErr w:type="spellStart"/>
      <w:r w:rsidRPr="00D4534F">
        <w:rPr>
          <w:sz w:val="24"/>
          <w:szCs w:val="24"/>
          <w:lang w:val="en-GB"/>
        </w:rPr>
        <w:t>Wikmark</w:t>
      </w:r>
      <w:proofErr w:type="spellEnd"/>
      <w:r w:rsidRPr="00D4534F">
        <w:rPr>
          <w:sz w:val="24"/>
          <w:szCs w:val="24"/>
          <w:lang w:val="en-GB"/>
        </w:rPr>
        <w:t xml:space="preserve"> O. G., </w:t>
      </w:r>
      <w:proofErr w:type="spellStart"/>
      <w:r w:rsidRPr="00D4534F">
        <w:rPr>
          <w:sz w:val="24"/>
          <w:szCs w:val="24"/>
          <w:lang w:val="en-GB"/>
        </w:rPr>
        <w:t>Zemp</w:t>
      </w:r>
      <w:proofErr w:type="spellEnd"/>
      <w:r w:rsidRPr="00D4534F">
        <w:rPr>
          <w:sz w:val="24"/>
          <w:szCs w:val="24"/>
          <w:lang w:val="en-GB"/>
        </w:rPr>
        <w:t xml:space="preserve">, N., Widmer, A., </w:t>
      </w:r>
      <w:proofErr w:type="spellStart"/>
      <w:r w:rsidRPr="00D4534F">
        <w:rPr>
          <w:sz w:val="24"/>
          <w:szCs w:val="24"/>
          <w:lang w:val="en-GB"/>
        </w:rPr>
        <w:t>Hilbeck</w:t>
      </w:r>
      <w:proofErr w:type="spellEnd"/>
      <w:r w:rsidRPr="00D4534F">
        <w:rPr>
          <w:sz w:val="24"/>
          <w:szCs w:val="24"/>
          <w:lang w:val="en-GB"/>
        </w:rPr>
        <w:t xml:space="preserve">, A., (2015) ‘Transgene Expression and </w:t>
      </w:r>
      <w:proofErr w:type="spellStart"/>
      <w:r w:rsidRPr="00D4534F">
        <w:rPr>
          <w:sz w:val="24"/>
          <w:szCs w:val="24"/>
          <w:lang w:val="en-GB"/>
        </w:rPr>
        <w:t>Bt</w:t>
      </w:r>
      <w:proofErr w:type="spellEnd"/>
      <w:r w:rsidRPr="00D4534F">
        <w:rPr>
          <w:sz w:val="24"/>
          <w:szCs w:val="24"/>
          <w:lang w:val="en-GB"/>
        </w:rPr>
        <w:t xml:space="preserve"> Protein Content in Transgenic </w:t>
      </w:r>
      <w:proofErr w:type="spellStart"/>
      <w:r w:rsidRPr="00D4534F">
        <w:rPr>
          <w:sz w:val="24"/>
          <w:szCs w:val="24"/>
          <w:lang w:val="en-GB"/>
        </w:rPr>
        <w:t>Bt</w:t>
      </w:r>
      <w:proofErr w:type="spellEnd"/>
      <w:r w:rsidRPr="00D4534F">
        <w:rPr>
          <w:sz w:val="24"/>
          <w:szCs w:val="24"/>
          <w:lang w:val="en-GB"/>
        </w:rPr>
        <w:t xml:space="preserve"> Maize (MON810) under Optimal and Stressful Environmental Conditions’, </w:t>
      </w:r>
      <w:proofErr w:type="spellStart"/>
      <w:r w:rsidRPr="00D4534F">
        <w:rPr>
          <w:sz w:val="24"/>
          <w:szCs w:val="24"/>
          <w:lang w:val="en-GB"/>
        </w:rPr>
        <w:t>PLoS</w:t>
      </w:r>
      <w:proofErr w:type="spellEnd"/>
      <w:r w:rsidRPr="00D4534F">
        <w:rPr>
          <w:sz w:val="24"/>
          <w:szCs w:val="24"/>
          <w:lang w:val="en-GB"/>
        </w:rPr>
        <w:t xml:space="preserve"> ONE 10(4): e0123011, </w:t>
      </w:r>
      <w:r w:rsidR="009770E6">
        <w:fldChar w:fldCharType="begin"/>
      </w:r>
      <w:r w:rsidR="009770E6" w:rsidRPr="009770E6">
        <w:rPr>
          <w:lang w:val="en-GB"/>
        </w:rPr>
        <w:instrText>HYPERLINK "https://doi.org/10.1371/journal.pone.0123011"</w:instrText>
      </w:r>
      <w:r w:rsidR="009770E6">
        <w:fldChar w:fldCharType="separate"/>
      </w:r>
      <w:r w:rsidRPr="00D4534F">
        <w:rPr>
          <w:rStyle w:val="Hyperlink"/>
          <w:sz w:val="24"/>
          <w:szCs w:val="24"/>
          <w:lang w:val="en-GB"/>
        </w:rPr>
        <w:t>https://doi.org/10.1371/journal.pone.0123011</w:t>
      </w:r>
      <w:r w:rsidR="009770E6">
        <w:rPr>
          <w:rStyle w:val="Hyperlink"/>
          <w:sz w:val="24"/>
          <w:szCs w:val="24"/>
          <w:lang w:val="en-GB"/>
        </w:rPr>
        <w:fldChar w:fldCharType="end"/>
      </w:r>
      <w:r w:rsidRPr="00D4534F">
        <w:rPr>
          <w:sz w:val="24"/>
          <w:szCs w:val="24"/>
          <w:lang w:val="en-GB"/>
        </w:rPr>
        <w:t>.</w:t>
      </w:r>
    </w:p>
  </w:footnote>
  <w:footnote w:id="10">
    <w:p w14:paraId="42F1D929" w14:textId="1AC5F462" w:rsidR="000109FC" w:rsidRPr="00D4534F" w:rsidRDefault="000109FC" w:rsidP="003121D2">
      <w:pPr>
        <w:pStyle w:val="FootnoteText"/>
        <w:keepLines w:val="0"/>
        <w:ind w:left="567" w:hanging="567"/>
        <w:rPr>
          <w:sz w:val="24"/>
          <w:szCs w:val="24"/>
          <w:lang w:val="en-GB"/>
        </w:rPr>
      </w:pPr>
      <w:r w:rsidRPr="00D4534F">
        <w:rPr>
          <w:rStyle w:val="FootnoteReference"/>
          <w:sz w:val="24"/>
          <w:szCs w:val="24"/>
          <w:lang w:val="en-GB"/>
        </w:rPr>
        <w:footnoteRef/>
      </w:r>
      <w:r w:rsidR="002358F7" w:rsidRPr="00D4534F">
        <w:rPr>
          <w:sz w:val="24"/>
          <w:szCs w:val="24"/>
          <w:lang w:val="en-GB"/>
        </w:rPr>
        <w:t xml:space="preserve"> </w:t>
      </w:r>
      <w:r w:rsidR="002358F7" w:rsidRPr="00D4534F">
        <w:rPr>
          <w:sz w:val="24"/>
          <w:szCs w:val="24"/>
          <w:lang w:val="en-GB"/>
        </w:rPr>
        <w:tab/>
      </w:r>
      <w:r w:rsidRPr="00D4534F">
        <w:rPr>
          <w:sz w:val="24"/>
          <w:szCs w:val="24"/>
          <w:lang w:val="en-GB"/>
        </w:rPr>
        <w:t xml:space="preserve">See, for example, Schulz, R., Bub, S., </w:t>
      </w:r>
      <w:proofErr w:type="spellStart"/>
      <w:r w:rsidRPr="00D4534F">
        <w:rPr>
          <w:sz w:val="24"/>
          <w:szCs w:val="24"/>
          <w:lang w:val="en-GB"/>
        </w:rPr>
        <w:t>Petschick</w:t>
      </w:r>
      <w:proofErr w:type="spellEnd"/>
      <w:r w:rsidRPr="00D4534F">
        <w:rPr>
          <w:sz w:val="24"/>
          <w:szCs w:val="24"/>
          <w:lang w:val="en-GB"/>
        </w:rPr>
        <w:t xml:space="preserve">, L. L., </w:t>
      </w:r>
      <w:proofErr w:type="spellStart"/>
      <w:r w:rsidRPr="00D4534F">
        <w:rPr>
          <w:sz w:val="24"/>
          <w:szCs w:val="24"/>
          <w:lang w:val="en-GB"/>
        </w:rPr>
        <w:t>Stehle</w:t>
      </w:r>
      <w:proofErr w:type="spellEnd"/>
      <w:r w:rsidRPr="00D4534F">
        <w:rPr>
          <w:sz w:val="24"/>
          <w:szCs w:val="24"/>
          <w:lang w:val="en-GB"/>
        </w:rPr>
        <w:t xml:space="preserve">, S., Wolfram, J. (2021) ‘Applied pesticide toxicity shifts toward plants and invertebrates, even in GM crops’, Science 372(6537), pp. 81-84, </w:t>
      </w:r>
      <w:r w:rsidR="009770E6">
        <w:fldChar w:fldCharType="begin"/>
      </w:r>
      <w:r w:rsidR="009770E6" w:rsidRPr="009770E6">
        <w:rPr>
          <w:lang w:val="en-GB"/>
        </w:rPr>
        <w:instrText>HYPERLINK "https://doi.org/10.1126/science.abe1148"</w:instrText>
      </w:r>
      <w:r w:rsidR="009770E6">
        <w:fldChar w:fldCharType="separate"/>
      </w:r>
      <w:r w:rsidRPr="00D4534F">
        <w:rPr>
          <w:rStyle w:val="Hyperlink"/>
          <w:sz w:val="24"/>
          <w:szCs w:val="24"/>
          <w:lang w:val="en-GB"/>
        </w:rPr>
        <w:t>https://doi.org/10.1126/science.abe1148</w:t>
      </w:r>
      <w:r w:rsidR="009770E6">
        <w:rPr>
          <w:rStyle w:val="Hyperlink"/>
          <w:sz w:val="24"/>
          <w:szCs w:val="24"/>
          <w:lang w:val="en-GB"/>
        </w:rPr>
        <w:fldChar w:fldCharType="end"/>
      </w:r>
      <w:r w:rsidRPr="00D4534F">
        <w:rPr>
          <w:sz w:val="24"/>
          <w:szCs w:val="24"/>
          <w:lang w:val="en-GB"/>
        </w:rPr>
        <w:t xml:space="preserve">; Bonny, S., ‘Genetically Modified Herbicide-Tolerant Crops, Weeds, and Herbicides: Overview and Impact’, Environmental Management, January 2016;57(1), pp. 31-48, </w:t>
      </w:r>
      <w:r w:rsidR="009770E6">
        <w:fldChar w:fldCharType="begin"/>
      </w:r>
      <w:r w:rsidR="009770E6" w:rsidRPr="009770E6">
        <w:rPr>
          <w:lang w:val="en-GB"/>
        </w:rPr>
        <w:instrText>HYPERLINK "https://www.ncbi.nlm.nih.gov/pubmed/26296738"</w:instrText>
      </w:r>
      <w:r w:rsidR="009770E6">
        <w:fldChar w:fldCharType="separate"/>
      </w:r>
      <w:r w:rsidRPr="00D4534F">
        <w:rPr>
          <w:rStyle w:val="Hyperlink"/>
          <w:sz w:val="24"/>
          <w:szCs w:val="24"/>
          <w:lang w:val="en-GB"/>
        </w:rPr>
        <w:t>https://www.ncbi.nlm.nih.gov/pubmed/26296738</w:t>
      </w:r>
      <w:r w:rsidR="009770E6">
        <w:rPr>
          <w:rStyle w:val="Hyperlink"/>
          <w:sz w:val="24"/>
          <w:szCs w:val="24"/>
          <w:lang w:val="en-GB"/>
        </w:rPr>
        <w:fldChar w:fldCharType="end"/>
      </w:r>
      <w:r w:rsidRPr="00D4534F">
        <w:rPr>
          <w:sz w:val="24"/>
          <w:szCs w:val="24"/>
          <w:lang w:val="en-GB"/>
        </w:rPr>
        <w:t xml:space="preserve">; and Benbrook, C. M., ‘Impacts of genetically engineered crops on pesticide use in the U.S. - the first sixteen years’, Environmental Sciences Europe, 28 September 2012, Vol. 24(24), </w:t>
      </w:r>
      <w:r w:rsidR="009770E6">
        <w:fldChar w:fldCharType="begin"/>
      </w:r>
      <w:r w:rsidR="009770E6" w:rsidRPr="009770E6">
        <w:rPr>
          <w:lang w:val="en-GB"/>
        </w:rPr>
        <w:instrText>HYPERLINK "https://doi.org/10.1186/2190-4715-24-24"</w:instrText>
      </w:r>
      <w:r w:rsidR="009770E6">
        <w:fldChar w:fldCharType="separate"/>
      </w:r>
      <w:r w:rsidRPr="00D4534F">
        <w:rPr>
          <w:rStyle w:val="Hyperlink"/>
          <w:sz w:val="24"/>
          <w:szCs w:val="24"/>
          <w:lang w:val="en-GB"/>
        </w:rPr>
        <w:t>https://doi.org/10.1186/2190-4715-24-24</w:t>
      </w:r>
      <w:r w:rsidR="009770E6">
        <w:rPr>
          <w:rStyle w:val="Hyperlink"/>
          <w:sz w:val="24"/>
          <w:szCs w:val="24"/>
          <w:lang w:val="en-GB"/>
        </w:rPr>
        <w:fldChar w:fldCharType="end"/>
      </w:r>
      <w:r w:rsidRPr="00D4534F">
        <w:rPr>
          <w:sz w:val="24"/>
          <w:szCs w:val="24"/>
          <w:lang w:val="en-GB"/>
        </w:rPr>
        <w:t>.</w:t>
      </w:r>
    </w:p>
  </w:footnote>
  <w:footnote w:id="11">
    <w:p w14:paraId="5324D78E" w14:textId="4F5E9898" w:rsidR="000109FC" w:rsidRPr="00D4534F" w:rsidRDefault="000109FC" w:rsidP="003121D2">
      <w:pPr>
        <w:pStyle w:val="FootnoteText"/>
        <w:keepLines w:val="0"/>
        <w:ind w:left="567" w:hanging="567"/>
        <w:rPr>
          <w:sz w:val="24"/>
          <w:szCs w:val="24"/>
          <w:lang w:val="en-GB"/>
        </w:rPr>
      </w:pPr>
      <w:r w:rsidRPr="00D4534F">
        <w:rPr>
          <w:rStyle w:val="FootnoteReference"/>
          <w:sz w:val="24"/>
          <w:szCs w:val="24"/>
          <w:lang w:val="en-GB"/>
        </w:rPr>
        <w:footnoteRef/>
      </w:r>
      <w:r w:rsidR="002358F7" w:rsidRPr="00D4534F">
        <w:rPr>
          <w:sz w:val="24"/>
          <w:szCs w:val="24"/>
          <w:lang w:val="en-GB"/>
        </w:rPr>
        <w:t xml:space="preserve"> </w:t>
      </w:r>
      <w:r w:rsidR="002358F7" w:rsidRPr="00D4534F">
        <w:rPr>
          <w:sz w:val="24"/>
          <w:szCs w:val="24"/>
          <w:lang w:val="en-GB"/>
        </w:rPr>
        <w:tab/>
      </w:r>
      <w:r w:rsidRPr="00D4534F">
        <w:rPr>
          <w:sz w:val="24"/>
          <w:szCs w:val="24"/>
          <w:lang w:val="en-GB"/>
        </w:rPr>
        <w:t>For a review, see Rubio-Infante, N., Moreno-</w:t>
      </w:r>
      <w:proofErr w:type="spellStart"/>
      <w:r w:rsidRPr="00D4534F">
        <w:rPr>
          <w:sz w:val="24"/>
          <w:szCs w:val="24"/>
          <w:lang w:val="en-GB"/>
        </w:rPr>
        <w:t>Fierros</w:t>
      </w:r>
      <w:proofErr w:type="spellEnd"/>
      <w:r w:rsidRPr="00D4534F">
        <w:rPr>
          <w:sz w:val="24"/>
          <w:szCs w:val="24"/>
          <w:lang w:val="en-GB"/>
        </w:rPr>
        <w:t xml:space="preserve">, L., ‘An overview of the safety and biological effects of </w:t>
      </w:r>
      <w:r w:rsidRPr="00D4534F">
        <w:rPr>
          <w:i/>
          <w:iCs/>
          <w:sz w:val="24"/>
          <w:szCs w:val="24"/>
          <w:lang w:val="en-GB"/>
        </w:rPr>
        <w:t>Bacillus thuringiensis</w:t>
      </w:r>
      <w:r w:rsidRPr="00D4534F">
        <w:rPr>
          <w:sz w:val="24"/>
          <w:szCs w:val="24"/>
          <w:lang w:val="en-GB"/>
        </w:rPr>
        <w:t xml:space="preserve"> Cry toxins in mammals’, Journal of Applied Toxicology, May 2016, 36(5), pp. 630-648, </w:t>
      </w:r>
      <w:r w:rsidR="009770E6">
        <w:fldChar w:fldCharType="begin"/>
      </w:r>
      <w:r w:rsidR="009770E6" w:rsidRPr="009770E6">
        <w:rPr>
          <w:lang w:val="en-GB"/>
        </w:rPr>
        <w:instrText>HYPERLINK "https://onlinelibrary.wiley.com/doi/full/10.1002/jat.3252"</w:instrText>
      </w:r>
      <w:r w:rsidR="009770E6">
        <w:fldChar w:fldCharType="separate"/>
      </w:r>
      <w:r w:rsidRPr="00D4534F">
        <w:rPr>
          <w:rStyle w:val="Hyperlink"/>
          <w:sz w:val="24"/>
          <w:szCs w:val="24"/>
          <w:lang w:val="en-GB"/>
        </w:rPr>
        <w:t>https://onlinelibrary.wiley.com/doi/full/10.1002/jat.3252</w:t>
      </w:r>
      <w:r w:rsidR="009770E6">
        <w:rPr>
          <w:rStyle w:val="Hyperlink"/>
          <w:sz w:val="24"/>
          <w:szCs w:val="24"/>
          <w:lang w:val="en-GB"/>
        </w:rPr>
        <w:fldChar w:fldCharType="end"/>
      </w:r>
      <w:r w:rsidRPr="00D4534F">
        <w:rPr>
          <w:sz w:val="24"/>
          <w:szCs w:val="24"/>
          <w:lang w:val="en-GB"/>
        </w:rPr>
        <w:t>.</w:t>
      </w:r>
    </w:p>
  </w:footnote>
  <w:footnote w:id="12">
    <w:p w14:paraId="476E3E5F" w14:textId="413E8CAE" w:rsidR="000109FC" w:rsidRPr="00D4534F" w:rsidRDefault="000109FC" w:rsidP="003121D2">
      <w:pPr>
        <w:pStyle w:val="FootnoteText"/>
        <w:keepLines w:val="0"/>
        <w:ind w:left="567" w:hanging="567"/>
        <w:rPr>
          <w:sz w:val="24"/>
          <w:szCs w:val="24"/>
          <w:lang w:val="en-GB"/>
        </w:rPr>
      </w:pPr>
      <w:r w:rsidRPr="00D4534F">
        <w:rPr>
          <w:rStyle w:val="FootnoteReference"/>
          <w:sz w:val="24"/>
          <w:szCs w:val="24"/>
          <w:lang w:val="en-GB"/>
        </w:rPr>
        <w:footnoteRef/>
      </w:r>
      <w:r w:rsidR="002358F7" w:rsidRPr="00D4534F">
        <w:rPr>
          <w:sz w:val="24"/>
          <w:szCs w:val="24"/>
          <w:lang w:val="en-GB"/>
        </w:rPr>
        <w:t xml:space="preserve"> </w:t>
      </w:r>
      <w:r w:rsidR="002358F7" w:rsidRPr="00D4534F">
        <w:rPr>
          <w:sz w:val="24"/>
          <w:szCs w:val="24"/>
          <w:lang w:val="en-GB"/>
        </w:rPr>
        <w:tab/>
      </w:r>
      <w:proofErr w:type="spellStart"/>
      <w:r w:rsidRPr="00D4534F">
        <w:rPr>
          <w:sz w:val="24"/>
          <w:szCs w:val="24"/>
          <w:lang w:val="en-GB"/>
        </w:rPr>
        <w:t>Bøhn</w:t>
      </w:r>
      <w:proofErr w:type="spellEnd"/>
      <w:r w:rsidRPr="00D4534F">
        <w:rPr>
          <w:sz w:val="24"/>
          <w:szCs w:val="24"/>
          <w:lang w:val="en-GB"/>
        </w:rPr>
        <w:t xml:space="preserve">, T., </w:t>
      </w:r>
      <w:proofErr w:type="spellStart"/>
      <w:r w:rsidRPr="00D4534F">
        <w:rPr>
          <w:sz w:val="24"/>
          <w:szCs w:val="24"/>
          <w:lang w:val="en-GB"/>
        </w:rPr>
        <w:t>Macagnan</w:t>
      </w:r>
      <w:proofErr w:type="spellEnd"/>
      <w:r w:rsidRPr="00D4534F">
        <w:rPr>
          <w:sz w:val="24"/>
          <w:szCs w:val="24"/>
          <w:lang w:val="en-GB"/>
        </w:rPr>
        <w:t xml:space="preserve"> Rover, C., </w:t>
      </w:r>
      <w:proofErr w:type="spellStart"/>
      <w:r w:rsidRPr="00D4534F">
        <w:rPr>
          <w:sz w:val="24"/>
          <w:szCs w:val="24"/>
          <w:lang w:val="en-GB"/>
        </w:rPr>
        <w:t>Semenchuk</w:t>
      </w:r>
      <w:proofErr w:type="spellEnd"/>
      <w:r w:rsidRPr="00D4534F">
        <w:rPr>
          <w:sz w:val="24"/>
          <w:szCs w:val="24"/>
          <w:lang w:val="en-GB"/>
        </w:rPr>
        <w:t>, P. R., ‘</w:t>
      </w:r>
      <w:r w:rsidRPr="00D4534F">
        <w:rPr>
          <w:i/>
          <w:iCs/>
          <w:sz w:val="24"/>
          <w:szCs w:val="24"/>
          <w:lang w:val="en-GB"/>
        </w:rPr>
        <w:t>Daphnia magna</w:t>
      </w:r>
      <w:r w:rsidRPr="00D4534F">
        <w:rPr>
          <w:sz w:val="24"/>
          <w:szCs w:val="24"/>
          <w:lang w:val="en-GB"/>
        </w:rPr>
        <w:t xml:space="preserve"> negatively affected by chronic exposure to purified Cry-toxins’, Food and Chemical Toxicology, May 2016, Volume 91, pp. 130-140, </w:t>
      </w:r>
      <w:r w:rsidR="009770E6">
        <w:fldChar w:fldCharType="begin"/>
      </w:r>
      <w:r w:rsidR="009770E6" w:rsidRPr="009770E6">
        <w:rPr>
          <w:lang w:val="en-GB"/>
        </w:rPr>
        <w:instrText>HYPERLINK "https://doi.org/10.1016/j.fct.2016.03.009"</w:instrText>
      </w:r>
      <w:r w:rsidR="009770E6">
        <w:fldChar w:fldCharType="separate"/>
      </w:r>
      <w:r w:rsidRPr="00D4534F">
        <w:rPr>
          <w:rStyle w:val="Hyperlink"/>
          <w:sz w:val="24"/>
          <w:szCs w:val="24"/>
          <w:lang w:val="en-GB"/>
        </w:rPr>
        <w:t>https://doi.org/10.1016/j.fct.2016.03.009</w:t>
      </w:r>
      <w:r w:rsidR="009770E6">
        <w:rPr>
          <w:rStyle w:val="Hyperlink"/>
          <w:sz w:val="24"/>
          <w:szCs w:val="24"/>
          <w:lang w:val="en-GB"/>
        </w:rPr>
        <w:fldChar w:fldCharType="end"/>
      </w:r>
      <w:r w:rsidRPr="00D4534F">
        <w:rPr>
          <w:sz w:val="24"/>
          <w:szCs w:val="24"/>
          <w:lang w:val="en-GB"/>
        </w:rPr>
        <w:t>.</w:t>
      </w:r>
    </w:p>
  </w:footnote>
  <w:footnote w:id="13">
    <w:p w14:paraId="6B5BAFE8" w14:textId="669D2C2E" w:rsidR="000109FC" w:rsidRPr="00D4534F" w:rsidRDefault="000109FC" w:rsidP="003121D2">
      <w:pPr>
        <w:pStyle w:val="FootnoteText"/>
        <w:keepLines w:val="0"/>
        <w:ind w:left="567" w:hanging="567"/>
        <w:rPr>
          <w:sz w:val="24"/>
          <w:szCs w:val="24"/>
          <w:lang w:val="en-GB"/>
        </w:rPr>
      </w:pPr>
      <w:r w:rsidRPr="00D4534F">
        <w:rPr>
          <w:rStyle w:val="FootnoteReference"/>
          <w:sz w:val="24"/>
          <w:szCs w:val="24"/>
          <w:lang w:val="en-GB"/>
        </w:rPr>
        <w:footnoteRef/>
      </w:r>
      <w:r w:rsidR="002358F7" w:rsidRPr="00D4534F">
        <w:rPr>
          <w:sz w:val="24"/>
          <w:szCs w:val="24"/>
          <w:lang w:val="en-GB"/>
        </w:rPr>
        <w:t xml:space="preserve"> </w:t>
      </w:r>
      <w:r w:rsidR="002358F7" w:rsidRPr="00D4534F">
        <w:rPr>
          <w:sz w:val="24"/>
          <w:szCs w:val="24"/>
          <w:lang w:val="en-GB"/>
        </w:rPr>
        <w:tab/>
      </w:r>
      <w:proofErr w:type="spellStart"/>
      <w:r w:rsidRPr="00D4534F">
        <w:rPr>
          <w:sz w:val="24"/>
          <w:szCs w:val="24"/>
          <w:lang w:val="en-GB"/>
        </w:rPr>
        <w:t>Trtikova</w:t>
      </w:r>
      <w:proofErr w:type="spellEnd"/>
      <w:r w:rsidRPr="00D4534F">
        <w:rPr>
          <w:sz w:val="24"/>
          <w:szCs w:val="24"/>
          <w:lang w:val="en-GB"/>
        </w:rPr>
        <w:t xml:space="preserve">, M., </w:t>
      </w:r>
      <w:proofErr w:type="spellStart"/>
      <w:r w:rsidRPr="00D4534F">
        <w:rPr>
          <w:sz w:val="24"/>
          <w:szCs w:val="24"/>
          <w:lang w:val="en-GB"/>
        </w:rPr>
        <w:t>Lohn</w:t>
      </w:r>
      <w:proofErr w:type="spellEnd"/>
      <w:r w:rsidRPr="00D4534F">
        <w:rPr>
          <w:sz w:val="24"/>
          <w:szCs w:val="24"/>
          <w:lang w:val="en-GB"/>
        </w:rPr>
        <w:t xml:space="preserve">, A., </w:t>
      </w:r>
      <w:proofErr w:type="spellStart"/>
      <w:r w:rsidRPr="00D4534F">
        <w:rPr>
          <w:sz w:val="24"/>
          <w:szCs w:val="24"/>
          <w:lang w:val="en-GB"/>
        </w:rPr>
        <w:t>Binimelis</w:t>
      </w:r>
      <w:proofErr w:type="spellEnd"/>
      <w:r w:rsidRPr="00D4534F">
        <w:rPr>
          <w:sz w:val="24"/>
          <w:szCs w:val="24"/>
          <w:lang w:val="en-GB"/>
        </w:rPr>
        <w:t xml:space="preserve">, R., </w:t>
      </w:r>
      <w:proofErr w:type="spellStart"/>
      <w:r w:rsidRPr="00D4534F">
        <w:rPr>
          <w:sz w:val="24"/>
          <w:szCs w:val="24"/>
          <w:lang w:val="en-GB"/>
        </w:rPr>
        <w:t>Chapela</w:t>
      </w:r>
      <w:proofErr w:type="spellEnd"/>
      <w:r w:rsidRPr="00D4534F">
        <w:rPr>
          <w:sz w:val="24"/>
          <w:szCs w:val="24"/>
          <w:lang w:val="en-GB"/>
        </w:rPr>
        <w:t xml:space="preserve">, I., </w:t>
      </w:r>
      <w:proofErr w:type="spellStart"/>
      <w:r w:rsidRPr="00D4534F">
        <w:rPr>
          <w:sz w:val="24"/>
          <w:szCs w:val="24"/>
          <w:lang w:val="en-GB"/>
        </w:rPr>
        <w:t>Oehen</w:t>
      </w:r>
      <w:proofErr w:type="spellEnd"/>
      <w:r w:rsidRPr="00D4534F">
        <w:rPr>
          <w:sz w:val="24"/>
          <w:szCs w:val="24"/>
          <w:lang w:val="en-GB"/>
        </w:rPr>
        <w:t xml:space="preserve">, B., </w:t>
      </w:r>
      <w:proofErr w:type="spellStart"/>
      <w:r w:rsidRPr="00D4534F">
        <w:rPr>
          <w:sz w:val="24"/>
          <w:szCs w:val="24"/>
          <w:lang w:val="en-GB"/>
        </w:rPr>
        <w:t>Zemp</w:t>
      </w:r>
      <w:proofErr w:type="spellEnd"/>
      <w:r w:rsidRPr="00D4534F">
        <w:rPr>
          <w:sz w:val="24"/>
          <w:szCs w:val="24"/>
          <w:lang w:val="en-GB"/>
        </w:rPr>
        <w:t xml:space="preserve">, N., Widmer, A., </w:t>
      </w:r>
      <w:proofErr w:type="spellStart"/>
      <w:r w:rsidRPr="00D4534F">
        <w:rPr>
          <w:sz w:val="24"/>
          <w:szCs w:val="24"/>
          <w:lang w:val="en-GB"/>
        </w:rPr>
        <w:t>Hilbeck</w:t>
      </w:r>
      <w:proofErr w:type="spellEnd"/>
      <w:r w:rsidRPr="00D4534F">
        <w:rPr>
          <w:sz w:val="24"/>
          <w:szCs w:val="24"/>
          <w:lang w:val="en-GB"/>
        </w:rPr>
        <w:t xml:space="preserve">, A., (2017), ‘Teosinte in Europe – Searching for the Origin of a Novel Weed’, Scientific Reports, 7:1560, </w:t>
      </w:r>
      <w:r w:rsidR="009770E6">
        <w:fldChar w:fldCharType="begin"/>
      </w:r>
      <w:r w:rsidR="009770E6" w:rsidRPr="009770E6">
        <w:rPr>
          <w:lang w:val="en-GB"/>
        </w:rPr>
        <w:instrText>HYPERLINK "https://doi.org/10.1038/s41598-017-01478-w"</w:instrText>
      </w:r>
      <w:r w:rsidR="009770E6">
        <w:fldChar w:fldCharType="separate"/>
      </w:r>
      <w:r w:rsidRPr="00D4534F">
        <w:rPr>
          <w:rStyle w:val="Hyperlink"/>
          <w:sz w:val="24"/>
          <w:szCs w:val="24"/>
          <w:lang w:val="en-GB"/>
        </w:rPr>
        <w:t>https://doi.org/10.1038/s41598-017-01478-w</w:t>
      </w:r>
      <w:r w:rsidR="009770E6">
        <w:rPr>
          <w:rStyle w:val="Hyperlink"/>
          <w:sz w:val="24"/>
          <w:szCs w:val="24"/>
          <w:lang w:val="en-GB"/>
        </w:rPr>
        <w:fldChar w:fldCharType="end"/>
      </w:r>
      <w:r w:rsidRPr="00D4534F">
        <w:rPr>
          <w:sz w:val="24"/>
          <w:szCs w:val="24"/>
          <w:lang w:val="en-GB"/>
        </w:rPr>
        <w:t>.</w:t>
      </w:r>
    </w:p>
  </w:footnote>
  <w:footnote w:id="14">
    <w:p w14:paraId="3778389D" w14:textId="5A143118" w:rsidR="000109FC" w:rsidRPr="00D4534F" w:rsidRDefault="000109FC" w:rsidP="003121D2">
      <w:pPr>
        <w:pStyle w:val="FootnoteText"/>
        <w:keepLines w:val="0"/>
        <w:ind w:left="567" w:hanging="567"/>
        <w:rPr>
          <w:sz w:val="24"/>
          <w:szCs w:val="24"/>
          <w:lang w:val="en-GB"/>
        </w:rPr>
      </w:pPr>
      <w:r w:rsidRPr="00D4534F">
        <w:rPr>
          <w:rStyle w:val="FootnoteReference"/>
          <w:sz w:val="24"/>
          <w:szCs w:val="24"/>
          <w:lang w:val="en-GB"/>
        </w:rPr>
        <w:footnoteRef/>
      </w:r>
      <w:r w:rsidR="002358F7" w:rsidRPr="00D4534F">
        <w:rPr>
          <w:sz w:val="24"/>
          <w:szCs w:val="24"/>
          <w:lang w:val="en-GB"/>
        </w:rPr>
        <w:t xml:space="preserve"> </w:t>
      </w:r>
      <w:r w:rsidR="002358F7" w:rsidRPr="00D4534F">
        <w:rPr>
          <w:sz w:val="24"/>
          <w:szCs w:val="24"/>
          <w:lang w:val="en-GB"/>
        </w:rPr>
        <w:tab/>
      </w:r>
      <w:r w:rsidRPr="00D4534F">
        <w:rPr>
          <w:sz w:val="24"/>
          <w:szCs w:val="24"/>
          <w:lang w:val="en-GB"/>
        </w:rPr>
        <w:t xml:space="preserve">Strategic Dialogue on the Future of EU Agriculture - A shared prospect for farming and food in Europe, September 2024, </w:t>
      </w:r>
      <w:r w:rsidR="009770E6">
        <w:fldChar w:fldCharType="begin"/>
      </w:r>
      <w:r w:rsidR="009770E6" w:rsidRPr="009770E6">
        <w:rPr>
          <w:lang w:val="en-GB"/>
        </w:rPr>
        <w:instrText>HYPERLINK "https://agriculture.ec.europa.eu/document/download/171329ff-0f50-4fa5-946f-aea11032172e_en?filename=strategic-dialogue-report-2024_en.pdf"</w:instrText>
      </w:r>
      <w:r w:rsidR="009770E6">
        <w:fldChar w:fldCharType="separate"/>
      </w:r>
      <w:r w:rsidRPr="00D4534F">
        <w:rPr>
          <w:rStyle w:val="Hyperlink"/>
          <w:sz w:val="24"/>
          <w:szCs w:val="24"/>
          <w:lang w:val="en-GB"/>
        </w:rPr>
        <w:t>https://agriculture.ec.europa.eu/document/download/171329ff-0f50-4fa5-946f-aea11032172e_en?filename=strategic-dialogue-report-2024_en.pdf</w:t>
      </w:r>
      <w:r w:rsidR="009770E6">
        <w:rPr>
          <w:rStyle w:val="Hyperlink"/>
          <w:sz w:val="24"/>
          <w:szCs w:val="24"/>
          <w:lang w:val="en-GB"/>
        </w:rPr>
        <w:fldChar w:fldCharType="end"/>
      </w:r>
      <w:r w:rsidRPr="00D4534F">
        <w:rPr>
          <w:sz w:val="24"/>
          <w:szCs w:val="24"/>
          <w:lang w:val="en-GB"/>
        </w:rPr>
        <w:t xml:space="preserve">. </w:t>
      </w:r>
    </w:p>
  </w:footnote>
  <w:footnote w:id="15">
    <w:p w14:paraId="1A20B714" w14:textId="7AAEEE9E" w:rsidR="000109FC" w:rsidRPr="00D4534F" w:rsidRDefault="000109FC" w:rsidP="003121D2">
      <w:pPr>
        <w:pStyle w:val="FootnoteText"/>
        <w:keepLines w:val="0"/>
        <w:ind w:left="567" w:hanging="567"/>
        <w:rPr>
          <w:sz w:val="24"/>
          <w:szCs w:val="24"/>
          <w:lang w:val="en-GB"/>
        </w:rPr>
      </w:pPr>
      <w:r w:rsidRPr="00D4534F">
        <w:rPr>
          <w:rStyle w:val="FootnoteReference"/>
          <w:sz w:val="24"/>
          <w:szCs w:val="24"/>
          <w:lang w:val="en-GB"/>
        </w:rPr>
        <w:footnoteRef/>
      </w:r>
      <w:r w:rsidR="002358F7" w:rsidRPr="00D4534F">
        <w:rPr>
          <w:sz w:val="24"/>
          <w:szCs w:val="24"/>
          <w:lang w:val="en-GB"/>
        </w:rPr>
        <w:t xml:space="preserve"> </w:t>
      </w:r>
      <w:r w:rsidR="002358F7" w:rsidRPr="00D4534F">
        <w:rPr>
          <w:sz w:val="24"/>
          <w:szCs w:val="24"/>
          <w:lang w:val="en-GB"/>
        </w:rPr>
        <w:tab/>
      </w:r>
      <w:r w:rsidR="009770E6">
        <w:fldChar w:fldCharType="begin"/>
      </w:r>
      <w:r w:rsidR="009770E6" w:rsidRPr="009770E6">
        <w:rPr>
          <w:lang w:val="en-GB"/>
        </w:rPr>
        <w:instrText>HYPERLINK "https://www.ohchr.org/en/documents/thematic-reports/ahrc3448-report-special-rapporteur-right-food"</w:instrText>
      </w:r>
      <w:r w:rsidR="009770E6">
        <w:fldChar w:fldCharType="separate"/>
      </w:r>
      <w:r w:rsidRPr="00D4534F">
        <w:rPr>
          <w:rStyle w:val="Hyperlink"/>
          <w:sz w:val="24"/>
          <w:szCs w:val="24"/>
          <w:lang w:val="en-GB"/>
        </w:rPr>
        <w:t>https://www.ohchr.org/en/documents/thematic-reports/ahrc3448-report-special-rapporteur-right-food</w:t>
      </w:r>
      <w:r w:rsidR="009770E6">
        <w:rPr>
          <w:rStyle w:val="Hyperlink"/>
          <w:sz w:val="24"/>
          <w:szCs w:val="24"/>
          <w:lang w:val="en-GB"/>
        </w:rPr>
        <w:fldChar w:fldCharType="end"/>
      </w:r>
      <w:r w:rsidRPr="00D4534F">
        <w:rPr>
          <w:sz w:val="24"/>
          <w:szCs w:val="24"/>
          <w:lang w:val="en-GB"/>
        </w:rPr>
        <w:t xml:space="preserve">. </w:t>
      </w:r>
    </w:p>
  </w:footnote>
  <w:footnote w:id="16">
    <w:p w14:paraId="741C3E26" w14:textId="58185ADE" w:rsidR="000109FC" w:rsidRPr="00D4534F" w:rsidRDefault="000109FC" w:rsidP="003121D2">
      <w:pPr>
        <w:pStyle w:val="FootnoteText"/>
        <w:keepLines w:val="0"/>
        <w:ind w:left="567" w:hanging="567"/>
        <w:rPr>
          <w:sz w:val="24"/>
          <w:szCs w:val="24"/>
          <w:lang w:val="en-GB"/>
        </w:rPr>
      </w:pPr>
      <w:r w:rsidRPr="00D4534F">
        <w:rPr>
          <w:rStyle w:val="FootnoteReference"/>
          <w:sz w:val="24"/>
          <w:szCs w:val="24"/>
          <w:lang w:val="en-GB"/>
        </w:rPr>
        <w:footnoteRef/>
      </w:r>
      <w:r w:rsidR="002358F7" w:rsidRPr="00D4534F">
        <w:rPr>
          <w:sz w:val="24"/>
          <w:szCs w:val="24"/>
          <w:lang w:val="en-GB"/>
        </w:rPr>
        <w:t xml:space="preserve"> </w:t>
      </w:r>
      <w:r w:rsidR="002358F7" w:rsidRPr="00D4534F">
        <w:rPr>
          <w:sz w:val="24"/>
          <w:szCs w:val="24"/>
          <w:lang w:val="en-GB"/>
        </w:rPr>
        <w:tab/>
      </w:r>
      <w:r w:rsidR="009770E6">
        <w:fldChar w:fldCharType="begin"/>
      </w:r>
      <w:r w:rsidR="009770E6" w:rsidRPr="009770E6">
        <w:rPr>
          <w:lang w:val="en-GB"/>
        </w:rPr>
        <w:instrText>HYPERLINK "https://www.un.org/sustainabledevelopment/health/"</w:instrText>
      </w:r>
      <w:r w:rsidR="009770E6">
        <w:fldChar w:fldCharType="separate"/>
      </w:r>
      <w:r w:rsidRPr="00D4534F">
        <w:rPr>
          <w:rStyle w:val="Hyperlink"/>
          <w:sz w:val="24"/>
          <w:szCs w:val="24"/>
          <w:lang w:val="en-GB"/>
        </w:rPr>
        <w:t>https://www.un.org/sustainabledevelopment/health/</w:t>
      </w:r>
      <w:r w:rsidR="009770E6">
        <w:rPr>
          <w:rStyle w:val="Hyperlink"/>
          <w:sz w:val="24"/>
          <w:szCs w:val="24"/>
          <w:lang w:val="en-GB"/>
        </w:rPr>
        <w:fldChar w:fldCharType="end"/>
      </w:r>
      <w:r w:rsidRPr="00D4534F">
        <w:rPr>
          <w:sz w:val="24"/>
          <w:szCs w:val="24"/>
          <w:lang w:val="en-GB"/>
        </w:rPr>
        <w:t xml:space="preserve">. </w:t>
      </w:r>
    </w:p>
  </w:footnote>
  <w:footnote w:id="17">
    <w:p w14:paraId="7A89275F" w14:textId="58806C15" w:rsidR="000109FC" w:rsidRPr="00D4534F" w:rsidRDefault="000109FC" w:rsidP="003121D2">
      <w:pPr>
        <w:pStyle w:val="FootnoteText"/>
        <w:keepLines w:val="0"/>
        <w:ind w:left="567" w:hanging="567"/>
        <w:rPr>
          <w:sz w:val="24"/>
          <w:szCs w:val="24"/>
          <w:lang w:val="en-GB"/>
        </w:rPr>
      </w:pPr>
      <w:r w:rsidRPr="00D4534F">
        <w:rPr>
          <w:rStyle w:val="FootnoteReference"/>
          <w:sz w:val="24"/>
          <w:szCs w:val="24"/>
          <w:lang w:val="en-GB"/>
        </w:rPr>
        <w:footnoteRef/>
      </w:r>
      <w:r w:rsidR="002358F7" w:rsidRPr="00D4534F">
        <w:rPr>
          <w:sz w:val="24"/>
          <w:szCs w:val="24"/>
          <w:lang w:val="en-GB"/>
        </w:rPr>
        <w:t xml:space="preserve"> </w:t>
      </w:r>
      <w:r w:rsidR="002358F7" w:rsidRPr="00D4534F">
        <w:rPr>
          <w:sz w:val="24"/>
          <w:szCs w:val="24"/>
          <w:lang w:val="en-GB"/>
        </w:rPr>
        <w:tab/>
      </w:r>
      <w:r w:rsidR="009770E6">
        <w:fldChar w:fldCharType="begin"/>
      </w:r>
      <w:r w:rsidR="009770E6" w:rsidRPr="009770E6">
        <w:rPr>
          <w:lang w:val="en-GB"/>
        </w:rPr>
        <w:instrText>HYPERLINK "https://ec.europa.eu/commission/presscorner/detail/en/ip_22_7834"</w:instrText>
      </w:r>
      <w:r w:rsidR="009770E6">
        <w:fldChar w:fldCharType="separate"/>
      </w:r>
      <w:r w:rsidRPr="00D4534F">
        <w:rPr>
          <w:rStyle w:val="Hyperlink"/>
          <w:sz w:val="24"/>
          <w:szCs w:val="24"/>
          <w:lang w:val="en-GB"/>
        </w:rPr>
        <w:t>https://ec.europa.eu/commission/presscorner/detail/en/ip_22_7834</w:t>
      </w:r>
      <w:r w:rsidR="009770E6">
        <w:rPr>
          <w:rStyle w:val="Hyperlink"/>
          <w:sz w:val="24"/>
          <w:szCs w:val="24"/>
          <w:lang w:val="en-GB"/>
        </w:rPr>
        <w:fldChar w:fldCharType="end"/>
      </w:r>
      <w:r w:rsidRPr="00D4534F">
        <w:rPr>
          <w:sz w:val="24"/>
          <w:szCs w:val="24"/>
          <w:lang w:val="en-GB"/>
        </w:rPr>
        <w:t xml:space="preserve">. </w:t>
      </w:r>
    </w:p>
  </w:footnote>
  <w:footnote w:id="18">
    <w:p w14:paraId="7AB8532E" w14:textId="2F4A2D5C" w:rsidR="000109FC" w:rsidRPr="00D4534F" w:rsidRDefault="000109FC" w:rsidP="003121D2">
      <w:pPr>
        <w:pStyle w:val="FootnoteText"/>
        <w:keepLines w:val="0"/>
        <w:ind w:left="567" w:hanging="567"/>
        <w:rPr>
          <w:sz w:val="24"/>
          <w:szCs w:val="24"/>
          <w:lang w:val="en-GB"/>
        </w:rPr>
      </w:pPr>
      <w:r w:rsidRPr="00D4534F">
        <w:rPr>
          <w:rStyle w:val="FootnoteReference"/>
          <w:sz w:val="24"/>
          <w:szCs w:val="24"/>
          <w:lang w:val="en-GB"/>
        </w:rPr>
        <w:footnoteRef/>
      </w:r>
      <w:r w:rsidR="002358F7" w:rsidRPr="00D4534F">
        <w:rPr>
          <w:sz w:val="24"/>
          <w:szCs w:val="24"/>
          <w:lang w:val="en-GB"/>
        </w:rPr>
        <w:t xml:space="preserve"> </w:t>
      </w:r>
      <w:r w:rsidR="002358F7" w:rsidRPr="00D4534F">
        <w:rPr>
          <w:sz w:val="24"/>
          <w:szCs w:val="24"/>
          <w:lang w:val="en-GB"/>
        </w:rPr>
        <w:tab/>
      </w:r>
      <w:r w:rsidR="009770E6">
        <w:fldChar w:fldCharType="begin"/>
      </w:r>
      <w:r w:rsidR="009770E6" w:rsidRPr="009770E6">
        <w:rPr>
          <w:lang w:val="en-GB"/>
        </w:rPr>
        <w:instrText>HYPERLINK "https://commission.europa.eu/document/2c64e540-c07a-4376-a1da-368d289f4afe_en"</w:instrText>
      </w:r>
      <w:r w:rsidR="009770E6">
        <w:fldChar w:fldCharType="separate"/>
      </w:r>
      <w:r w:rsidRPr="00D4534F">
        <w:rPr>
          <w:rStyle w:val="Hyperlink"/>
          <w:sz w:val="24"/>
          <w:szCs w:val="24"/>
          <w:lang w:val="en-GB"/>
        </w:rPr>
        <w:t>https://commission.europa.eu/document/2c64e540-c07a-4376-a1da-368d289f4afe_en</w:t>
      </w:r>
      <w:r w:rsidR="009770E6">
        <w:rPr>
          <w:rStyle w:val="Hyperlink"/>
          <w:sz w:val="24"/>
          <w:szCs w:val="24"/>
          <w:lang w:val="en-GB"/>
        </w:rPr>
        <w:fldChar w:fldCharType="end"/>
      </w:r>
      <w:r w:rsidRPr="00D4534F">
        <w:rPr>
          <w:sz w:val="24"/>
          <w:szCs w:val="24"/>
          <w:lang w:val="en-GB"/>
        </w:rPr>
        <w:t>.</w:t>
      </w:r>
    </w:p>
  </w:footnote>
  <w:footnote w:id="19">
    <w:p w14:paraId="0C5C0CAA" w14:textId="709EABC2" w:rsidR="000109FC" w:rsidRPr="00D4534F" w:rsidRDefault="000109FC" w:rsidP="003121D2">
      <w:pPr>
        <w:pStyle w:val="FootnoteText"/>
        <w:keepLines w:val="0"/>
        <w:ind w:left="567" w:hanging="567"/>
        <w:rPr>
          <w:sz w:val="24"/>
          <w:szCs w:val="24"/>
          <w:lang w:val="en-GB"/>
        </w:rPr>
      </w:pPr>
      <w:r w:rsidRPr="00D4534F">
        <w:rPr>
          <w:rStyle w:val="FootnoteReference"/>
          <w:sz w:val="24"/>
          <w:szCs w:val="24"/>
          <w:lang w:val="en-GB"/>
        </w:rPr>
        <w:footnoteRef/>
      </w:r>
      <w:r w:rsidR="002358F7" w:rsidRPr="00D4534F">
        <w:rPr>
          <w:sz w:val="24"/>
          <w:szCs w:val="24"/>
          <w:lang w:val="en-GB"/>
        </w:rPr>
        <w:t xml:space="preserve"> </w:t>
      </w:r>
      <w:r w:rsidR="002358F7" w:rsidRPr="00D4534F">
        <w:rPr>
          <w:sz w:val="24"/>
          <w:szCs w:val="24"/>
          <w:lang w:val="en-GB"/>
        </w:rPr>
        <w:tab/>
      </w:r>
      <w:r w:rsidRPr="00D4534F">
        <w:rPr>
          <w:sz w:val="24"/>
          <w:szCs w:val="24"/>
          <w:lang w:val="en-GB"/>
        </w:rPr>
        <w:t>The Commission ‘may’, and not ‘shall’, go ahead with authorisation if there is no qualified majority of Member States in favour at the Appeal Committee, according to Article 6(3) of Regulation (EU) No 182/2011.</w:t>
      </w:r>
    </w:p>
  </w:footnote>
  <w:footnote w:id="20">
    <w:p w14:paraId="425EA076" w14:textId="474C9B94" w:rsidR="000109FC" w:rsidRPr="00D4534F" w:rsidRDefault="000109FC" w:rsidP="003121D2">
      <w:pPr>
        <w:pStyle w:val="FootnoteText"/>
        <w:keepLines w:val="0"/>
        <w:ind w:left="567" w:hanging="567"/>
        <w:rPr>
          <w:sz w:val="24"/>
          <w:szCs w:val="24"/>
          <w:lang w:val="en-GB"/>
        </w:rPr>
      </w:pPr>
      <w:r w:rsidRPr="00D4534F">
        <w:rPr>
          <w:rStyle w:val="FootnoteReference"/>
          <w:sz w:val="24"/>
          <w:szCs w:val="24"/>
          <w:lang w:val="en-GB"/>
        </w:rPr>
        <w:footnoteRef/>
      </w:r>
      <w:r w:rsidR="002358F7" w:rsidRPr="00D4534F">
        <w:rPr>
          <w:sz w:val="24"/>
          <w:szCs w:val="24"/>
          <w:lang w:val="en-GB"/>
        </w:rPr>
        <w:t xml:space="preserve"> </w:t>
      </w:r>
      <w:r w:rsidR="002358F7" w:rsidRPr="00D4534F">
        <w:rPr>
          <w:sz w:val="24"/>
          <w:szCs w:val="24"/>
          <w:lang w:val="en-GB"/>
        </w:rPr>
        <w:tab/>
      </w:r>
      <w:r w:rsidR="009770E6">
        <w:fldChar w:fldCharType="begin"/>
      </w:r>
      <w:r w:rsidR="009770E6" w:rsidRPr="009770E6">
        <w:rPr>
          <w:lang w:val="en-GB"/>
        </w:rPr>
        <w:instrText>HYPERLINK "https://food.ec.europa.eu/document/download/ee1a5aed-5303-4c32-bb59-813143a1df47_en?filename=sc_modif-genet_20250613_sum.pdf"</w:instrText>
      </w:r>
      <w:r w:rsidR="009770E6">
        <w:fldChar w:fldCharType="separate"/>
      </w:r>
      <w:r w:rsidRPr="00D4534F">
        <w:rPr>
          <w:rStyle w:val="Hyperlink"/>
          <w:sz w:val="24"/>
          <w:szCs w:val="24"/>
          <w:lang w:val="en-GB"/>
        </w:rPr>
        <w:t>https://food.ec.europa.eu/document/download/ee1a5aed-5303-4c32-bb59-813143a1df47_en?filename=sc_modif-genet_20250613_sum.pdf</w:t>
      </w:r>
      <w:r w:rsidR="009770E6">
        <w:rPr>
          <w:rStyle w:val="Hyperlink"/>
          <w:sz w:val="24"/>
          <w:szCs w:val="24"/>
          <w:lang w:val="en-GB"/>
        </w:rPr>
        <w:fldChar w:fldCharType="end"/>
      </w:r>
      <w:r w:rsidRPr="00D4534F">
        <w:rPr>
          <w:sz w:val="24"/>
          <w:szCs w:val="24"/>
          <w:lang w:val="en-GB"/>
        </w:rPr>
        <w:t>.</w:t>
      </w:r>
    </w:p>
  </w:footnote>
  <w:footnote w:id="21">
    <w:p w14:paraId="433EAC61" w14:textId="5625B35D" w:rsidR="000109FC" w:rsidRPr="00D4534F" w:rsidRDefault="000109FC" w:rsidP="003121D2">
      <w:pPr>
        <w:pStyle w:val="FootnoteText"/>
        <w:keepLines w:val="0"/>
        <w:ind w:left="567" w:hanging="567"/>
        <w:rPr>
          <w:sz w:val="24"/>
          <w:szCs w:val="24"/>
          <w:lang w:val="en-GB"/>
        </w:rPr>
      </w:pPr>
      <w:r w:rsidRPr="00D4534F">
        <w:rPr>
          <w:rStyle w:val="FootnoteReference"/>
          <w:sz w:val="24"/>
          <w:szCs w:val="24"/>
          <w:lang w:val="en-GB"/>
        </w:rPr>
        <w:footnoteRef/>
      </w:r>
      <w:r w:rsidR="002358F7" w:rsidRPr="00D4534F">
        <w:rPr>
          <w:sz w:val="24"/>
          <w:szCs w:val="24"/>
          <w:lang w:val="en-GB"/>
        </w:rPr>
        <w:t xml:space="preserve"> </w:t>
      </w:r>
      <w:r w:rsidR="002358F7" w:rsidRPr="00D4534F">
        <w:rPr>
          <w:sz w:val="24"/>
          <w:szCs w:val="24"/>
          <w:lang w:val="en-GB"/>
        </w:rPr>
        <w:tab/>
      </w:r>
      <w:r w:rsidRPr="00D4534F">
        <w:rPr>
          <w:sz w:val="24"/>
          <w:szCs w:val="24"/>
          <w:lang w:val="en-GB"/>
        </w:rPr>
        <w:t xml:space="preserve">Regulation (EC) No 178/2002 of the European Parliament and of the Council of 28 January 2002 laying down the general principles and requirements of food law, establishing the European Food Safety Authority and laying down procedures in matters of food safety (OJ L 31, 1.2.2002, p. 1, ELI: </w:t>
      </w:r>
      <w:r w:rsidR="009770E6">
        <w:fldChar w:fldCharType="begin"/>
      </w:r>
      <w:r w:rsidR="009770E6" w:rsidRPr="009770E6">
        <w:rPr>
          <w:lang w:val="en-GB"/>
        </w:rPr>
        <w:instrText>HYPERLINK "http://data.europa.eu/eli/reg/2002/178/oj"</w:instrText>
      </w:r>
      <w:r w:rsidR="009770E6">
        <w:fldChar w:fldCharType="separate"/>
      </w:r>
      <w:r w:rsidRPr="00D4534F">
        <w:rPr>
          <w:rStyle w:val="Hyperlink"/>
          <w:sz w:val="24"/>
          <w:szCs w:val="24"/>
          <w:lang w:val="en-GB"/>
        </w:rPr>
        <w:t>http://data.europa.eu/eli/reg/2002/178/oj</w:t>
      </w:r>
      <w:r w:rsidR="009770E6">
        <w:rPr>
          <w:rStyle w:val="Hyperlink"/>
          <w:sz w:val="24"/>
          <w:szCs w:val="24"/>
          <w:lang w:val="en-GB"/>
        </w:rPr>
        <w:fldChar w:fldCharType="end"/>
      </w:r>
      <w:r w:rsidRPr="00D4534F">
        <w:rPr>
          <w:sz w:val="24"/>
          <w:szCs w:val="24"/>
          <w:lang w:val="en-GB"/>
        </w:rPr>
        <w:t>).</w:t>
      </w:r>
    </w:p>
  </w:footnote>
  <w:footnote w:id="22">
    <w:p w14:paraId="5667D316" w14:textId="6F34646F" w:rsidR="000109FC" w:rsidRPr="00D4534F" w:rsidRDefault="000109FC" w:rsidP="003121D2">
      <w:pPr>
        <w:pStyle w:val="FootnoteText"/>
        <w:keepLines w:val="0"/>
        <w:ind w:left="567" w:hanging="567"/>
        <w:rPr>
          <w:sz w:val="24"/>
          <w:szCs w:val="24"/>
          <w:lang w:val="en-GB"/>
        </w:rPr>
      </w:pPr>
      <w:r w:rsidRPr="00D4534F">
        <w:rPr>
          <w:rStyle w:val="FootnoteReference"/>
          <w:sz w:val="24"/>
          <w:szCs w:val="24"/>
          <w:lang w:val="en-GB"/>
        </w:rPr>
        <w:footnoteRef/>
      </w:r>
      <w:r w:rsidR="002358F7" w:rsidRPr="00D4534F">
        <w:rPr>
          <w:sz w:val="24"/>
          <w:szCs w:val="24"/>
          <w:lang w:val="en-GB"/>
        </w:rPr>
        <w:t xml:space="preserve"> </w:t>
      </w:r>
      <w:r w:rsidR="002358F7" w:rsidRPr="00D4534F">
        <w:rPr>
          <w:sz w:val="24"/>
          <w:szCs w:val="24"/>
          <w:lang w:val="en-GB"/>
        </w:rPr>
        <w:tab/>
      </w:r>
      <w:r w:rsidRPr="00D4534F">
        <w:rPr>
          <w:sz w:val="24"/>
          <w:szCs w:val="24"/>
          <w:lang w:val="en-GB"/>
        </w:rPr>
        <w:t xml:space="preserve">As outlined in the annex to the communication of the Commission of 14 October 2020 entitled ‘Chemicals Strategy for Sustainability Towards a Toxic-Free Environment’, COM(2020)0667, </w:t>
      </w:r>
      <w:r w:rsidR="009770E6">
        <w:fldChar w:fldCharType="begin"/>
      </w:r>
      <w:r w:rsidR="009770E6" w:rsidRPr="009770E6">
        <w:rPr>
          <w:lang w:val="en-GB"/>
        </w:rPr>
        <w:instrText>HYPERLINK "https://eur-lex.europa.eu/legal-content/EN/TXT/?uri=COM%3A2020%3A667%3AFIN" \l "document2"</w:instrText>
      </w:r>
      <w:r w:rsidR="009770E6">
        <w:fldChar w:fldCharType="separate"/>
      </w:r>
      <w:r w:rsidRPr="00D4534F">
        <w:rPr>
          <w:rStyle w:val="Hyperlink"/>
          <w:sz w:val="24"/>
          <w:szCs w:val="24"/>
          <w:lang w:val="en-GB"/>
        </w:rPr>
        <w:t>https://eur-lex.europa.eu/legal-content/EN/TXT/?uri=COM%3A2020%3A667%3AFIN#document2</w:t>
      </w:r>
      <w:r w:rsidR="009770E6">
        <w:rPr>
          <w:rStyle w:val="Hyperlink"/>
          <w:sz w:val="24"/>
          <w:szCs w:val="24"/>
          <w:lang w:val="en-GB"/>
        </w:rPr>
        <w:fldChar w:fldCharType="end"/>
      </w:r>
      <w:r w:rsidRPr="00D4534F">
        <w:rPr>
          <w:sz w:val="24"/>
          <w:szCs w:val="24"/>
          <w:lang w:val="en-GB"/>
        </w:rPr>
        <w:t>.</w:t>
      </w:r>
    </w:p>
  </w:footnote>
  <w:footnote w:id="23">
    <w:p w14:paraId="6819E8A1" w14:textId="2C0535B6" w:rsidR="000109FC" w:rsidRPr="00D4534F" w:rsidRDefault="000109FC" w:rsidP="003121D2">
      <w:pPr>
        <w:pStyle w:val="FootnoteText"/>
        <w:keepLines w:val="0"/>
        <w:ind w:left="567" w:hanging="567"/>
        <w:rPr>
          <w:sz w:val="24"/>
          <w:szCs w:val="24"/>
          <w:lang w:val="en-GB"/>
        </w:rPr>
      </w:pPr>
      <w:r w:rsidRPr="00D4534F">
        <w:rPr>
          <w:rStyle w:val="FootnoteReference"/>
          <w:sz w:val="24"/>
          <w:szCs w:val="24"/>
          <w:lang w:val="en-GB"/>
        </w:rPr>
        <w:footnoteRef/>
      </w:r>
      <w:r w:rsidR="002358F7" w:rsidRPr="00D4534F">
        <w:rPr>
          <w:sz w:val="24"/>
          <w:szCs w:val="24"/>
          <w:lang w:val="en-GB"/>
        </w:rPr>
        <w:t xml:space="preserve"> </w:t>
      </w:r>
      <w:r w:rsidR="002358F7" w:rsidRPr="00D4534F">
        <w:rPr>
          <w:sz w:val="24"/>
          <w:szCs w:val="24"/>
          <w:lang w:val="en-GB"/>
        </w:rPr>
        <w:tab/>
      </w:r>
      <w:r w:rsidR="009770E6">
        <w:fldChar w:fldCharType="begin"/>
      </w:r>
      <w:r w:rsidR="009770E6" w:rsidRPr="009770E6">
        <w:rPr>
          <w:lang w:val="en-GB"/>
        </w:rPr>
        <w:instrText>HYPERLINK "https://tillymetz.lu/wp-content/uploads/2020/09/Co-signed-letter-MEP-Metz.pdf"</w:instrText>
      </w:r>
      <w:r w:rsidR="009770E6">
        <w:fldChar w:fldCharType="separate"/>
      </w:r>
      <w:r w:rsidRPr="00D4534F">
        <w:rPr>
          <w:rStyle w:val="Hyperlink"/>
          <w:sz w:val="24"/>
          <w:szCs w:val="24"/>
          <w:lang w:val="en-GB"/>
        </w:rPr>
        <w:t>https://tillymetz.lu/wp-content/uploads/2020/09/Co-signed-letter-MEP-Metz.pdf</w:t>
      </w:r>
      <w:r w:rsidR="009770E6">
        <w:rPr>
          <w:rStyle w:val="Hyperlink"/>
          <w:sz w:val="24"/>
          <w:szCs w:val="24"/>
          <w:lang w:val="en-GB"/>
        </w:rPr>
        <w:fldChar w:fldCharType="end"/>
      </w:r>
      <w:r w:rsidRPr="00D4534F">
        <w:rPr>
          <w:sz w:val="24"/>
          <w:szCs w:val="24"/>
          <w:lang w:val="en-GB"/>
        </w:rPr>
        <w:t xml:space="preserve">. </w:t>
      </w:r>
    </w:p>
  </w:footnote>
  <w:footnote w:id="24">
    <w:p w14:paraId="44FE4912" w14:textId="4AB6770A" w:rsidR="000109FC" w:rsidRPr="00D4534F" w:rsidRDefault="000109FC" w:rsidP="003121D2">
      <w:pPr>
        <w:pStyle w:val="FootnoteText"/>
        <w:keepLines w:val="0"/>
        <w:ind w:left="567" w:hanging="567"/>
        <w:rPr>
          <w:sz w:val="24"/>
          <w:szCs w:val="24"/>
          <w:lang w:val="en-GB"/>
        </w:rPr>
      </w:pPr>
      <w:r w:rsidRPr="00D4534F">
        <w:rPr>
          <w:rStyle w:val="FootnoteReference"/>
          <w:sz w:val="24"/>
          <w:szCs w:val="24"/>
          <w:lang w:val="en-GB"/>
        </w:rPr>
        <w:footnoteRef/>
      </w:r>
      <w:r w:rsidR="002358F7" w:rsidRPr="00D4534F">
        <w:rPr>
          <w:sz w:val="24"/>
          <w:szCs w:val="24"/>
          <w:lang w:val="en-GB"/>
        </w:rPr>
        <w:t xml:space="preserve"> </w:t>
      </w:r>
      <w:r w:rsidR="002358F7" w:rsidRPr="00D4534F">
        <w:rPr>
          <w:sz w:val="24"/>
          <w:szCs w:val="24"/>
          <w:lang w:val="en-GB"/>
        </w:rPr>
        <w:tab/>
      </w:r>
      <w:r w:rsidRPr="00D4534F">
        <w:rPr>
          <w:sz w:val="24"/>
          <w:szCs w:val="24"/>
          <w:lang w:val="en-GB"/>
        </w:rPr>
        <w:t>European Parliament resolution of 15 January 2020 on the European Green Deal (OJ C 270, 7.7.2021, p. 2), paragraph 102.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91E69" w14:textId="77777777" w:rsidR="00064002" w:rsidRPr="002358F7"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FD356" w14:textId="77777777" w:rsidR="00064002" w:rsidRPr="002358F7"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0D228" w14:textId="77777777" w:rsidR="00064002" w:rsidRPr="002358F7"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835026834">
    <w:abstractNumId w:val="9"/>
  </w:num>
  <w:num w:numId="2" w16cid:durableId="1870994329">
    <w:abstractNumId w:val="9"/>
  </w:num>
  <w:num w:numId="3" w16cid:durableId="1919709914">
    <w:abstractNumId w:val="7"/>
  </w:num>
  <w:num w:numId="4" w16cid:durableId="1127360271">
    <w:abstractNumId w:val="7"/>
  </w:num>
  <w:num w:numId="5" w16cid:durableId="479493998">
    <w:abstractNumId w:val="6"/>
  </w:num>
  <w:num w:numId="6" w16cid:durableId="1358003022">
    <w:abstractNumId w:val="6"/>
  </w:num>
  <w:num w:numId="7" w16cid:durableId="980034811">
    <w:abstractNumId w:val="5"/>
  </w:num>
  <w:num w:numId="8" w16cid:durableId="727993318">
    <w:abstractNumId w:val="5"/>
  </w:num>
  <w:num w:numId="9" w16cid:durableId="1159543324">
    <w:abstractNumId w:val="4"/>
  </w:num>
  <w:num w:numId="10" w16cid:durableId="1790278415">
    <w:abstractNumId w:val="4"/>
  </w:num>
  <w:num w:numId="11" w16cid:durableId="2006518109">
    <w:abstractNumId w:val="8"/>
  </w:num>
  <w:num w:numId="12" w16cid:durableId="148132008">
    <w:abstractNumId w:val="8"/>
  </w:num>
  <w:num w:numId="13" w16cid:durableId="540824563">
    <w:abstractNumId w:val="3"/>
  </w:num>
  <w:num w:numId="14" w16cid:durableId="702172975">
    <w:abstractNumId w:val="3"/>
  </w:num>
  <w:num w:numId="15" w16cid:durableId="1578133842">
    <w:abstractNumId w:val="2"/>
  </w:num>
  <w:num w:numId="16" w16cid:durableId="1174565334">
    <w:abstractNumId w:val="2"/>
  </w:num>
  <w:num w:numId="17" w16cid:durableId="1898281779">
    <w:abstractNumId w:val="1"/>
  </w:num>
  <w:num w:numId="18" w16cid:durableId="1543980226">
    <w:abstractNumId w:val="1"/>
  </w:num>
  <w:num w:numId="19" w16cid:durableId="1028485892">
    <w:abstractNumId w:val="0"/>
  </w:num>
  <w:num w:numId="20" w16cid:durableId="1005283496">
    <w:abstractNumId w:val="0"/>
  </w:num>
  <w:num w:numId="21" w16cid:durableId="1936591351">
    <w:abstractNumId w:val="9"/>
  </w:num>
  <w:num w:numId="22" w16cid:durableId="1611932703">
    <w:abstractNumId w:val="7"/>
  </w:num>
  <w:num w:numId="23" w16cid:durableId="1117915987">
    <w:abstractNumId w:val="6"/>
  </w:num>
  <w:num w:numId="24" w16cid:durableId="583301990">
    <w:abstractNumId w:val="5"/>
  </w:num>
  <w:num w:numId="25" w16cid:durableId="1494759306">
    <w:abstractNumId w:val="4"/>
  </w:num>
  <w:num w:numId="26" w16cid:durableId="23941874">
    <w:abstractNumId w:val="8"/>
  </w:num>
  <w:num w:numId="27" w16cid:durableId="1248149831">
    <w:abstractNumId w:val="3"/>
  </w:num>
  <w:num w:numId="28" w16cid:durableId="1066300871">
    <w:abstractNumId w:val="2"/>
  </w:num>
  <w:num w:numId="29" w16cid:durableId="1366441260">
    <w:abstractNumId w:val="1"/>
  </w:num>
  <w:num w:numId="30" w16cid:durableId="246425734">
    <w:abstractNumId w:val="0"/>
  </w:num>
  <w:num w:numId="31" w16cid:durableId="1200821872">
    <w:abstractNumId w:val="9"/>
  </w:num>
  <w:num w:numId="32" w16cid:durableId="33039752">
    <w:abstractNumId w:val="7"/>
  </w:num>
  <w:num w:numId="33" w16cid:durableId="2019194836">
    <w:abstractNumId w:val="6"/>
  </w:num>
  <w:num w:numId="34" w16cid:durableId="902761558">
    <w:abstractNumId w:val="5"/>
  </w:num>
  <w:num w:numId="35" w16cid:durableId="1003246703">
    <w:abstractNumId w:val="4"/>
  </w:num>
  <w:num w:numId="36" w16cid:durableId="1162351361">
    <w:abstractNumId w:val="8"/>
  </w:num>
  <w:num w:numId="37" w16cid:durableId="1277761049">
    <w:abstractNumId w:val="3"/>
  </w:num>
  <w:num w:numId="38" w16cid:durableId="202596319">
    <w:abstractNumId w:val="2"/>
  </w:num>
  <w:num w:numId="39" w16cid:durableId="841699715">
    <w:abstractNumId w:val="1"/>
  </w:num>
  <w:num w:numId="40" w16cid:durableId="1649285364">
    <w:abstractNumId w:val="0"/>
  </w:num>
  <w:num w:numId="41" w16cid:durableId="1067341466">
    <w:abstractNumId w:val="10"/>
  </w:num>
  <w:num w:numId="42" w16cid:durableId="682824903">
    <w:abstractNumId w:val="10"/>
  </w:num>
  <w:num w:numId="43" w16cid:durableId="1065495871">
    <w:abstractNumId w:val="10"/>
  </w:num>
  <w:num w:numId="44" w16cid:durableId="109867380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B10-0407/2025"/>
    <w:docVar w:name="dvlangue" w:val="EN"/>
    <w:docVar w:name="dvnumam" w:val="0"/>
    <w:docVar w:name="dvpe" w:val="775.588"/>
    <w:docVar w:name="dvtitre" w:val="European Parliament resolution of xx October 2025 on the draft Commission implementing decision authorising the placing on the market of products containing, consisting of or produced from genetically modified maize DP51291 pursuant to Regulation (EC) No 1829/2003 of the European Parliament and of the Council(D108064/03 – 2025/2807(RSP))"/>
  </w:docVars>
  <w:rsids>
    <w:rsidRoot w:val="00355586"/>
    <w:rsid w:val="00002272"/>
    <w:rsid w:val="000109FC"/>
    <w:rsid w:val="00064002"/>
    <w:rsid w:val="000677B9"/>
    <w:rsid w:val="000831BA"/>
    <w:rsid w:val="000A42CC"/>
    <w:rsid w:val="000E7DD9"/>
    <w:rsid w:val="0010095E"/>
    <w:rsid w:val="00125B37"/>
    <w:rsid w:val="00187494"/>
    <w:rsid w:val="00191CD2"/>
    <w:rsid w:val="001F32AE"/>
    <w:rsid w:val="002358F7"/>
    <w:rsid w:val="002767FF"/>
    <w:rsid w:val="002B18FE"/>
    <w:rsid w:val="002B5493"/>
    <w:rsid w:val="003121D2"/>
    <w:rsid w:val="00343214"/>
    <w:rsid w:val="00343BEA"/>
    <w:rsid w:val="00355586"/>
    <w:rsid w:val="00361C00"/>
    <w:rsid w:val="00395FA1"/>
    <w:rsid w:val="003E15D4"/>
    <w:rsid w:val="00411CCE"/>
    <w:rsid w:val="0041666E"/>
    <w:rsid w:val="00421060"/>
    <w:rsid w:val="0044279B"/>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0E64"/>
    <w:rsid w:val="00786EC0"/>
    <w:rsid w:val="007D1690"/>
    <w:rsid w:val="007E22AD"/>
    <w:rsid w:val="00801B7F"/>
    <w:rsid w:val="00817416"/>
    <w:rsid w:val="00842779"/>
    <w:rsid w:val="00865F67"/>
    <w:rsid w:val="00881A7B"/>
    <w:rsid w:val="008840E5"/>
    <w:rsid w:val="00887B3E"/>
    <w:rsid w:val="00894AEF"/>
    <w:rsid w:val="008C2AC6"/>
    <w:rsid w:val="00930C23"/>
    <w:rsid w:val="0093193B"/>
    <w:rsid w:val="009509D8"/>
    <w:rsid w:val="00950B64"/>
    <w:rsid w:val="009770E6"/>
    <w:rsid w:val="00981893"/>
    <w:rsid w:val="009E764A"/>
    <w:rsid w:val="00A1687D"/>
    <w:rsid w:val="00A43E52"/>
    <w:rsid w:val="00A4678D"/>
    <w:rsid w:val="00A778C7"/>
    <w:rsid w:val="00AB441E"/>
    <w:rsid w:val="00AB6293"/>
    <w:rsid w:val="00AE0928"/>
    <w:rsid w:val="00AF3B82"/>
    <w:rsid w:val="00B12E95"/>
    <w:rsid w:val="00B22876"/>
    <w:rsid w:val="00B276BC"/>
    <w:rsid w:val="00B558F0"/>
    <w:rsid w:val="00BA1B2E"/>
    <w:rsid w:val="00BD48FE"/>
    <w:rsid w:val="00BD7BD8"/>
    <w:rsid w:val="00BE6ADC"/>
    <w:rsid w:val="00C05BFE"/>
    <w:rsid w:val="00C23CD4"/>
    <w:rsid w:val="00C24716"/>
    <w:rsid w:val="00C61C0C"/>
    <w:rsid w:val="00C911FB"/>
    <w:rsid w:val="00C941CB"/>
    <w:rsid w:val="00CA2526"/>
    <w:rsid w:val="00CC2357"/>
    <w:rsid w:val="00CF071A"/>
    <w:rsid w:val="00D05623"/>
    <w:rsid w:val="00D058B8"/>
    <w:rsid w:val="00D07422"/>
    <w:rsid w:val="00D07733"/>
    <w:rsid w:val="00D4534F"/>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902C51"/>
  <w15:chartTrackingRefBased/>
  <w15:docId w15:val="{413C86A9-FB0C-4397-9CD3-0F768E31F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qForma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0109FC"/>
    <w:pPr>
      <w:spacing w:before="480" w:after="240"/>
    </w:pPr>
  </w:style>
  <w:style w:type="paragraph" w:customStyle="1" w:styleId="NormalHanging12a">
    <w:name w:val="NormalHanging12a"/>
    <w:basedOn w:val="Normal"/>
    <w:rsid w:val="000109FC"/>
    <w:pPr>
      <w:spacing w:after="240"/>
      <w:ind w:left="567" w:hanging="567"/>
    </w:pPr>
  </w:style>
  <w:style w:type="paragraph" w:customStyle="1" w:styleId="NormalBold">
    <w:name w:val="NormalBold"/>
    <w:basedOn w:val="Normal"/>
    <w:rsid w:val="000109FC"/>
    <w:rPr>
      <w:b/>
    </w:rPr>
  </w:style>
  <w:style w:type="character" w:styleId="Hyperlink">
    <w:name w:val="Hyperlink"/>
    <w:basedOn w:val="DefaultParagraphFont"/>
    <w:uiPriority w:val="99"/>
    <w:rsid w:val="000109FC"/>
    <w:rPr>
      <w:color w:val="0563C1" w:themeColor="hyperlink"/>
      <w:u w:val="single"/>
    </w:rPr>
  </w:style>
  <w:style w:type="character" w:customStyle="1" w:styleId="Funotenzeichen">
    <w:name w:val="Fußnotenzeichen"/>
    <w:qFormat/>
    <w:rsid w:val="000109FC"/>
    <w:rPr>
      <w:vertAlign w:val="superscript"/>
    </w:rPr>
  </w:style>
  <w:style w:type="paragraph" w:styleId="Revision">
    <w:name w:val="Revision"/>
    <w:hidden/>
    <w:uiPriority w:val="99"/>
    <w:semiHidden/>
    <w:rsid w:val="00D05623"/>
    <w:rPr>
      <w:sz w:val="24"/>
    </w:rPr>
  </w:style>
  <w:style w:type="character" w:styleId="FollowedHyperlink">
    <w:name w:val="FollowedHyperlink"/>
    <w:basedOn w:val="DefaultParagraphFont"/>
    <w:rsid w:val="00D05623"/>
    <w:rPr>
      <w:color w:val="954F72" w:themeColor="followedHyperlink"/>
      <w:u w:val="single"/>
    </w:rPr>
  </w:style>
  <w:style w:type="character" w:styleId="UnresolvedMention">
    <w:name w:val="Unresolved Mention"/>
    <w:basedOn w:val="DefaultParagraphFont"/>
    <w:uiPriority w:val="99"/>
    <w:semiHidden/>
    <w:unhideWhenUsed/>
    <w:rsid w:val="00343BEA"/>
    <w:rPr>
      <w:color w:val="605E5C"/>
      <w:shd w:val="clear" w:color="auto" w:fill="E1DFDD"/>
    </w:rPr>
  </w:style>
  <w:style w:type="character" w:styleId="CommentReference">
    <w:name w:val="annotation reference"/>
    <w:basedOn w:val="DefaultParagraphFont"/>
    <w:rsid w:val="00CA2526"/>
    <w:rPr>
      <w:sz w:val="16"/>
      <w:szCs w:val="16"/>
    </w:rPr>
  </w:style>
  <w:style w:type="paragraph" w:styleId="CommentText">
    <w:name w:val="annotation text"/>
    <w:basedOn w:val="Normal"/>
    <w:link w:val="CommentTextChar"/>
    <w:rsid w:val="00CA2526"/>
    <w:rPr>
      <w:sz w:val="20"/>
    </w:rPr>
  </w:style>
  <w:style w:type="character" w:customStyle="1" w:styleId="CommentTextChar">
    <w:name w:val="Comment Text Char"/>
    <w:basedOn w:val="DefaultParagraphFont"/>
    <w:link w:val="CommentText"/>
    <w:rsid w:val="00CA2526"/>
  </w:style>
  <w:style w:type="paragraph" w:styleId="CommentSubject">
    <w:name w:val="annotation subject"/>
    <w:basedOn w:val="CommentText"/>
    <w:next w:val="CommentText"/>
    <w:link w:val="CommentSubjectChar"/>
    <w:rsid w:val="00CA2526"/>
    <w:rPr>
      <w:b/>
      <w:bCs/>
    </w:rPr>
  </w:style>
  <w:style w:type="character" w:customStyle="1" w:styleId="CommentSubjectChar">
    <w:name w:val="Comment Subject Char"/>
    <w:basedOn w:val="CommentTextChar"/>
    <w:link w:val="CommentSubject"/>
    <w:rsid w:val="00CA252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doi.org/10.2903/j.efsa.2024.905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2342</Words>
  <Characters>12933</Characters>
  <Application>Microsoft Office Word</Application>
  <DocSecurity>0</DocSecurity>
  <Lines>263</Lines>
  <Paragraphs>162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15113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CROSSFIELD Clare</cp:lastModifiedBy>
  <cp:revision>2</cp:revision>
  <cp:lastPrinted>2004-11-19T15:42:00Z</cp:lastPrinted>
  <dcterms:created xsi:type="dcterms:W3CDTF">2025-10-08T11:36:00Z</dcterms:created>
  <dcterms:modified xsi:type="dcterms:W3CDTF">2025-10-08T11:36:00Z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B10-0407/2025</vt:lpwstr>
  </property>
  <property fmtid="{D5CDD505-2E9C-101B-9397-08002B2CF9AE}" pid="4" name="&lt;Type&gt;">
    <vt:lpwstr>RR</vt:lpwstr>
  </property>
</Properties>
</file>