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360F" w14:paraId="5810A635" w14:textId="77777777" w:rsidTr="0010095E">
        <w:trPr>
          <w:trHeight w:hRule="exact" w:val="1418"/>
        </w:trPr>
        <w:tc>
          <w:tcPr>
            <w:tcW w:w="6804" w:type="dxa"/>
            <w:shd w:val="clear" w:color="auto" w:fill="auto"/>
            <w:vAlign w:val="center"/>
          </w:tcPr>
          <w:p w14:paraId="25B1A479" w14:textId="77777777" w:rsidR="00751A4A" w:rsidRPr="007B360F" w:rsidRDefault="00187116" w:rsidP="0010095E">
            <w:pPr>
              <w:pStyle w:val="EPName"/>
            </w:pPr>
            <w:r w:rsidRPr="007B360F">
              <w:t>Parlamento Europeo</w:t>
            </w:r>
          </w:p>
          <w:p w14:paraId="2AFF7F3D" w14:textId="77777777" w:rsidR="00751A4A" w:rsidRPr="007B360F" w:rsidRDefault="005F1B17" w:rsidP="005F1B17">
            <w:pPr>
              <w:pStyle w:val="EPTerm"/>
              <w:rPr>
                <w:rStyle w:val="HideTWBExt"/>
                <w:noProof w:val="0"/>
                <w:vanish w:val="0"/>
                <w:color w:val="auto"/>
              </w:rPr>
            </w:pPr>
            <w:r w:rsidRPr="007B360F">
              <w:t>2024</w:t>
            </w:r>
            <w:r w:rsidR="00817416" w:rsidRPr="007B360F">
              <w:t>-202</w:t>
            </w:r>
            <w:r w:rsidRPr="007B360F">
              <w:t>9</w:t>
            </w:r>
          </w:p>
        </w:tc>
        <w:tc>
          <w:tcPr>
            <w:tcW w:w="2268" w:type="dxa"/>
            <w:shd w:val="clear" w:color="auto" w:fill="auto"/>
          </w:tcPr>
          <w:p w14:paraId="26C1135D" w14:textId="77777777" w:rsidR="00751A4A" w:rsidRPr="007B360F" w:rsidRDefault="00187494" w:rsidP="0010095E">
            <w:pPr>
              <w:pStyle w:val="EPLogo"/>
            </w:pPr>
            <w:r w:rsidRPr="007B360F">
              <w:rPr>
                <w:noProof/>
                <w:lang w:eastAsia="ja-JP"/>
              </w:rPr>
              <w:drawing>
                <wp:inline distT="0" distB="0" distL="0" distR="0" wp14:anchorId="6D7E164D" wp14:editId="192A79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C52DC7" w14:textId="77777777" w:rsidR="00D058B8" w:rsidRPr="007B360F" w:rsidRDefault="00D058B8" w:rsidP="004C5D52">
      <w:pPr>
        <w:pStyle w:val="LineTop"/>
      </w:pPr>
    </w:p>
    <w:p w14:paraId="5479DBB2" w14:textId="77777777" w:rsidR="00680577" w:rsidRPr="007B360F" w:rsidRDefault="00187116" w:rsidP="00680577">
      <w:pPr>
        <w:pStyle w:val="EPBodyTA1"/>
        <w:rPr>
          <w:lang w:val="pt-PT"/>
        </w:rPr>
      </w:pPr>
      <w:r w:rsidRPr="007B360F">
        <w:rPr>
          <w:lang w:val="pt-PT"/>
        </w:rPr>
        <w:t>TEXTOS APROBADOS</w:t>
      </w:r>
    </w:p>
    <w:p w14:paraId="61EE228A" w14:textId="77777777" w:rsidR="00D058B8" w:rsidRPr="007B360F" w:rsidRDefault="00D058B8" w:rsidP="00D058B8">
      <w:pPr>
        <w:pStyle w:val="LineBottom"/>
        <w:rPr>
          <w:lang w:val="pt-PT"/>
        </w:rPr>
      </w:pPr>
    </w:p>
    <w:p w14:paraId="07AFF109" w14:textId="0CBEF90C" w:rsidR="00187116" w:rsidRPr="007B360F" w:rsidRDefault="00187116" w:rsidP="00187116">
      <w:pPr>
        <w:pStyle w:val="ATHeading1"/>
        <w:rPr>
          <w:lang w:val="pt-PT"/>
        </w:rPr>
      </w:pPr>
      <w:bookmarkStart w:id="0" w:name="TANumber"/>
      <w:r w:rsidRPr="007B360F">
        <w:rPr>
          <w:lang w:val="pt-PT"/>
        </w:rPr>
        <w:t>P10_</w:t>
      </w:r>
      <w:proofErr w:type="gramStart"/>
      <w:r w:rsidRPr="007B360F">
        <w:rPr>
          <w:lang w:val="pt-PT"/>
        </w:rPr>
        <w:t>TA(</w:t>
      </w:r>
      <w:proofErr w:type="gramEnd"/>
      <w:r w:rsidRPr="007B360F">
        <w:rPr>
          <w:lang w:val="pt-PT"/>
        </w:rPr>
        <w:t>2025)0</w:t>
      </w:r>
      <w:r w:rsidR="006F3129" w:rsidRPr="007B360F">
        <w:rPr>
          <w:lang w:val="pt-PT"/>
        </w:rPr>
        <w:t>222</w:t>
      </w:r>
      <w:bookmarkEnd w:id="0"/>
    </w:p>
    <w:p w14:paraId="03BEA523" w14:textId="1B7841F0" w:rsidR="00187116" w:rsidRPr="007B360F" w:rsidRDefault="00160AC1" w:rsidP="00187116">
      <w:pPr>
        <w:pStyle w:val="ATHeading2"/>
        <w:rPr>
          <w:lang w:val="pt-PT"/>
        </w:rPr>
      </w:pPr>
      <w:bookmarkStart w:id="1" w:name="title"/>
      <w:proofErr w:type="spellStart"/>
      <w:r w:rsidRPr="007B360F">
        <w:rPr>
          <w:lang w:val="pt-PT"/>
        </w:rPr>
        <w:t>M</w:t>
      </w:r>
      <w:r w:rsidR="00187116" w:rsidRPr="007B360F">
        <w:rPr>
          <w:lang w:val="pt-PT"/>
        </w:rPr>
        <w:t>aíz</w:t>
      </w:r>
      <w:proofErr w:type="spellEnd"/>
      <w:r w:rsidR="00187116" w:rsidRPr="007B360F">
        <w:rPr>
          <w:lang w:val="pt-PT"/>
        </w:rPr>
        <w:t xml:space="preserve"> modificado </w:t>
      </w:r>
      <w:proofErr w:type="spellStart"/>
      <w:r w:rsidR="00187116" w:rsidRPr="007B360F">
        <w:rPr>
          <w:lang w:val="pt-PT"/>
        </w:rPr>
        <w:t>genéticamente</w:t>
      </w:r>
      <w:proofErr w:type="spellEnd"/>
      <w:r w:rsidR="00187116" w:rsidRPr="007B360F">
        <w:rPr>
          <w:lang w:val="pt-PT"/>
        </w:rPr>
        <w:t xml:space="preserve"> DP51291</w:t>
      </w:r>
      <w:bookmarkEnd w:id="1"/>
    </w:p>
    <w:p w14:paraId="43D1F267" w14:textId="77777777" w:rsidR="00187116" w:rsidRPr="007B360F" w:rsidRDefault="00187116" w:rsidP="00187116">
      <w:pPr>
        <w:rPr>
          <w:i/>
          <w:vanish/>
          <w:lang w:val="pt-PT"/>
        </w:rPr>
      </w:pPr>
      <w:r w:rsidRPr="007B360F">
        <w:rPr>
          <w:i/>
        </w:rPr>
        <w:fldChar w:fldCharType="begin"/>
      </w:r>
      <w:r w:rsidRPr="007B360F">
        <w:rPr>
          <w:i/>
          <w:lang w:val="pt-PT"/>
        </w:rPr>
        <w:instrText xml:space="preserve"> TC"(</w:instrText>
      </w:r>
      <w:bookmarkStart w:id="2" w:name="DocNumber"/>
      <w:r w:rsidRPr="007B360F">
        <w:rPr>
          <w:i/>
          <w:lang w:val="pt-PT"/>
        </w:rPr>
        <w:instrText>B10-0407/2025</w:instrText>
      </w:r>
      <w:bookmarkEnd w:id="2"/>
      <w:r w:rsidRPr="007B360F">
        <w:rPr>
          <w:i/>
          <w:lang w:val="pt-PT"/>
        </w:rPr>
        <w:instrText xml:space="preserve">)"\l3 \n&gt; \* MERGEFORMAT </w:instrText>
      </w:r>
      <w:r w:rsidRPr="007B360F">
        <w:rPr>
          <w:i/>
        </w:rPr>
        <w:fldChar w:fldCharType="end"/>
      </w:r>
    </w:p>
    <w:p w14:paraId="684D2638" w14:textId="77777777" w:rsidR="00187116" w:rsidRPr="007B360F" w:rsidRDefault="00187116" w:rsidP="00187116">
      <w:pPr>
        <w:rPr>
          <w:vanish/>
          <w:lang w:val="pt-PT"/>
        </w:rPr>
      </w:pPr>
      <w:bookmarkStart w:id="3" w:name="PE"/>
      <w:r w:rsidRPr="007B360F">
        <w:rPr>
          <w:vanish/>
          <w:lang w:val="pt-PT"/>
        </w:rPr>
        <w:t>PE775.588</w:t>
      </w:r>
      <w:bookmarkEnd w:id="3"/>
    </w:p>
    <w:p w14:paraId="72C01326" w14:textId="740AC12F" w:rsidR="00187116" w:rsidRPr="007B360F" w:rsidRDefault="00187116" w:rsidP="00187116">
      <w:pPr>
        <w:pStyle w:val="ATHeading3"/>
      </w:pPr>
      <w:bookmarkStart w:id="4" w:name="Sujet"/>
      <w:r w:rsidRPr="007B360F">
        <w:t xml:space="preserve">Resolución del Parlamento Europeo, de </w:t>
      </w:r>
      <w:r w:rsidR="00160AC1" w:rsidRPr="007B360F">
        <w:t>8</w:t>
      </w:r>
      <w:r w:rsidRPr="007B360F">
        <w:t xml:space="preserve"> de octubre de 2025, sobre </w:t>
      </w:r>
      <w:r w:rsidR="00160AC1" w:rsidRPr="007B360F">
        <w:t>la</w:t>
      </w:r>
      <w:r w:rsidRPr="007B360F">
        <w:t xml:space="preserve"> Decisión de Ejecución</w:t>
      </w:r>
      <w:r w:rsidR="00160AC1" w:rsidRPr="007B360F">
        <w:t xml:space="preserve"> (UE) 2025/1898</w:t>
      </w:r>
      <w:r w:rsidRPr="007B360F">
        <w:t xml:space="preserve"> de la Comisión</w:t>
      </w:r>
      <w:r w:rsidR="00160AC1" w:rsidRPr="007B360F">
        <w:t>, de 22 de septiembre de 2025,</w:t>
      </w:r>
      <w:r w:rsidRPr="007B360F">
        <w:t xml:space="preserve"> por la que se autoriza la comercialización de productos que contengan o estén compuestos por el maíz modificado genéticamente DP51291 o se hayan producido a partir de él, con arreglo al Reglamento (CE) n.º 1829/2003 del Parlamento Europeo y del Consejo</w:t>
      </w:r>
      <w:bookmarkEnd w:id="4"/>
      <w:r w:rsidRPr="007B360F">
        <w:t xml:space="preserve"> </w:t>
      </w:r>
      <w:bookmarkStart w:id="5" w:name="References"/>
      <w:r w:rsidRPr="007B360F">
        <w:t>(2025/2807(RSP))</w:t>
      </w:r>
      <w:bookmarkEnd w:id="5"/>
    </w:p>
    <w:p w14:paraId="4DAB8CB8" w14:textId="77777777" w:rsidR="00187116" w:rsidRPr="007B360F" w:rsidRDefault="00187116" w:rsidP="00187116"/>
    <w:p w14:paraId="7D172A75" w14:textId="77777777" w:rsidR="006163AB" w:rsidRPr="007B360F" w:rsidRDefault="006163AB" w:rsidP="00160AC1">
      <w:pPr>
        <w:pStyle w:val="EPComma"/>
        <w:spacing w:before="120"/>
        <w:jc w:val="both"/>
      </w:pPr>
      <w:bookmarkStart w:id="6" w:name="TextBodyBegin"/>
      <w:bookmarkEnd w:id="6"/>
      <w:r w:rsidRPr="007B360F">
        <w:rPr>
          <w:i/>
        </w:rPr>
        <w:t>El Parlamento Europeo,</w:t>
      </w:r>
    </w:p>
    <w:p w14:paraId="7CC4D3EC" w14:textId="4EA13749" w:rsidR="006163AB" w:rsidRPr="007B360F" w:rsidRDefault="006163AB" w:rsidP="006163AB">
      <w:pPr>
        <w:pStyle w:val="NormalHanging12a"/>
        <w:widowControl/>
        <w:rPr>
          <w:szCs w:val="24"/>
        </w:rPr>
      </w:pPr>
      <w:r w:rsidRPr="007B360F">
        <w:t>–</w:t>
      </w:r>
      <w:r w:rsidRPr="007B360F">
        <w:tab/>
        <w:t xml:space="preserve">Visto </w:t>
      </w:r>
      <w:r w:rsidR="00160AC1" w:rsidRPr="007B360F">
        <w:t>la</w:t>
      </w:r>
      <w:r w:rsidRPr="007B360F">
        <w:t xml:space="preserve"> Decisión de Ejecución </w:t>
      </w:r>
      <w:r w:rsidR="00160AC1" w:rsidRPr="007B360F">
        <w:t xml:space="preserve">(UE) 2025/1898 </w:t>
      </w:r>
      <w:r w:rsidRPr="007B360F">
        <w:t>de la Comisión</w:t>
      </w:r>
      <w:r w:rsidR="00160AC1" w:rsidRPr="007B360F">
        <w:t>, de 22 de septiembre de 2025,</w:t>
      </w:r>
      <w:r w:rsidRPr="007B360F">
        <w:t xml:space="preserve"> por la que se autoriza la comercialización de productos que contengan o estén compuestos por el maíz modificado genéticamente DP51291 o se hayan producido a partir de él, con arreglo al Reglamento (CE) n.º 1829/2003 del Parlamento Europeo y del Consejo</w:t>
      </w:r>
      <w:r w:rsidR="00160AC1" w:rsidRPr="007B360F">
        <w:rPr>
          <w:rStyle w:val="FootnoteReference"/>
        </w:rPr>
        <w:footnoteReference w:id="1"/>
      </w:r>
      <w:r w:rsidRPr="007B360F">
        <w:t>,</w:t>
      </w:r>
    </w:p>
    <w:p w14:paraId="2602FA99" w14:textId="77777777" w:rsidR="006163AB" w:rsidRPr="007B360F" w:rsidRDefault="006163AB" w:rsidP="006163AB">
      <w:pPr>
        <w:pStyle w:val="NormalHanging12a"/>
        <w:widowControl/>
        <w:rPr>
          <w:szCs w:val="24"/>
        </w:rPr>
      </w:pPr>
      <w:r w:rsidRPr="007B360F">
        <w:t>–</w:t>
      </w:r>
      <w:r w:rsidRPr="007B360F">
        <w:tab/>
        <w:t>Visto el Reglamento (CE) n.º 1829/2003 del Parlamento Europeo y del Consejo, de 22 de septiembre de 2003, sobre alimentos y piensos modificados genéticamente</w:t>
      </w:r>
      <w:r w:rsidRPr="007B360F">
        <w:rPr>
          <w:rStyle w:val="FootnoteReference"/>
          <w:szCs w:val="24"/>
        </w:rPr>
        <w:footnoteReference w:id="2"/>
      </w:r>
      <w:r w:rsidRPr="007B360F">
        <w:t>, y en particular su artículo 7, apartado 3, y su artículo 19, apartado 3,</w:t>
      </w:r>
    </w:p>
    <w:p w14:paraId="5B548EC8" w14:textId="77777777" w:rsidR="006163AB" w:rsidRPr="007B360F" w:rsidRDefault="006163AB" w:rsidP="006163AB">
      <w:pPr>
        <w:pStyle w:val="NormalHanging12a"/>
        <w:widowControl/>
        <w:rPr>
          <w:szCs w:val="24"/>
        </w:rPr>
      </w:pPr>
      <w:r w:rsidRPr="007B360F">
        <w:t>–</w:t>
      </w:r>
      <w:r w:rsidRPr="007B360F">
        <w:tab/>
        <w:t xml:space="preserve">Vistas la votación </w:t>
      </w:r>
      <w:r w:rsidRPr="007B360F">
        <w:rPr>
          <w:shd w:val="clear" w:color="auto" w:fill="FFFFFF"/>
        </w:rPr>
        <w:t>del 13 de junio de 2025 en el Comité Permanente de Vegetales, Animales, Alimentos y Piensos al que se refiere el artículo 35 del Reglamento (CE) n.º 1829/2003, en la que no se emitió dictamen, y la votación del 15 de julio de 2025 en el comité de apelación, en la que tampoco</w:t>
      </w:r>
      <w:r w:rsidRPr="007B360F">
        <w:t xml:space="preserve"> se emitió dictamen,</w:t>
      </w:r>
    </w:p>
    <w:p w14:paraId="55F66845" w14:textId="77777777" w:rsidR="006163AB" w:rsidRPr="007B360F" w:rsidRDefault="006163AB" w:rsidP="006163AB">
      <w:pPr>
        <w:pStyle w:val="NormalHanging12a"/>
        <w:widowControl/>
        <w:rPr>
          <w:szCs w:val="24"/>
        </w:rPr>
      </w:pPr>
      <w:r w:rsidRPr="007B360F">
        <w:t>–</w:t>
      </w:r>
      <w:r w:rsidRPr="007B360F">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7B360F">
        <w:rPr>
          <w:rStyle w:val="FootnoteReference"/>
          <w:szCs w:val="24"/>
        </w:rPr>
        <w:footnoteReference w:id="3"/>
      </w:r>
      <w:r w:rsidRPr="007B360F">
        <w:t>,</w:t>
      </w:r>
    </w:p>
    <w:p w14:paraId="690B0232" w14:textId="77777777" w:rsidR="006163AB" w:rsidRPr="007B360F" w:rsidRDefault="006163AB" w:rsidP="006163AB">
      <w:pPr>
        <w:pStyle w:val="NormalHanging12a"/>
        <w:widowControl/>
        <w:rPr>
          <w:szCs w:val="24"/>
        </w:rPr>
      </w:pPr>
      <w:r w:rsidRPr="007B360F">
        <w:lastRenderedPageBreak/>
        <w:t>–</w:t>
      </w:r>
      <w:r w:rsidRPr="007B360F">
        <w:tab/>
        <w:t>Visto el dictamen adoptado por la Autoridad Europea de Seguridad Alimentaria (EFSA) el 2 de octubre de 2024 y publicado el 11 de noviembre de 2024</w:t>
      </w:r>
      <w:r w:rsidRPr="007B360F">
        <w:rPr>
          <w:rStyle w:val="FootnoteReference"/>
          <w:szCs w:val="24"/>
        </w:rPr>
        <w:footnoteReference w:id="4"/>
      </w:r>
      <w:r w:rsidRPr="007B360F">
        <w:t>,</w:t>
      </w:r>
    </w:p>
    <w:p w14:paraId="66601DEA" w14:textId="77777777" w:rsidR="006163AB" w:rsidRPr="007B360F" w:rsidRDefault="006163AB" w:rsidP="006163AB">
      <w:pPr>
        <w:pStyle w:val="NormalHanging12a"/>
        <w:widowControl/>
        <w:rPr>
          <w:szCs w:val="24"/>
          <w:shd w:val="clear" w:color="auto" w:fill="FFFFFF"/>
        </w:rPr>
      </w:pPr>
      <w:r w:rsidRPr="007B360F">
        <w:t>–</w:t>
      </w:r>
      <w:r w:rsidRPr="007B360F">
        <w:tab/>
      </w:r>
      <w:r w:rsidRPr="007B360F">
        <w:rPr>
          <w:shd w:val="clear" w:color="auto" w:fill="FFFFFF"/>
        </w:rPr>
        <w:t>Vistas sus anteriores Resoluciones de oposición a la autorización de organismos modificados genéticamente</w:t>
      </w:r>
      <w:r w:rsidRPr="007B360F">
        <w:rPr>
          <w:rStyle w:val="FootnoteReference"/>
          <w:szCs w:val="24"/>
          <w:shd w:val="clear" w:color="auto" w:fill="FFFFFF"/>
        </w:rPr>
        <w:footnoteReference w:id="5"/>
      </w:r>
      <w:r w:rsidRPr="007B360F">
        <w:rPr>
          <w:shd w:val="clear" w:color="auto" w:fill="FFFFFF"/>
        </w:rPr>
        <w:t>,</w:t>
      </w:r>
    </w:p>
    <w:p w14:paraId="10688D7A" w14:textId="77777777" w:rsidR="006163AB" w:rsidRPr="007B360F" w:rsidRDefault="006163AB" w:rsidP="006163AB">
      <w:pPr>
        <w:pStyle w:val="NormalHanging12a"/>
        <w:widowControl/>
        <w:rPr>
          <w:szCs w:val="24"/>
        </w:rPr>
      </w:pPr>
      <w:r w:rsidRPr="007B360F">
        <w:lastRenderedPageBreak/>
        <w:t>–</w:t>
      </w:r>
      <w:r w:rsidRPr="007B360F">
        <w:tab/>
        <w:t>Visto el artículo 115, apartados 2 y 3, de su Reglamento interno,</w:t>
      </w:r>
    </w:p>
    <w:p w14:paraId="16083147" w14:textId="77777777" w:rsidR="006163AB" w:rsidRPr="007B360F" w:rsidRDefault="006163AB" w:rsidP="006163AB">
      <w:pPr>
        <w:pStyle w:val="NormalHanging12a"/>
        <w:widowControl/>
        <w:rPr>
          <w:szCs w:val="24"/>
        </w:rPr>
      </w:pPr>
      <w:r w:rsidRPr="007B360F">
        <w:t>–</w:t>
      </w:r>
      <w:r w:rsidRPr="007B360F">
        <w:tab/>
        <w:t>Vista la propuesta de Resolución de la Comisión de Medio Ambiente, Clima y Seguridad Alimentaria,</w:t>
      </w:r>
    </w:p>
    <w:p w14:paraId="53572DDC" w14:textId="77777777" w:rsidR="006163AB" w:rsidRPr="007B360F" w:rsidRDefault="006163AB" w:rsidP="006163AB">
      <w:pPr>
        <w:pStyle w:val="NormalHanging12a"/>
        <w:widowControl/>
        <w:rPr>
          <w:szCs w:val="24"/>
        </w:rPr>
      </w:pPr>
      <w:r w:rsidRPr="007B360F">
        <w:t>A.</w:t>
      </w:r>
      <w:r w:rsidRPr="007B360F">
        <w:tab/>
        <w:t xml:space="preserve">Considerando que, el 27 de enero de 2023, </w:t>
      </w:r>
      <w:proofErr w:type="spellStart"/>
      <w:r w:rsidRPr="007B360F">
        <w:t>Corteva</w:t>
      </w:r>
      <w:proofErr w:type="spellEnd"/>
      <w:r w:rsidRPr="007B360F">
        <w:t xml:space="preserve"> </w:t>
      </w:r>
      <w:proofErr w:type="spellStart"/>
      <w:r w:rsidRPr="007B360F">
        <w:t>Agriscience</w:t>
      </w:r>
      <w:proofErr w:type="spellEnd"/>
      <w:r w:rsidRPr="007B360F">
        <w:t xml:space="preserve"> </w:t>
      </w:r>
      <w:proofErr w:type="spellStart"/>
      <w:r w:rsidRPr="007B360F">
        <w:t>Belgium</w:t>
      </w:r>
      <w:proofErr w:type="spellEnd"/>
      <w:r w:rsidRPr="007B360F">
        <w:t xml:space="preserve"> B.V., con sede en Bélgica presentó a la autoridad nacional competente de los Países Bajos, en nombre de </w:t>
      </w:r>
      <w:proofErr w:type="spellStart"/>
      <w:r w:rsidRPr="007B360F">
        <w:t>Corteva</w:t>
      </w:r>
      <w:proofErr w:type="spellEnd"/>
      <w:r w:rsidRPr="007B360F">
        <w:t xml:space="preserve"> </w:t>
      </w:r>
      <w:proofErr w:type="spellStart"/>
      <w:r w:rsidRPr="007B360F">
        <w:t>Agriscience</w:t>
      </w:r>
      <w:proofErr w:type="spellEnd"/>
      <w:r w:rsidRPr="007B360F">
        <w:t> LLC, con sede en los Estados Unidos, una solicitud de comercialización de alimentos, ingredientes alimentarios y piensos que contengan o estén compuestos por el maíz modificado genéticamente DP51291 (en lo sucesivo, «maíz modificado genéticamente») o se hayan producido a partir de él;</w:t>
      </w:r>
    </w:p>
    <w:p w14:paraId="52872C2F" w14:textId="77777777" w:rsidR="006163AB" w:rsidRPr="007B360F" w:rsidRDefault="006163AB" w:rsidP="006163AB">
      <w:pPr>
        <w:pStyle w:val="NormalHanging12a"/>
        <w:widowControl/>
        <w:rPr>
          <w:szCs w:val="24"/>
        </w:rPr>
      </w:pPr>
      <w:r w:rsidRPr="007B360F">
        <w:t>B.</w:t>
      </w:r>
      <w:r w:rsidRPr="007B360F">
        <w:tab/>
        <w:t xml:space="preserve">Recordando que el maíz modificado genéticamente produce la toxina IPD072Aa para actuar contra el crisomélido del maíz, la proteína </w:t>
      </w:r>
      <w:proofErr w:type="spellStart"/>
      <w:r w:rsidRPr="007B360F">
        <w:t>fosfinotricina</w:t>
      </w:r>
      <w:proofErr w:type="spellEnd"/>
      <w:r w:rsidRPr="007B360F">
        <w:t xml:space="preserve"> acetiltransferasa (PAT) </w:t>
      </w:r>
      <w:r w:rsidRPr="007B360F">
        <w:lastRenderedPageBreak/>
        <w:t xml:space="preserve">para tolerar los herbicidas que contienen </w:t>
      </w:r>
      <w:proofErr w:type="spellStart"/>
      <w:r w:rsidRPr="007B360F">
        <w:t>glufosinato</w:t>
      </w:r>
      <w:proofErr w:type="spellEnd"/>
      <w:r w:rsidRPr="007B360F">
        <w:t xml:space="preserve"> y la proteína PMI como marcador de selección;</w:t>
      </w:r>
    </w:p>
    <w:p w14:paraId="26B6EA0E" w14:textId="77777777" w:rsidR="006163AB" w:rsidRPr="007B360F" w:rsidRDefault="006163AB" w:rsidP="006163AB">
      <w:pPr>
        <w:pStyle w:val="NormalHanging12a"/>
        <w:widowControl/>
        <w:rPr>
          <w:szCs w:val="24"/>
        </w:rPr>
      </w:pPr>
      <w:r w:rsidRPr="007B360F">
        <w:t>C.</w:t>
      </w:r>
      <w:r w:rsidRPr="007B360F">
        <w:tab/>
        <w:t xml:space="preserve">Recordando que el </w:t>
      </w:r>
      <w:proofErr w:type="spellStart"/>
      <w:r w:rsidRPr="007B360F">
        <w:t>glufosinato</w:t>
      </w:r>
      <w:proofErr w:type="spellEnd"/>
      <w:r w:rsidRPr="007B360F">
        <w:t>, considerado un herbicida complementario, está clasificado como sustancia tóxica para la reproducción en la categoría 1B y, por tanto, cumple los «criterios de exclusión» establecidos en el Reglamento (CE) n.º 1107/2009 del Parlamento Europeo y del Consejo</w:t>
      </w:r>
      <w:r w:rsidRPr="007B360F">
        <w:rPr>
          <w:rStyle w:val="FootnoteReference"/>
          <w:szCs w:val="24"/>
        </w:rPr>
        <w:footnoteReference w:id="6"/>
      </w:r>
      <w:r w:rsidRPr="007B360F">
        <w:t xml:space="preserve">; que la aprobación del </w:t>
      </w:r>
      <w:proofErr w:type="spellStart"/>
      <w:r w:rsidRPr="007B360F">
        <w:t>glufosinato</w:t>
      </w:r>
      <w:proofErr w:type="spellEnd"/>
      <w:r w:rsidRPr="007B360F">
        <w:t xml:space="preserve"> para su uso en la Unión venció el 31 de julio de 2018;</w:t>
      </w:r>
    </w:p>
    <w:p w14:paraId="523DF2E7" w14:textId="77777777" w:rsidR="006163AB" w:rsidRPr="007B360F" w:rsidRDefault="006163AB" w:rsidP="006163AB">
      <w:pPr>
        <w:pStyle w:val="NormalHanging12a"/>
        <w:widowControl/>
        <w:rPr>
          <w:szCs w:val="24"/>
        </w:rPr>
      </w:pPr>
      <w:r w:rsidRPr="007B360F">
        <w:t>D.</w:t>
      </w:r>
      <w:r w:rsidRPr="007B360F">
        <w:tab/>
        <w:t xml:space="preserve">Considerando que la IPD072Aa es una toxina insecticida producida por la bacteria </w:t>
      </w:r>
      <w:r w:rsidRPr="007B360F">
        <w:rPr>
          <w:i/>
          <w:iCs/>
        </w:rPr>
        <w:t xml:space="preserve">Pseudomonas </w:t>
      </w:r>
      <w:proofErr w:type="spellStart"/>
      <w:r w:rsidRPr="007B360F">
        <w:rPr>
          <w:i/>
          <w:iCs/>
        </w:rPr>
        <w:t>chlororaphis</w:t>
      </w:r>
      <w:proofErr w:type="spellEnd"/>
      <w:r w:rsidRPr="007B360F">
        <w:t xml:space="preserve">, modificada para actuar contra el crisomélido del maíz; </w:t>
      </w:r>
    </w:p>
    <w:p w14:paraId="2D9C5D43" w14:textId="77777777" w:rsidR="006163AB" w:rsidRPr="007B360F" w:rsidRDefault="006163AB" w:rsidP="006163AB">
      <w:pPr>
        <w:pStyle w:val="NormalHanging12a"/>
        <w:widowControl/>
        <w:rPr>
          <w:b/>
          <w:i/>
          <w:iCs/>
          <w:szCs w:val="24"/>
        </w:rPr>
      </w:pPr>
      <w:r w:rsidRPr="007B360F">
        <w:rPr>
          <w:b/>
          <w:i/>
        </w:rPr>
        <w:t>Ingeniería genética compleja</w:t>
      </w:r>
    </w:p>
    <w:p w14:paraId="62B2A8E8" w14:textId="77777777" w:rsidR="006163AB" w:rsidRPr="007B360F" w:rsidRDefault="006163AB" w:rsidP="006163AB">
      <w:pPr>
        <w:pStyle w:val="NormalHanging12a"/>
        <w:widowControl/>
        <w:rPr>
          <w:szCs w:val="24"/>
        </w:rPr>
      </w:pPr>
      <w:r w:rsidRPr="007B360F">
        <w:t>E.</w:t>
      </w:r>
      <w:r w:rsidRPr="007B360F">
        <w:tab/>
        <w:t xml:space="preserve">Recordando que el maíz DP51291 se desarrolló mediante un proceso de ingeniería genética complejo en varias fases que implicaba la creación de una «plataforma de aterrizaje» genómica, seguida de un </w:t>
      </w:r>
      <w:proofErr w:type="spellStart"/>
      <w:r w:rsidRPr="007B360F">
        <w:t>cobombardeo</w:t>
      </w:r>
      <w:proofErr w:type="spellEnd"/>
      <w:r w:rsidRPr="007B360F">
        <w:t xml:space="preserve"> de </w:t>
      </w:r>
      <w:proofErr w:type="spellStart"/>
      <w:r w:rsidRPr="007B360F">
        <w:t>microproyectiles</w:t>
      </w:r>
      <w:proofErr w:type="spellEnd"/>
      <w:r w:rsidRPr="007B360F">
        <w:t xml:space="preserve"> con cinco plásmidos, y una posterior inserción de casetes génicos mediada por la </w:t>
      </w:r>
      <w:proofErr w:type="spellStart"/>
      <w:r w:rsidRPr="007B360F">
        <w:rPr>
          <w:i/>
          <w:iCs/>
        </w:rPr>
        <w:t>Agrobacterium</w:t>
      </w:r>
      <w:proofErr w:type="spellEnd"/>
      <w:r w:rsidRPr="007B360F">
        <w:rPr>
          <w:i/>
          <w:iCs/>
        </w:rPr>
        <w:t xml:space="preserve"> </w:t>
      </w:r>
      <w:proofErr w:type="spellStart"/>
      <w:r w:rsidRPr="007B360F">
        <w:rPr>
          <w:i/>
          <w:iCs/>
        </w:rPr>
        <w:t>tumefaciens</w:t>
      </w:r>
      <w:proofErr w:type="spellEnd"/>
      <w:r w:rsidRPr="007B360F">
        <w:t xml:space="preserve"> en la plataforma de aterrizaje;</w:t>
      </w:r>
    </w:p>
    <w:p w14:paraId="7B06B6C0" w14:textId="77777777" w:rsidR="006163AB" w:rsidRPr="007B360F" w:rsidRDefault="006163AB" w:rsidP="006163AB">
      <w:pPr>
        <w:pStyle w:val="NormalHanging12a"/>
        <w:widowControl/>
        <w:rPr>
          <w:szCs w:val="24"/>
        </w:rPr>
      </w:pPr>
      <w:r w:rsidRPr="007B360F">
        <w:t>F.</w:t>
      </w:r>
      <w:r w:rsidRPr="007B360F">
        <w:tab/>
        <w:t xml:space="preserve">Considerando que este proceso de modificación genética provocó la supresión de 113 pares de bases de ADN genómico del maíz, como ha puesto de manifiesto el análisis bioinformático, y dio lugar a la formación de varios marcos abiertos de lectura novedosos, lo que indica posibles perturbaciones genómicas derivadas del procedimiento de transformación; que cinco de estos marcos abiertos de lectura presentaban una identidad secuencial superior al 35 % de alérgenos conocidos, con lo que sobrepasaría el umbral utilizado habitualmente en las evaluaciones de </w:t>
      </w:r>
      <w:proofErr w:type="spellStart"/>
      <w:r w:rsidRPr="007B360F">
        <w:t>alergenicidad</w:t>
      </w:r>
      <w:proofErr w:type="spellEnd"/>
      <w:r w:rsidRPr="007B360F">
        <w:rPr>
          <w:rStyle w:val="FootnoteReference"/>
          <w:szCs w:val="24"/>
        </w:rPr>
        <w:footnoteReference w:id="7"/>
      </w:r>
      <w:r w:rsidRPr="007B360F">
        <w:t xml:space="preserve">; </w:t>
      </w:r>
    </w:p>
    <w:p w14:paraId="4B9DE839" w14:textId="77777777" w:rsidR="006163AB" w:rsidRPr="007B360F" w:rsidRDefault="006163AB" w:rsidP="006163AB">
      <w:pPr>
        <w:pStyle w:val="NormalHanging12a"/>
        <w:widowControl/>
        <w:rPr>
          <w:b/>
          <w:i/>
          <w:iCs/>
          <w:szCs w:val="24"/>
        </w:rPr>
      </w:pPr>
      <w:r w:rsidRPr="007B360F">
        <w:rPr>
          <w:b/>
          <w:i/>
        </w:rPr>
        <w:t>Falta de datos sobre prácticas agrícolas y factores ambientales</w:t>
      </w:r>
    </w:p>
    <w:p w14:paraId="03E2B1F2" w14:textId="77777777" w:rsidR="006163AB" w:rsidRPr="007B360F" w:rsidRDefault="006163AB" w:rsidP="006163AB">
      <w:pPr>
        <w:pStyle w:val="NormalHanging12a"/>
        <w:widowControl/>
        <w:rPr>
          <w:szCs w:val="24"/>
        </w:rPr>
      </w:pPr>
      <w:r w:rsidRPr="007B360F">
        <w:t>G.</w:t>
      </w:r>
      <w:r w:rsidRPr="007B360F">
        <w:tab/>
        <w:t>Considerando que el Reglamento de Ejecución (UE) n.º 503/2013</w:t>
      </w:r>
      <w:r w:rsidRPr="007B360F">
        <w:rPr>
          <w:rStyle w:val="FootnoteReference"/>
          <w:szCs w:val="24"/>
        </w:rPr>
        <w:footnoteReference w:id="8"/>
      </w:r>
      <w:r w:rsidRPr="007B360F">
        <w:t xml:space="preserve"> de la Comisión exige evaluar si las prácticas agrícolas previstas influyen en la expresión de los efectos finales estudiados; que, con arreglo a dicho Reglamento de Ejecución, esta evaluación es especialmente pertinente en el caso de las plantas tolerantes a los herbicidas;</w:t>
      </w:r>
    </w:p>
    <w:p w14:paraId="2AD13F39" w14:textId="77777777" w:rsidR="006163AB" w:rsidRPr="007B360F" w:rsidRDefault="006163AB" w:rsidP="006163AB">
      <w:pPr>
        <w:pStyle w:val="NormalHanging12a"/>
        <w:widowControl/>
        <w:rPr>
          <w:szCs w:val="24"/>
        </w:rPr>
      </w:pPr>
      <w:r w:rsidRPr="007B360F">
        <w:t>H.</w:t>
      </w:r>
      <w:r w:rsidRPr="007B360F">
        <w:tab/>
        <w:t>Recordando que los factores ambientales de estrés, como sequías o temperaturas extremas, pueden inducir patrones inesperados de expresión genética en secuencias de ADN insertadas recientemente</w:t>
      </w:r>
      <w:r w:rsidRPr="007B360F">
        <w:rPr>
          <w:rStyle w:val="FootnoteReference"/>
          <w:szCs w:val="24"/>
        </w:rPr>
        <w:footnoteReference w:id="9"/>
      </w:r>
      <w:r w:rsidRPr="007B360F">
        <w:t xml:space="preserve">; </w:t>
      </w:r>
    </w:p>
    <w:p w14:paraId="38732AED" w14:textId="77777777" w:rsidR="006163AB" w:rsidRPr="007B360F" w:rsidRDefault="006163AB" w:rsidP="006163AB">
      <w:pPr>
        <w:pStyle w:val="NormalHanging12a"/>
        <w:widowControl/>
        <w:rPr>
          <w:szCs w:val="24"/>
        </w:rPr>
      </w:pPr>
      <w:r w:rsidRPr="007B360F">
        <w:t>I.</w:t>
      </w:r>
      <w:r w:rsidRPr="007B360F">
        <w:tab/>
        <w:t>Considerando que los ensayos de campo utilizados para apoyar el análisis de composición y fenotípico del maíz modificado genéticamente se llevaron a cabo durante un único ciclo de crecimiento (2021) en los Estados Unidos y en Canadá en condiciones meteorológicas que no representan adecuadamente la diversidad de regiones productoras de maíz, en particular en países como Brasil;</w:t>
      </w:r>
    </w:p>
    <w:p w14:paraId="354288EF" w14:textId="77777777" w:rsidR="006163AB" w:rsidRPr="007B360F" w:rsidRDefault="006163AB" w:rsidP="006163AB">
      <w:pPr>
        <w:pStyle w:val="NormalHanging12a"/>
        <w:widowControl/>
        <w:rPr>
          <w:szCs w:val="24"/>
        </w:rPr>
      </w:pPr>
      <w:r w:rsidRPr="007B360F">
        <w:t>J.</w:t>
      </w:r>
      <w:r w:rsidRPr="007B360F">
        <w:tab/>
        <w:t>Recordando que se notificaron fenómenos meteorológicos extremos en algunos lugares de ensayo; que no se llevaron a cabo investigaciones específicas para evaluar las condiciones futuras influidas por el actual cambio climático;</w:t>
      </w:r>
    </w:p>
    <w:p w14:paraId="548C1390" w14:textId="77777777" w:rsidR="006163AB" w:rsidRPr="007B360F" w:rsidRDefault="006163AB" w:rsidP="006163AB">
      <w:pPr>
        <w:pStyle w:val="NormalHanging12a"/>
        <w:widowControl/>
        <w:rPr>
          <w:szCs w:val="24"/>
        </w:rPr>
      </w:pPr>
      <w:r w:rsidRPr="007B360F">
        <w:t>K.</w:t>
      </w:r>
      <w:r w:rsidRPr="007B360F">
        <w:tab/>
        <w:t xml:space="preserve">Considerando que el </w:t>
      </w:r>
      <w:proofErr w:type="spellStart"/>
      <w:r w:rsidRPr="007B360F">
        <w:t>glufosinato</w:t>
      </w:r>
      <w:proofErr w:type="spellEnd"/>
      <w:r w:rsidRPr="007B360F">
        <w:t xml:space="preserve"> solo se aplicó una vez durante los ensayos de campo, de acuerdo con las recomendaciones posológicas de la EFSA; que, no obstante, en las prácticas agrícolas reales, las dosis y frecuencias de aplicación de los herbicidas a menudo varían significativamente de una región a otra y pueden conllevar un uso mayor o reiterado de estos, lo que significa que los datos de los ensayos de campo puede que no reflejen de manera fidedigna toda la gama de condiciones ambientales y agrícolas en las que es probable que se cultive o se importe el maíz modificado genéticamente;</w:t>
      </w:r>
    </w:p>
    <w:p w14:paraId="1CD753E1" w14:textId="77777777" w:rsidR="006163AB" w:rsidRPr="007B360F" w:rsidRDefault="006163AB" w:rsidP="006163AB">
      <w:pPr>
        <w:pStyle w:val="NormalHanging12a"/>
        <w:widowControl/>
        <w:rPr>
          <w:b/>
          <w:i/>
          <w:iCs/>
          <w:szCs w:val="24"/>
        </w:rPr>
      </w:pPr>
      <w:r w:rsidRPr="007B360F">
        <w:rPr>
          <w:b/>
          <w:i/>
        </w:rPr>
        <w:t xml:space="preserve">Falta de evaluación del </w:t>
      </w:r>
      <w:proofErr w:type="spellStart"/>
      <w:r w:rsidRPr="007B360F">
        <w:rPr>
          <w:b/>
          <w:i/>
        </w:rPr>
        <w:t>glufosinato</w:t>
      </w:r>
      <w:proofErr w:type="spellEnd"/>
      <w:r w:rsidRPr="007B360F">
        <w:rPr>
          <w:b/>
          <w:i/>
        </w:rPr>
        <w:t xml:space="preserve"> </w:t>
      </w:r>
    </w:p>
    <w:p w14:paraId="0BB9AD0B" w14:textId="77777777" w:rsidR="006163AB" w:rsidRPr="007B360F" w:rsidRDefault="006163AB" w:rsidP="006163AB">
      <w:pPr>
        <w:pStyle w:val="NormalHanging12a"/>
        <w:widowControl/>
        <w:rPr>
          <w:szCs w:val="24"/>
        </w:rPr>
      </w:pPr>
      <w:r w:rsidRPr="007B360F">
        <w:t>L.</w:t>
      </w:r>
      <w:r w:rsidRPr="007B360F">
        <w:tab/>
        <w:t xml:space="preserve">Recordando que el </w:t>
      </w:r>
      <w:proofErr w:type="spellStart"/>
      <w:r w:rsidRPr="007B360F">
        <w:t>glufosinato</w:t>
      </w:r>
      <w:proofErr w:type="spellEnd"/>
      <w:r w:rsidRPr="007B360F">
        <w:t xml:space="preserve"> está asociado a riesgos importantes para la biodiversidad y para la salud de los ecosistemas a largo plazo, así como en materia de toxicidad;</w:t>
      </w:r>
    </w:p>
    <w:p w14:paraId="6D302B5A" w14:textId="77777777" w:rsidR="006163AB" w:rsidRPr="007B360F" w:rsidRDefault="006163AB" w:rsidP="006163AB">
      <w:pPr>
        <w:pStyle w:val="NormalHanging12a"/>
        <w:widowControl/>
        <w:rPr>
          <w:szCs w:val="24"/>
        </w:rPr>
      </w:pPr>
      <w:r w:rsidRPr="007B360F">
        <w:t>M.</w:t>
      </w:r>
      <w:r w:rsidRPr="007B360F">
        <w:tab/>
        <w:t>Considerando que se ha modificado genéticamente la gran mayoría de estos cultivos para que desarrollen tolerancia a uno o varios herbicidas «complementarios» y que, así, estos puedan utilizarse durante todo el cultivo de la planta modificada genéticamente sin que esta muera, como sucedería con una planta no tolerante a los herbicidas; que diversos estudios demuestran que, en los cultivos modificados genéticamente que son tolerantes a los herbicidas, se hace un mayor uso de herbicidas complementarios, debido en gran parte a la aparición de malas hierbas tolerantes a los herbicidas</w:t>
      </w:r>
      <w:r w:rsidRPr="007B360F">
        <w:rPr>
          <w:rStyle w:val="FootnoteReference"/>
          <w:szCs w:val="24"/>
        </w:rPr>
        <w:footnoteReference w:id="10"/>
      </w:r>
      <w:r w:rsidRPr="007B360F">
        <w:t>;</w:t>
      </w:r>
    </w:p>
    <w:p w14:paraId="6BFC09EA" w14:textId="77777777" w:rsidR="006163AB" w:rsidRPr="007B360F" w:rsidRDefault="006163AB" w:rsidP="006163AB">
      <w:pPr>
        <w:pStyle w:val="NormalHanging12a"/>
        <w:widowControl/>
        <w:rPr>
          <w:szCs w:val="24"/>
        </w:rPr>
      </w:pPr>
      <w:r w:rsidRPr="007B360F">
        <w:t>N.</w:t>
      </w:r>
      <w:r w:rsidRPr="007B360F">
        <w:tab/>
        <w:t>Considerando que los cultivos modificados genéticamente tolerantes a los herbicidas atrapan a los agricultores en un sistema de gestión de las malas hierbas que depende en gran medida o en su totalidad de los herbicidas, ya que se cobra un suplemento por las semillas modificadas genéticamente que solo puede justificarse si los agricultores que las adquieren también fumigan con los herbicidas complementarios; que una mayor dependencia de los herbicidas complementarios en las explotaciones de cultivos modificados genéticamente acelera la aparición y la propagación de malas hierbas tolerantes a dichos herbicidas, lo que genera la necesidad de un uso aún mayor de herbicidas, en lo que se conoce como «círculo vicioso de los herbicidas»;</w:t>
      </w:r>
    </w:p>
    <w:p w14:paraId="3F153757" w14:textId="77777777" w:rsidR="006163AB" w:rsidRPr="007B360F" w:rsidRDefault="006163AB" w:rsidP="006163AB">
      <w:pPr>
        <w:pStyle w:val="NormalHanging12a"/>
        <w:widowControl/>
        <w:rPr>
          <w:szCs w:val="24"/>
        </w:rPr>
      </w:pPr>
      <w:r w:rsidRPr="007B360F">
        <w:t>O.</w:t>
      </w:r>
      <w:r w:rsidRPr="007B360F">
        <w:tab/>
        <w:t>Considerando que los efectos adversos derivados de una dependencia excesiva de los herbicidas empeorarán la salud del suelo, la calidad del agua y la biodiversidad tanto superficial como subterránea, y darán lugar a una mayor exposición humana y animal, posiblemente también como consecuencia del aumento de los residuos de herbicidas en los alimentos y los piensos;</w:t>
      </w:r>
    </w:p>
    <w:p w14:paraId="2BF8DCA6" w14:textId="77777777" w:rsidR="006163AB" w:rsidRPr="007B360F" w:rsidRDefault="006163AB" w:rsidP="006163AB">
      <w:pPr>
        <w:pStyle w:val="NormalHanging12a"/>
        <w:widowControl/>
        <w:rPr>
          <w:szCs w:val="24"/>
        </w:rPr>
      </w:pPr>
      <w:r w:rsidRPr="007B360F">
        <w:t>P.</w:t>
      </w:r>
      <w:r w:rsidRPr="007B360F">
        <w:tab/>
        <w:t>Recordando que la evaluación de los residuos de herbicidas y los metabolitos en plantas modificadas genéticamente no entra dentro del ámbito de competencias de la Comisión Técnica de Organismos Modificados Genéticamente de la EFSA y, por consiguiente, no forma parte del procedimiento de autorización de este tipo de organismos;</w:t>
      </w:r>
    </w:p>
    <w:p w14:paraId="05359032" w14:textId="77777777" w:rsidR="006163AB" w:rsidRPr="007B360F" w:rsidRDefault="006163AB" w:rsidP="006163AB">
      <w:pPr>
        <w:pStyle w:val="NormalHanging12a"/>
        <w:widowControl/>
        <w:rPr>
          <w:b/>
          <w:i/>
          <w:iCs/>
          <w:szCs w:val="24"/>
        </w:rPr>
      </w:pPr>
      <w:r w:rsidRPr="007B360F">
        <w:rPr>
          <w:b/>
          <w:i/>
        </w:rPr>
        <w:t>Cuestiones pendientes relativas a la toxina IPD072Aa</w:t>
      </w:r>
    </w:p>
    <w:p w14:paraId="72E97101" w14:textId="77777777" w:rsidR="006163AB" w:rsidRPr="007B360F" w:rsidRDefault="006163AB" w:rsidP="006163AB">
      <w:pPr>
        <w:pStyle w:val="NormalHanging12a"/>
        <w:widowControl/>
        <w:rPr>
          <w:szCs w:val="24"/>
        </w:rPr>
      </w:pPr>
      <w:r w:rsidRPr="007B360F">
        <w:t>Q.</w:t>
      </w:r>
      <w:r w:rsidRPr="007B360F">
        <w:tab/>
        <w:t>Considerando que el Reglamento de Ejecución (UE) n.º 503/2013 exige una evaluación toxicológica para demostrar que los efectos intencionales de la modificación genética no tienen efectos perjudiciales en la salud humana y animal;</w:t>
      </w:r>
    </w:p>
    <w:p w14:paraId="00A11EF7" w14:textId="77777777" w:rsidR="006163AB" w:rsidRPr="007B360F" w:rsidRDefault="006163AB" w:rsidP="006163AB">
      <w:pPr>
        <w:pStyle w:val="NormalHanging12a"/>
        <w:widowControl/>
        <w:rPr>
          <w:szCs w:val="24"/>
        </w:rPr>
      </w:pPr>
      <w:r w:rsidRPr="007B360F">
        <w:t>R.</w:t>
      </w:r>
      <w:r w:rsidRPr="007B360F">
        <w:tab/>
        <w:t xml:space="preserve">Considerando que la IPD072Aa es una nueva proteína y, por tanto, su uso en la agricultura y su introducción en la cadena alimentaria no pueden depender por completo de experiencias anteriores; </w:t>
      </w:r>
    </w:p>
    <w:p w14:paraId="402D96EA" w14:textId="77777777" w:rsidR="006163AB" w:rsidRPr="007B360F" w:rsidRDefault="006163AB" w:rsidP="006163AB">
      <w:pPr>
        <w:pStyle w:val="NormalHanging12a"/>
        <w:widowControl/>
        <w:rPr>
          <w:szCs w:val="24"/>
        </w:rPr>
      </w:pPr>
      <w:r w:rsidRPr="007B360F">
        <w:t>S.</w:t>
      </w:r>
      <w:r w:rsidRPr="007B360F">
        <w:tab/>
        <w:t xml:space="preserve">Recordando que, a pesar de las diferencias, las similitudes observadas entre las toxinas IPD072Aa y </w:t>
      </w:r>
      <w:proofErr w:type="spellStart"/>
      <w:r w:rsidRPr="007B360F">
        <w:t>Bt</w:t>
      </w:r>
      <w:proofErr w:type="spellEnd"/>
      <w:r w:rsidRPr="007B360F">
        <w:t xml:space="preserve"> enfatizan la necesidad de realizar un examen minucioso en el proceso de evaluación del riesgo; que varios estudios han indicado que las toxinas </w:t>
      </w:r>
      <w:proofErr w:type="spellStart"/>
      <w:r w:rsidRPr="007B360F">
        <w:t>Bt</w:t>
      </w:r>
      <w:proofErr w:type="spellEnd"/>
      <w:r w:rsidRPr="007B360F">
        <w:t xml:space="preserve"> pueden provocar efectos adversos relacionados con el sistema inmunitario, incluidas posibles propiedades adyuvantes</w:t>
      </w:r>
      <w:r w:rsidRPr="007B360F">
        <w:rPr>
          <w:rStyle w:val="FootnoteReference"/>
          <w:szCs w:val="24"/>
        </w:rPr>
        <w:footnoteReference w:id="11"/>
      </w:r>
      <w:r w:rsidRPr="007B360F">
        <w:t xml:space="preserve">, lo que significa que pueden aumentar la </w:t>
      </w:r>
      <w:proofErr w:type="spellStart"/>
      <w:r w:rsidRPr="007B360F">
        <w:t>alergenicidad</w:t>
      </w:r>
      <w:proofErr w:type="spellEnd"/>
      <w:r w:rsidRPr="007B360F">
        <w:t xml:space="preserve"> de otras proteínas con las que entran en contacto;</w:t>
      </w:r>
    </w:p>
    <w:p w14:paraId="300356CB" w14:textId="77777777" w:rsidR="006163AB" w:rsidRPr="007B360F" w:rsidRDefault="006163AB" w:rsidP="006163AB">
      <w:pPr>
        <w:pStyle w:val="NormalHanging12a"/>
        <w:widowControl/>
        <w:rPr>
          <w:szCs w:val="24"/>
        </w:rPr>
      </w:pPr>
      <w:r w:rsidRPr="007B360F">
        <w:t>T.</w:t>
      </w:r>
      <w:r w:rsidRPr="007B360F">
        <w:tab/>
        <w:t>Considerando que en un estudio científico se constató que la toxicidad de las toxinas </w:t>
      </w:r>
      <w:proofErr w:type="spellStart"/>
      <w:r w:rsidRPr="007B360F">
        <w:t>Bt</w:t>
      </w:r>
      <w:proofErr w:type="spellEnd"/>
      <w:r w:rsidRPr="007B360F">
        <w:t xml:space="preserve"> también puede aumentar por la interacción con los residuos de la pulverización con herbicidas y que se necesitan más estudios sobre los efectos combinatorios de los eventos «acumulados» (cultivos modificados genéticamente para ser tolerantes a herbicidas y producir insecticidas en forma de toxinas </w:t>
      </w:r>
      <w:proofErr w:type="spellStart"/>
      <w:r w:rsidRPr="007B360F">
        <w:t>Bt</w:t>
      </w:r>
      <w:proofErr w:type="spellEnd"/>
      <w:r w:rsidRPr="007B360F">
        <w:t>)</w:t>
      </w:r>
      <w:r w:rsidRPr="007B360F">
        <w:rPr>
          <w:rStyle w:val="FootnoteReference"/>
          <w:szCs w:val="24"/>
        </w:rPr>
        <w:footnoteReference w:id="12"/>
      </w:r>
      <w:r w:rsidRPr="007B360F">
        <w:t>; que, sin embargo, se considera que la evaluación de la posible interacción de los residuos de herbicidas y sus metabolitos con las toxinas </w:t>
      </w:r>
      <w:proofErr w:type="spellStart"/>
      <w:r w:rsidRPr="007B360F">
        <w:t>Bt</w:t>
      </w:r>
      <w:proofErr w:type="spellEnd"/>
      <w:r w:rsidRPr="007B360F">
        <w:t xml:space="preserve"> no entra en el ámbito de competencias de la Comisión Técnica de Organismos Modificados Genéticamente de la EFSA y, por consiguiente, no forma parte de la evaluación del riesgo;</w:t>
      </w:r>
    </w:p>
    <w:p w14:paraId="0B256924" w14:textId="77777777" w:rsidR="006163AB" w:rsidRPr="007B360F" w:rsidRDefault="006163AB" w:rsidP="006163AB">
      <w:pPr>
        <w:pStyle w:val="NormalHanging12a"/>
        <w:widowControl/>
        <w:rPr>
          <w:szCs w:val="24"/>
        </w:rPr>
      </w:pPr>
      <w:r w:rsidRPr="007B360F">
        <w:t>U.</w:t>
      </w:r>
      <w:r w:rsidRPr="007B360F">
        <w:tab/>
        <w:t>Considerando que la evaluación de la toxicidad de la proteína IPD072Aa no tiene en cuenta los posibles efectos sinérgicos o acumulativos resultantes de las interacciones con metabolitos vegetales o residuos de herbicidas;</w:t>
      </w:r>
    </w:p>
    <w:p w14:paraId="353F30D1" w14:textId="77777777" w:rsidR="006163AB" w:rsidRPr="007B360F" w:rsidRDefault="006163AB" w:rsidP="006163AB">
      <w:pPr>
        <w:pStyle w:val="NormalHanging12a"/>
        <w:widowControl/>
        <w:rPr>
          <w:szCs w:val="24"/>
        </w:rPr>
      </w:pPr>
      <w:r w:rsidRPr="007B360F">
        <w:t>V.</w:t>
      </w:r>
      <w:r w:rsidRPr="007B360F">
        <w:tab/>
        <w:t>Considerando que no se han facilitado datos sobre la acumulación de IPD072Aa en las redes tróficas, su difusión medioambiental, en particular a través de las aguas residuales y el estiércol, en el suelo y en los ecosistemas acuáticos, ni sus efectos en organismos no objetivo;</w:t>
      </w:r>
    </w:p>
    <w:p w14:paraId="5440983E" w14:textId="77777777" w:rsidR="006163AB" w:rsidRPr="007B360F" w:rsidRDefault="006163AB" w:rsidP="006163AB">
      <w:pPr>
        <w:pStyle w:val="NormalHanging12a"/>
        <w:widowControl/>
        <w:rPr>
          <w:szCs w:val="24"/>
        </w:rPr>
      </w:pPr>
      <w:r w:rsidRPr="007B360F">
        <w:t>W.</w:t>
      </w:r>
      <w:r w:rsidRPr="007B360F">
        <w:tab/>
        <w:t>Recordando que la posibilidad de que se produzca flujo de genes a especies emparentadas silvestres como el teosinte, de lo que se han notificado casos en España y Francia, suscita preocupación por la persistencia del transgén en el medio ambiente y sus posibles consecuencias ecológicas</w:t>
      </w:r>
      <w:r w:rsidRPr="007B360F">
        <w:rPr>
          <w:rStyle w:val="FootnoteReference"/>
          <w:szCs w:val="24"/>
        </w:rPr>
        <w:footnoteReference w:id="13"/>
      </w:r>
      <w:r w:rsidRPr="007B360F">
        <w:t>;</w:t>
      </w:r>
    </w:p>
    <w:p w14:paraId="4D1D65F4" w14:textId="77777777" w:rsidR="006163AB" w:rsidRPr="007B360F" w:rsidRDefault="006163AB" w:rsidP="006163AB">
      <w:pPr>
        <w:pStyle w:val="NormalHanging12a"/>
        <w:widowControl/>
        <w:rPr>
          <w:szCs w:val="24"/>
        </w:rPr>
      </w:pPr>
      <w:r w:rsidRPr="007B360F">
        <w:t>X.</w:t>
      </w:r>
      <w:r w:rsidRPr="007B360F">
        <w:tab/>
        <w:t xml:space="preserve">Considerando que los requisitos de seguimiento establecidos en el Reglamento de Ejecución (UE) n.º 503/2013 no se aplican de manera suficiente, ya que falta una verificación independiente de los datos presentados por </w:t>
      </w:r>
      <w:proofErr w:type="spellStart"/>
      <w:r w:rsidRPr="007B360F">
        <w:t>Corteva</w:t>
      </w:r>
      <w:proofErr w:type="spellEnd"/>
      <w:r w:rsidRPr="007B360F">
        <w:t xml:space="preserve"> </w:t>
      </w:r>
      <w:proofErr w:type="spellStart"/>
      <w:r w:rsidRPr="007B360F">
        <w:t>Agriscience</w:t>
      </w:r>
      <w:proofErr w:type="spellEnd"/>
      <w:r w:rsidRPr="007B360F">
        <w:t xml:space="preserve"> LLC;</w:t>
      </w:r>
    </w:p>
    <w:p w14:paraId="7BDD1CE6" w14:textId="77777777" w:rsidR="006163AB" w:rsidRPr="007B360F" w:rsidRDefault="006163AB" w:rsidP="007B360F">
      <w:pPr>
        <w:pStyle w:val="NormalHanging12a"/>
        <w:widowControl/>
        <w:ind w:left="0" w:firstLine="0"/>
        <w:rPr>
          <w:b/>
          <w:i/>
          <w:iCs/>
          <w:szCs w:val="24"/>
        </w:rPr>
      </w:pPr>
      <w:r w:rsidRPr="007B360F">
        <w:rPr>
          <w:b/>
          <w:i/>
        </w:rPr>
        <w:t>Garantía de unas condiciones de competencia equitativas a escala mundial y respeto de las obligaciones internacionales de la Unión</w:t>
      </w:r>
    </w:p>
    <w:p w14:paraId="6CAAACE5" w14:textId="7349F723" w:rsidR="006163AB" w:rsidRPr="007B360F" w:rsidRDefault="006163AB" w:rsidP="006163AB">
      <w:pPr>
        <w:pStyle w:val="NormalHanging12a"/>
        <w:widowControl/>
        <w:rPr>
          <w:b/>
          <w:szCs w:val="24"/>
        </w:rPr>
      </w:pPr>
      <w:r w:rsidRPr="007B360F">
        <w:t>Y.</w:t>
      </w:r>
      <w:r w:rsidRPr="007B360F">
        <w:rPr>
          <w:b/>
        </w:rPr>
        <w:tab/>
      </w:r>
      <w:r w:rsidRPr="007B360F">
        <w:t>Considerando que el cultivo de maíz modificado genéticamente no está permitido en la Unión; que la adopción de</w:t>
      </w:r>
      <w:r w:rsidR="00C012A6" w:rsidRPr="007B360F">
        <w:t xml:space="preserve"> </w:t>
      </w:r>
      <w:r w:rsidRPr="007B360F">
        <w:t>l</w:t>
      </w:r>
      <w:r w:rsidR="00C012A6" w:rsidRPr="007B360F">
        <w:t>a</w:t>
      </w:r>
      <w:r w:rsidRPr="007B360F">
        <w:t xml:space="preserve"> Decisión </w:t>
      </w:r>
      <w:r w:rsidR="00C012A6" w:rsidRPr="007B360F">
        <w:t>de Ejecución (UE) 2025/1898</w:t>
      </w:r>
      <w:r w:rsidRPr="007B360F">
        <w:t xml:space="preserve"> permit</w:t>
      </w:r>
      <w:r w:rsidR="00C012A6" w:rsidRPr="007B360F">
        <w:t>e</w:t>
      </w:r>
      <w:r w:rsidRPr="007B360F">
        <w:t xml:space="preserve"> importaciones a la Unión que no cumplen las normas observadas por los agricultores de la Unión, lo que los colocaría en una situación de desventaja competitiva;</w:t>
      </w:r>
    </w:p>
    <w:p w14:paraId="6AB7CB71" w14:textId="77777777" w:rsidR="006163AB" w:rsidRPr="007B360F" w:rsidRDefault="006163AB" w:rsidP="006163AB">
      <w:pPr>
        <w:pStyle w:val="NormalHanging12a"/>
        <w:widowControl/>
        <w:rPr>
          <w:b/>
          <w:szCs w:val="24"/>
        </w:rPr>
      </w:pPr>
      <w:r w:rsidRPr="007B360F">
        <w:t>Z.</w:t>
      </w:r>
      <w:r w:rsidRPr="007B360F">
        <w:tab/>
        <w:t>Recordando que, en las conclusiones del diálogo estratégico sobre el futuro de la agricultura en la UE</w:t>
      </w:r>
      <w:r w:rsidRPr="007B360F">
        <w:rPr>
          <w:rStyle w:val="FootnoteReference"/>
          <w:szCs w:val="24"/>
        </w:rPr>
        <w:footnoteReference w:id="14"/>
      </w:r>
      <w:r w:rsidRPr="007B360F">
        <w:t>, se pide a la Comisión que reevalúe su enfoque sobre el acceso al mercado para las importaciones y exportaciones agroalimentarias, habida cuenta de la problemática que plantea la divergencia entre las normas de la Unión y las de sus socios comerciales; que unas relaciones comerciales más justas a escala mundial, en consonancia con los objetivos relativos a un medio ambiente saludable, fueron una de las exigencias principales de los agricultores durante las manifestaciones de 2023 y 2024;</w:t>
      </w:r>
    </w:p>
    <w:p w14:paraId="2804B0CD" w14:textId="77777777" w:rsidR="006163AB" w:rsidRPr="007B360F" w:rsidRDefault="006163AB" w:rsidP="006163AB">
      <w:pPr>
        <w:pStyle w:val="NormalHanging12a"/>
        <w:widowControl/>
        <w:rPr>
          <w:szCs w:val="24"/>
        </w:rPr>
      </w:pPr>
      <w:r w:rsidRPr="007B360F">
        <w:t>AA.</w:t>
      </w:r>
      <w:r w:rsidRPr="007B360F">
        <w:tab/>
        <w:t>Considerando que, en un informe de 2017 de la relatora especial de las Naciones Unidas sobre el derecho a la alimentación, se afirmaba que los plaguicidas peligrosos tienen consecuencias desastrosas para la salud, en particular en los países en desarrollo</w:t>
      </w:r>
      <w:r w:rsidRPr="007B360F">
        <w:rPr>
          <w:rStyle w:val="FootnoteReference"/>
          <w:szCs w:val="24"/>
        </w:rPr>
        <w:footnoteReference w:id="15"/>
      </w:r>
      <w:r w:rsidRPr="007B360F">
        <w:t>; que la meta 3.9 de los Objetivos de Desarrollo Sostenible de las Naciones Unidas aspira a reducir sustancialmente, para 2030, el número de muertes y enfermedades producidas por productos químicos peligrosos y la contaminación del aire, el agua y el suelo</w:t>
      </w:r>
      <w:r w:rsidRPr="007B360F">
        <w:rPr>
          <w:rStyle w:val="FootnoteReference"/>
          <w:szCs w:val="24"/>
        </w:rPr>
        <w:footnoteReference w:id="16"/>
      </w:r>
      <w:r w:rsidRPr="007B360F">
        <w:t>;</w:t>
      </w:r>
    </w:p>
    <w:p w14:paraId="56FF80E3" w14:textId="77777777" w:rsidR="006163AB" w:rsidRPr="007B360F" w:rsidRDefault="006163AB" w:rsidP="006163AB">
      <w:pPr>
        <w:pStyle w:val="NormalHanging12a"/>
        <w:widowControl/>
        <w:rPr>
          <w:szCs w:val="24"/>
        </w:rPr>
      </w:pPr>
      <w:r w:rsidRPr="007B360F">
        <w:t>AB.</w:t>
      </w:r>
      <w:r w:rsidRPr="007B360F">
        <w:tab/>
        <w:t>Considerando que el Marco Mundial de Biodiversidad de Kunming-Montreal, acordado en la CP15 del Convenio de las Naciones Unidas sobre la Diversidad Biológica (en lo sucesivo, «Convenio sobre la Diversidad Biológica») en diciembre de 2022, incluye un objetivo mundial de reducción del riesgo de los plaguicidas en al menos un 50 % para 2030</w:t>
      </w:r>
      <w:r w:rsidRPr="007B360F">
        <w:rPr>
          <w:rStyle w:val="FootnoteReference"/>
          <w:szCs w:val="24"/>
        </w:rPr>
        <w:footnoteReference w:id="17"/>
      </w:r>
      <w:r w:rsidRPr="007B360F">
        <w:t>;</w:t>
      </w:r>
    </w:p>
    <w:p w14:paraId="23006B32" w14:textId="77777777" w:rsidR="006163AB" w:rsidRPr="007B360F" w:rsidRDefault="006163AB" w:rsidP="006163AB">
      <w:pPr>
        <w:pStyle w:val="NormalHanging12a"/>
        <w:widowControl/>
        <w:rPr>
          <w:szCs w:val="24"/>
        </w:rPr>
      </w:pPr>
      <w:r w:rsidRPr="007B360F">
        <w:t>AC.</w:t>
      </w:r>
      <w:r w:rsidRPr="007B360F">
        <w:tab/>
        <w:t>Considerando que en el Reglamento (CE) n.º 1829/2003 se señala que los alimentos y piensos modificados genéticamente no deben tener efectos negativos sobre la salud humana, la sanidad animal o el medio ambiente, y que la Comisión debe tener en cuenta, al redactar su proyecto de Decisión, cualesquiera disposiciones pertinentes de la legislación de la Unión y otros factores legítimos relativos al asunto considerado; que estos factores legítimos deben incluir las obligaciones de la Unión en virtud de los Objetivos de Desarrollo Sostenible y del Convenio sobre la Diversidad Biológica de las Naciones Unidas;</w:t>
      </w:r>
    </w:p>
    <w:p w14:paraId="621D11C3" w14:textId="77777777" w:rsidR="006163AB" w:rsidRPr="007B360F" w:rsidRDefault="006163AB" w:rsidP="006163AB">
      <w:pPr>
        <w:pStyle w:val="NormalHanging12a"/>
        <w:widowControl/>
        <w:rPr>
          <w:b/>
          <w:i/>
          <w:iCs/>
          <w:szCs w:val="24"/>
        </w:rPr>
      </w:pPr>
      <w:r w:rsidRPr="007B360F">
        <w:rPr>
          <w:b/>
          <w:i/>
        </w:rPr>
        <w:t>Reducción de la dependencia de los piensos importados</w:t>
      </w:r>
    </w:p>
    <w:p w14:paraId="103F5350" w14:textId="77777777" w:rsidR="006163AB" w:rsidRPr="007B360F" w:rsidRDefault="006163AB" w:rsidP="006163AB">
      <w:pPr>
        <w:pStyle w:val="NormalHanging12a"/>
        <w:widowControl/>
        <w:rPr>
          <w:szCs w:val="24"/>
        </w:rPr>
      </w:pPr>
      <w:r w:rsidRPr="007B360F">
        <w:t>AD.</w:t>
      </w:r>
      <w:r w:rsidRPr="007B360F">
        <w:tab/>
        <w:t xml:space="preserve">Recordando que una de las lecciones extraídas de la crisis de la COVID-19 y de la guerra aún en curso en Ucrania es la necesidad de que la Unión ponga fin a la dependencia de algunas materias primas fundamentales; que, en la carta de mandato dirigida al comisario </w:t>
      </w:r>
      <w:proofErr w:type="spellStart"/>
      <w:r w:rsidRPr="007B360F">
        <w:t>Christophe</w:t>
      </w:r>
      <w:proofErr w:type="spellEnd"/>
      <w:r w:rsidRPr="007B360F">
        <w:t xml:space="preserve"> Hansen, la presidenta de la Comisión, </w:t>
      </w:r>
      <w:proofErr w:type="spellStart"/>
      <w:r w:rsidRPr="007B360F">
        <w:t>Ursula</w:t>
      </w:r>
      <w:proofErr w:type="spellEnd"/>
      <w:r w:rsidRPr="007B360F">
        <w:t xml:space="preserve"> </w:t>
      </w:r>
      <w:proofErr w:type="spellStart"/>
      <w:r w:rsidRPr="007B360F">
        <w:t>von</w:t>
      </w:r>
      <w:proofErr w:type="spellEnd"/>
      <w:r w:rsidRPr="007B360F">
        <w:t xml:space="preserve"> </w:t>
      </w:r>
      <w:proofErr w:type="spellStart"/>
      <w:r w:rsidRPr="007B360F">
        <w:t>der</w:t>
      </w:r>
      <w:proofErr w:type="spellEnd"/>
      <w:r w:rsidRPr="007B360F">
        <w:t xml:space="preserve"> </w:t>
      </w:r>
      <w:proofErr w:type="spellStart"/>
      <w:r w:rsidRPr="007B360F">
        <w:t>Leyen</w:t>
      </w:r>
      <w:proofErr w:type="spellEnd"/>
      <w:r w:rsidRPr="007B360F">
        <w:t>, le pidió que estudiara formas de reducir las importaciones de productos esenciales críticos</w:t>
      </w:r>
      <w:r w:rsidRPr="007B360F">
        <w:rPr>
          <w:rStyle w:val="FootnoteReference"/>
          <w:szCs w:val="24"/>
        </w:rPr>
        <w:footnoteReference w:id="18"/>
      </w:r>
      <w:r w:rsidRPr="007B360F">
        <w:t>;</w:t>
      </w:r>
    </w:p>
    <w:p w14:paraId="686BE5FF" w14:textId="77777777" w:rsidR="006163AB" w:rsidRPr="007B360F" w:rsidRDefault="006163AB" w:rsidP="006163AB">
      <w:pPr>
        <w:pStyle w:val="NormalHanging12a"/>
        <w:widowControl/>
        <w:rPr>
          <w:b/>
          <w:i/>
          <w:iCs/>
          <w:szCs w:val="24"/>
        </w:rPr>
      </w:pPr>
      <w:r w:rsidRPr="007B360F">
        <w:rPr>
          <w:b/>
          <w:i/>
        </w:rPr>
        <w:t>Toma de decisiones no democrática</w:t>
      </w:r>
    </w:p>
    <w:p w14:paraId="0E6361D9" w14:textId="77777777" w:rsidR="006163AB" w:rsidRPr="007B360F" w:rsidRDefault="006163AB" w:rsidP="006163AB">
      <w:pPr>
        <w:pStyle w:val="NormalHanging12a"/>
        <w:widowControl/>
        <w:rPr>
          <w:szCs w:val="24"/>
        </w:rPr>
      </w:pPr>
      <w:r w:rsidRPr="007B360F">
        <w:t>AE.</w:t>
      </w:r>
      <w:r w:rsidRPr="007B360F">
        <w:tab/>
        <w:t>Considerando que, en su octava legislatura, el Parlamento Europeo aprobó un total de 36 Resoluciones de oposición a la comercialización de organismos modificados genéticamente destinados a alimentos y piensos (33 Resoluciones) y al cultivo de dichos organismos en la Unión (3 Resoluciones); que, en su novena legislatura, el Parlamento aprobó 38 Resoluciones de oposición a la comercialización de organismos modificados genéticamente y que ya lleva aprobadas otras 11 Resoluciones de oposición a la comercialización de dichos organismos en la décima legislatura actual;</w:t>
      </w:r>
    </w:p>
    <w:p w14:paraId="15AD7F20" w14:textId="77777777" w:rsidR="006163AB" w:rsidRPr="007B360F" w:rsidRDefault="006163AB" w:rsidP="006163AB">
      <w:pPr>
        <w:pStyle w:val="NormalHanging12a"/>
        <w:widowControl/>
        <w:rPr>
          <w:szCs w:val="24"/>
        </w:rPr>
      </w:pPr>
      <w:r w:rsidRPr="007B360F">
        <w:t>AF.</w:t>
      </w:r>
      <w:r w:rsidRPr="007B360F">
        <w:tab/>
        <w:t>Considerando que, a pesar de reconocer las deficiencias democráticas, de la falta de apoyo de los Estados miembros y de la oposición del Parlamento, la Comisión sigue autorizando organismos modificados genéticamente;</w:t>
      </w:r>
    </w:p>
    <w:p w14:paraId="3BF2B86E" w14:textId="77777777" w:rsidR="006163AB" w:rsidRPr="007B360F" w:rsidRDefault="006163AB" w:rsidP="006163AB">
      <w:pPr>
        <w:pStyle w:val="NormalHanging12a"/>
        <w:widowControl/>
        <w:rPr>
          <w:szCs w:val="24"/>
        </w:rPr>
      </w:pPr>
      <w:r w:rsidRPr="007B360F">
        <w:t>AG.</w:t>
      </w:r>
      <w:r w:rsidRPr="007B360F">
        <w:tab/>
        <w:t>Recordando que no es necesaria ninguna modificación legislativa para que la Comisión pueda decidir no autorizar un organismo modificado genéticamente cuando no haya una mayoría cualificada de Estados miembros a favor en el comité de apelación</w:t>
      </w:r>
      <w:r w:rsidRPr="007B360F">
        <w:rPr>
          <w:rStyle w:val="FootnoteReference"/>
          <w:szCs w:val="24"/>
        </w:rPr>
        <w:footnoteReference w:id="19"/>
      </w:r>
      <w:r w:rsidRPr="007B360F">
        <w:t>;</w:t>
      </w:r>
    </w:p>
    <w:p w14:paraId="699A2A93" w14:textId="77777777" w:rsidR="006163AB" w:rsidRPr="007B360F" w:rsidRDefault="006163AB" w:rsidP="006163AB">
      <w:pPr>
        <w:pStyle w:val="NormalHanging12a"/>
        <w:widowControl/>
        <w:rPr>
          <w:szCs w:val="24"/>
        </w:rPr>
      </w:pPr>
      <w:r w:rsidRPr="007B360F">
        <w:t>AH.</w:t>
      </w:r>
      <w:r w:rsidRPr="007B360F">
        <w:tab/>
        <w:t>Considerando que, en la votación del 13 de junio de 2025 en el Comité Permanente de Vegetales, Animales, Alimentos y Piensos al que se refiere el artículo 35 del Reglamento (CE) n.º 1829/2003, no se emitió dictamen, lo que significa que la autorización no fue apoyada por una mayoría cualificada de Estados miembros</w:t>
      </w:r>
      <w:r w:rsidRPr="007B360F">
        <w:rPr>
          <w:rStyle w:val="FootnoteReference"/>
          <w:szCs w:val="24"/>
        </w:rPr>
        <w:footnoteReference w:id="20"/>
      </w:r>
      <w:r w:rsidRPr="007B360F">
        <w:t xml:space="preserve">; </w:t>
      </w:r>
      <w:r w:rsidRPr="007B360F">
        <w:rPr>
          <w:shd w:val="clear" w:color="auto" w:fill="FFFFFF"/>
        </w:rPr>
        <w:t>que, en la votación del 15 de julio de 2025, en el comité de apelación tampoco se emitió dictamen;</w:t>
      </w:r>
    </w:p>
    <w:p w14:paraId="5A6048B4" w14:textId="58A379FC" w:rsidR="006163AB" w:rsidRPr="007B360F" w:rsidRDefault="006163AB" w:rsidP="006163AB">
      <w:pPr>
        <w:pStyle w:val="NormalBold"/>
        <w:widowControl/>
        <w:spacing w:after="240"/>
        <w:ind w:left="567" w:hanging="567"/>
        <w:rPr>
          <w:b w:val="0"/>
          <w:szCs w:val="24"/>
        </w:rPr>
      </w:pPr>
      <w:r w:rsidRPr="007B360F">
        <w:rPr>
          <w:b w:val="0"/>
        </w:rPr>
        <w:t>1.</w:t>
      </w:r>
      <w:r w:rsidRPr="007B360F">
        <w:rPr>
          <w:b w:val="0"/>
        </w:rPr>
        <w:tab/>
      </w:r>
      <w:r w:rsidR="00B95F49" w:rsidRPr="007B360F">
        <w:rPr>
          <w:b w:val="0"/>
        </w:rPr>
        <w:t xml:space="preserve">Considera </w:t>
      </w:r>
      <w:r w:rsidRPr="007B360F">
        <w:rPr>
          <w:b w:val="0"/>
        </w:rPr>
        <w:t xml:space="preserve">que </w:t>
      </w:r>
      <w:r w:rsidR="00B95F49" w:rsidRPr="007B360F">
        <w:rPr>
          <w:b w:val="0"/>
        </w:rPr>
        <w:t>la</w:t>
      </w:r>
      <w:r w:rsidRPr="007B360F">
        <w:rPr>
          <w:b w:val="0"/>
        </w:rPr>
        <w:t xml:space="preserve"> Decisión de Ejecución </w:t>
      </w:r>
      <w:r w:rsidR="00C012A6" w:rsidRPr="007B360F">
        <w:rPr>
          <w:b w:val="0"/>
          <w:bCs/>
        </w:rPr>
        <w:t>(UE) 2025/1898</w:t>
      </w:r>
      <w:r w:rsidRPr="007B360F">
        <w:rPr>
          <w:b w:val="0"/>
        </w:rPr>
        <w:t xml:space="preserve"> excede las competencias de ejecución establecidas en el Reglamento (CE) n.º 1829/2003;</w:t>
      </w:r>
    </w:p>
    <w:p w14:paraId="3AD21288" w14:textId="0ED94066" w:rsidR="006163AB" w:rsidRPr="007B360F" w:rsidRDefault="006163AB" w:rsidP="006163AB">
      <w:pPr>
        <w:pStyle w:val="NormalBold"/>
        <w:widowControl/>
        <w:spacing w:after="240"/>
        <w:ind w:left="567" w:hanging="567"/>
        <w:rPr>
          <w:b w:val="0"/>
          <w:szCs w:val="24"/>
        </w:rPr>
      </w:pPr>
      <w:r w:rsidRPr="007B360F">
        <w:rPr>
          <w:b w:val="0"/>
        </w:rPr>
        <w:t>2.</w:t>
      </w:r>
      <w:r w:rsidRPr="007B360F">
        <w:rPr>
          <w:b w:val="0"/>
        </w:rPr>
        <w:tab/>
        <w:t xml:space="preserve">Considera que </w:t>
      </w:r>
      <w:r w:rsidR="00C012A6" w:rsidRPr="007B360F">
        <w:rPr>
          <w:b w:val="0"/>
        </w:rPr>
        <w:t>la</w:t>
      </w:r>
      <w:r w:rsidRPr="007B360F">
        <w:rPr>
          <w:b w:val="0"/>
        </w:rPr>
        <w:t xml:space="preserve"> Decisión de Ejecución </w:t>
      </w:r>
      <w:r w:rsidR="00C012A6" w:rsidRPr="007B360F">
        <w:rPr>
          <w:b w:val="0"/>
          <w:bCs/>
        </w:rPr>
        <w:t>(UE) 2025/1898</w:t>
      </w:r>
      <w:r w:rsidRPr="007B360F">
        <w:rPr>
          <w:b w:val="0"/>
        </w:rPr>
        <w:t xml:space="preserve"> no es conforme con el Derecho de la Unión al ser incompatible con el objetivo del Reglamento (CE) n.º 1829/2003, que es, con arreglo a los principios generales establecidos en el Reglamento (CE) n.º 178/2002 del Parlamento Europeo y del Consejo</w:t>
      </w:r>
      <w:r w:rsidRPr="007B360F">
        <w:rPr>
          <w:rStyle w:val="FootnoteReference"/>
          <w:b w:val="0"/>
          <w:szCs w:val="24"/>
        </w:rPr>
        <w:footnoteReference w:id="21"/>
      </w:r>
      <w:r w:rsidRPr="007B360F">
        <w:rPr>
          <w:b w:val="0"/>
        </w:rPr>
        <w:t>,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garantiza el funcionamiento eficaz del mercado interior;</w:t>
      </w:r>
    </w:p>
    <w:p w14:paraId="281DCFE3" w14:textId="6B2A80AF" w:rsidR="006163AB" w:rsidRPr="007B360F" w:rsidRDefault="006163AB" w:rsidP="006163AB">
      <w:pPr>
        <w:pStyle w:val="NormalBold"/>
        <w:widowControl/>
        <w:spacing w:after="240"/>
        <w:ind w:left="567" w:hanging="567"/>
        <w:rPr>
          <w:b w:val="0"/>
          <w:szCs w:val="24"/>
        </w:rPr>
      </w:pPr>
      <w:r w:rsidRPr="007B360F">
        <w:rPr>
          <w:b w:val="0"/>
        </w:rPr>
        <w:t>3.</w:t>
      </w:r>
      <w:r w:rsidRPr="007B360F">
        <w:rPr>
          <w:b w:val="0"/>
        </w:rPr>
        <w:tab/>
        <w:t xml:space="preserve">Pide a la Comisión que </w:t>
      </w:r>
      <w:r w:rsidR="00A45FC7" w:rsidRPr="007B360F">
        <w:rPr>
          <w:b w:val="0"/>
        </w:rPr>
        <w:t>derogue</w:t>
      </w:r>
      <w:r w:rsidRPr="007B360F">
        <w:rPr>
          <w:b w:val="0"/>
        </w:rPr>
        <w:t xml:space="preserve"> su Decisión de Ejecución</w:t>
      </w:r>
      <w:r w:rsidR="00C012A6" w:rsidRPr="007B360F">
        <w:rPr>
          <w:b w:val="0"/>
        </w:rPr>
        <w:t xml:space="preserve"> </w:t>
      </w:r>
      <w:r w:rsidR="00C012A6" w:rsidRPr="007B360F">
        <w:rPr>
          <w:b w:val="0"/>
          <w:bCs/>
        </w:rPr>
        <w:t>(UE) 2025/1898</w:t>
      </w:r>
      <w:r w:rsidRPr="007B360F">
        <w:rPr>
          <w:b w:val="0"/>
        </w:rPr>
        <w:t xml:space="preserve"> y presente un nuevo proyecto al comité;</w:t>
      </w:r>
    </w:p>
    <w:p w14:paraId="1ABD0132" w14:textId="77777777" w:rsidR="006163AB" w:rsidRPr="007B360F" w:rsidRDefault="006163AB" w:rsidP="006163AB">
      <w:pPr>
        <w:pStyle w:val="NormalBold"/>
        <w:widowControl/>
        <w:spacing w:after="240"/>
        <w:ind w:left="567" w:hanging="567"/>
        <w:rPr>
          <w:b w:val="0"/>
          <w:szCs w:val="24"/>
        </w:rPr>
      </w:pPr>
      <w:r w:rsidRPr="007B360F">
        <w:rPr>
          <w:b w:val="0"/>
        </w:rPr>
        <w:t>4.</w:t>
      </w:r>
      <w:r w:rsidRPr="007B360F">
        <w:rPr>
          <w:b w:val="0"/>
        </w:rPr>
        <w:tab/>
        <w:t>Pide a la Comisión que garantice la convergencia de normas entre la Unión y sus socios en las negociaciones de acuerdos de libre comercio, de manera que se cumplan las normas de seguridad de la Unión;</w:t>
      </w:r>
    </w:p>
    <w:p w14:paraId="5FE3AAD0" w14:textId="77777777" w:rsidR="006163AB" w:rsidRPr="007B360F" w:rsidRDefault="006163AB" w:rsidP="006163AB">
      <w:pPr>
        <w:pStyle w:val="NormalBold"/>
        <w:widowControl/>
        <w:spacing w:after="240"/>
        <w:ind w:left="567" w:hanging="567"/>
        <w:rPr>
          <w:b w:val="0"/>
          <w:szCs w:val="24"/>
        </w:rPr>
      </w:pPr>
      <w:r w:rsidRPr="007B360F">
        <w:rPr>
          <w:b w:val="0"/>
        </w:rPr>
        <w:t>5.</w:t>
      </w:r>
      <w:r w:rsidRPr="007B360F">
        <w:rPr>
          <w:b w:val="0"/>
        </w:rPr>
        <w:tab/>
        <w:t>Pide a la Comisión que no autorice el maíz modificado genéticamente debido al aumento de los riesgos para la biodiversidad, la seguridad alimentaria y la salud de los trabajadores, en consonancia con el enfoque de «Una sola salud»;</w:t>
      </w:r>
    </w:p>
    <w:p w14:paraId="3C1CCAA0" w14:textId="77777777" w:rsidR="006163AB" w:rsidRPr="007B360F" w:rsidRDefault="006163AB" w:rsidP="006163AB">
      <w:pPr>
        <w:pStyle w:val="NormalBold"/>
        <w:widowControl/>
        <w:spacing w:after="240"/>
        <w:ind w:left="567" w:hanging="567"/>
        <w:rPr>
          <w:b w:val="0"/>
          <w:szCs w:val="24"/>
        </w:rPr>
      </w:pPr>
      <w:r w:rsidRPr="007B360F">
        <w:rPr>
          <w:b w:val="0"/>
        </w:rPr>
        <w:t>6.</w:t>
      </w:r>
      <w:r w:rsidRPr="007B360F">
        <w:rPr>
          <w:b w:val="0"/>
        </w:rPr>
        <w:tab/>
        <w:t>Espera que, con carácter de urgencia, la Comisión cumpla su compromiso</w:t>
      </w:r>
      <w:r w:rsidRPr="007B360F">
        <w:rPr>
          <w:rStyle w:val="FootnoteReference"/>
          <w:b w:val="0"/>
          <w:szCs w:val="24"/>
        </w:rPr>
        <w:footnoteReference w:id="22"/>
      </w:r>
      <w:r w:rsidRPr="007B360F">
        <w:rPr>
          <w:b w:val="0"/>
        </w:rPr>
        <w:t xml:space="preserve"> de presentar una propuesta para garantizar que las sustancias químicas peligrosas prohibidas en la Unión no se fabriquen para la exportación;</w:t>
      </w:r>
    </w:p>
    <w:p w14:paraId="37962688" w14:textId="77777777" w:rsidR="006163AB" w:rsidRPr="007B360F" w:rsidRDefault="006163AB" w:rsidP="006163AB">
      <w:pPr>
        <w:pStyle w:val="NormalBold"/>
        <w:widowControl/>
        <w:spacing w:after="240"/>
        <w:ind w:left="567" w:hanging="567"/>
        <w:rPr>
          <w:b w:val="0"/>
          <w:szCs w:val="24"/>
        </w:rPr>
      </w:pPr>
      <w:r w:rsidRPr="007B360F">
        <w:rPr>
          <w:b w:val="0"/>
        </w:rPr>
        <w:t>7.</w:t>
      </w:r>
      <w:r w:rsidRPr="007B360F">
        <w:rPr>
          <w:b w:val="0"/>
        </w:rPr>
        <w:tab/>
        <w:t>Celebra que, finalmente, la Comisión reconociera en una carta a los diputados de 11 de septiembre de 2020 la necesidad de tener en cuenta la sostenibilidad en las decisiones de autorización relativas a organismos modificados genéticamente</w:t>
      </w:r>
      <w:r w:rsidRPr="007B360F">
        <w:rPr>
          <w:rStyle w:val="FootnoteReference"/>
          <w:b w:val="0"/>
          <w:szCs w:val="24"/>
        </w:rPr>
        <w:footnoteReference w:id="23"/>
      </w:r>
      <w:r w:rsidRPr="007B360F">
        <w:rPr>
          <w:b w:val="0"/>
        </w:rPr>
        <w:t>; expresa, no obstante, su gran decepción ante el hecho de que, desde entonces, la Comisión haya seguido autorizando la importación de organismos modificados genéticamente a la Unión, pese a la continua oposición del Parlamento Europeo y el voto en contra de una mayoría de Estados miembros;</w:t>
      </w:r>
    </w:p>
    <w:p w14:paraId="1650F10C" w14:textId="77777777" w:rsidR="006163AB" w:rsidRPr="007B360F" w:rsidRDefault="006163AB" w:rsidP="006163AB">
      <w:pPr>
        <w:pStyle w:val="NormalBold"/>
        <w:widowControl/>
        <w:spacing w:after="240"/>
        <w:ind w:left="567" w:hanging="567"/>
        <w:rPr>
          <w:b w:val="0"/>
          <w:szCs w:val="24"/>
        </w:rPr>
      </w:pPr>
      <w:r w:rsidRPr="007B360F">
        <w:rPr>
          <w:b w:val="0"/>
        </w:rPr>
        <w:t>8.</w:t>
      </w:r>
      <w:r w:rsidRPr="007B360F">
        <w:rPr>
          <w:b w:val="0"/>
        </w:rPr>
        <w:tab/>
        <w:t>Insta a la Comisión, una vez más, a que tenga presentes las obligaciones que incumben a la Unión en virtud de los acuerdos internacionales, como el Acuerdo de París sobre el Cambio Climático y el Convenio sobre la Diversidad Biológica y los Objetivos de Desarrollo Sostenible de las Naciones Unidas; reitera su petición de que los proyectos de actos de ejecución vayan acompañados de una exposición de motivos en la que se explique de qué manera se respeta el principio de «no ocasionar daños»</w:t>
      </w:r>
      <w:r w:rsidRPr="007B360F">
        <w:rPr>
          <w:rStyle w:val="FootnoteReference"/>
          <w:b w:val="0"/>
          <w:szCs w:val="24"/>
        </w:rPr>
        <w:footnoteReference w:id="24"/>
      </w:r>
      <w:r w:rsidRPr="007B360F">
        <w:rPr>
          <w:b w:val="0"/>
        </w:rPr>
        <w:t>;</w:t>
      </w:r>
    </w:p>
    <w:p w14:paraId="3A3C1155" w14:textId="237ADC14" w:rsidR="00E23513" w:rsidRPr="007B360F" w:rsidRDefault="006163AB" w:rsidP="00E23513">
      <w:pPr>
        <w:pStyle w:val="NormalBold"/>
        <w:widowControl/>
        <w:spacing w:after="240"/>
        <w:ind w:left="567" w:hanging="567"/>
      </w:pPr>
      <w:r w:rsidRPr="007B360F">
        <w:rPr>
          <w:b w:val="0"/>
        </w:rPr>
        <w:t>9.</w:t>
      </w:r>
      <w:r w:rsidRPr="007B360F">
        <w:rPr>
          <w:b w:val="0"/>
        </w:rPr>
        <w:tab/>
        <w:t>Encarga a su presidenta que transmita la presente Resolución al Consejo y a la Comisión, así como a los Gobiernos y Parlamentos de los Estados miembros.</w:t>
      </w:r>
    </w:p>
    <w:p w14:paraId="0EEB3340" w14:textId="2FE8714F" w:rsidR="00E365E1" w:rsidRPr="007B360F" w:rsidRDefault="00E365E1" w:rsidP="00187116"/>
    <w:sectPr w:rsidR="00E365E1" w:rsidRPr="007B360F" w:rsidSect="00E235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F8A33" w14:textId="77777777" w:rsidR="00187116" w:rsidRPr="00E23513" w:rsidRDefault="00187116">
      <w:r w:rsidRPr="00E23513">
        <w:separator/>
      </w:r>
    </w:p>
  </w:endnote>
  <w:endnote w:type="continuationSeparator" w:id="0">
    <w:p w14:paraId="25728010" w14:textId="77777777" w:rsidR="00187116" w:rsidRPr="00E23513" w:rsidRDefault="00187116">
      <w:r w:rsidRPr="00E235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59E3E" w14:textId="77777777" w:rsidR="00064002" w:rsidRPr="00E235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1BF3E" w14:textId="77777777" w:rsidR="00064002" w:rsidRPr="00E235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1F0CD" w14:textId="77777777" w:rsidR="00064002" w:rsidRPr="00E235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5F9DA" w14:textId="77777777" w:rsidR="00187116" w:rsidRPr="00E23513" w:rsidRDefault="00187116">
      <w:r w:rsidRPr="00E23513">
        <w:separator/>
      </w:r>
    </w:p>
  </w:footnote>
  <w:footnote w:type="continuationSeparator" w:id="0">
    <w:p w14:paraId="34E40E88" w14:textId="77777777" w:rsidR="00187116" w:rsidRPr="00E23513" w:rsidRDefault="00187116">
      <w:r w:rsidRPr="00E23513">
        <w:continuationSeparator/>
      </w:r>
    </w:p>
  </w:footnote>
  <w:footnote w:id="1">
    <w:p w14:paraId="1831BBBA" w14:textId="1983F1A5" w:rsidR="00160AC1" w:rsidRPr="006F3129" w:rsidRDefault="00160AC1" w:rsidP="006F3129">
      <w:pPr>
        <w:pStyle w:val="FootnoteText"/>
        <w:ind w:left="567" w:hanging="567"/>
        <w:rPr>
          <w:sz w:val="24"/>
          <w:szCs w:val="24"/>
          <w:lang w:val="pt-PT"/>
        </w:rPr>
      </w:pPr>
      <w:r>
        <w:rPr>
          <w:rStyle w:val="FootnoteReference"/>
        </w:rPr>
        <w:footnoteRef/>
      </w:r>
      <w:r w:rsidRPr="006F3129">
        <w:rPr>
          <w:lang w:val="pt-PT"/>
        </w:rPr>
        <w:t xml:space="preserve"> </w:t>
      </w:r>
      <w:r w:rsidRPr="006F3129">
        <w:rPr>
          <w:lang w:val="pt-PT"/>
        </w:rPr>
        <w:tab/>
      </w:r>
      <w:r w:rsidRPr="006F3129">
        <w:rPr>
          <w:sz w:val="24"/>
          <w:szCs w:val="24"/>
          <w:lang w:val="pt-PT"/>
        </w:rPr>
        <w:t xml:space="preserve">DO L, 2025/1898, 23.9.2025, ELI: </w:t>
      </w:r>
      <w:hyperlink r:id="rId1" w:history="1">
        <w:r w:rsidRPr="006F3129">
          <w:rPr>
            <w:rStyle w:val="Hyperlink"/>
            <w:sz w:val="24"/>
            <w:szCs w:val="24"/>
            <w:lang w:val="pt-PT"/>
          </w:rPr>
          <w:t>http://data.europa.eu/eli/dec_impl/2025/1898/oj</w:t>
        </w:r>
      </w:hyperlink>
    </w:p>
  </w:footnote>
  <w:footnote w:id="2">
    <w:p w14:paraId="7E9F7055" w14:textId="6ED73EBC" w:rsidR="006163AB" w:rsidRPr="007B360F" w:rsidRDefault="006163AB" w:rsidP="00E23513">
      <w:pPr>
        <w:pStyle w:val="FootnoteText"/>
        <w:ind w:left="567" w:hanging="567"/>
        <w:rPr>
          <w:b/>
          <w:bCs/>
          <w:sz w:val="24"/>
          <w:lang w:val="pt-PT"/>
        </w:rPr>
      </w:pPr>
      <w:r w:rsidRPr="00E23513">
        <w:rPr>
          <w:rStyle w:val="FootnoteReference"/>
          <w:sz w:val="24"/>
          <w:lang w:val="es-ES_tradnl"/>
        </w:rPr>
        <w:footnoteRef/>
      </w:r>
      <w:r w:rsidR="00E23513" w:rsidRPr="007B360F">
        <w:rPr>
          <w:sz w:val="24"/>
          <w:lang w:val="pt-PT"/>
        </w:rPr>
        <w:t xml:space="preserve"> </w:t>
      </w:r>
      <w:r w:rsidR="00E23513" w:rsidRPr="007B360F">
        <w:rPr>
          <w:sz w:val="24"/>
          <w:lang w:val="pt-PT"/>
        </w:rPr>
        <w:tab/>
      </w:r>
      <w:r w:rsidRPr="007B360F">
        <w:rPr>
          <w:sz w:val="24"/>
          <w:lang w:val="pt-PT"/>
        </w:rPr>
        <w:t>DO L 268 de 18.10.2003, p. 1, ELI: </w:t>
      </w:r>
      <w:hyperlink r:id="rId2" w:history="1">
        <w:r w:rsidRPr="007B360F">
          <w:rPr>
            <w:rStyle w:val="Hyperlink"/>
            <w:sz w:val="24"/>
            <w:lang w:val="pt-PT"/>
          </w:rPr>
          <w:t>http://data.europa.eu/eli/reg/2003/1829/oj</w:t>
        </w:r>
      </w:hyperlink>
      <w:r w:rsidRPr="007B360F">
        <w:rPr>
          <w:sz w:val="24"/>
          <w:u w:val="single"/>
          <w:lang w:val="pt-PT"/>
        </w:rPr>
        <w:t>.</w:t>
      </w:r>
    </w:p>
  </w:footnote>
  <w:footnote w:id="3">
    <w:p w14:paraId="45A577F2" w14:textId="6C4FBD25" w:rsidR="006163AB" w:rsidRPr="007B360F" w:rsidRDefault="006163AB" w:rsidP="00E23513">
      <w:pPr>
        <w:pStyle w:val="FootnoteText"/>
        <w:ind w:left="567" w:hanging="567"/>
        <w:rPr>
          <w:sz w:val="24"/>
          <w:lang w:val="pt-PT"/>
        </w:rPr>
      </w:pPr>
      <w:r w:rsidRPr="00E23513">
        <w:rPr>
          <w:rStyle w:val="FootnoteReference"/>
          <w:sz w:val="24"/>
          <w:lang w:val="es-ES_tradnl"/>
        </w:rPr>
        <w:footnoteRef/>
      </w:r>
      <w:r w:rsidR="00E23513" w:rsidRPr="007B360F">
        <w:rPr>
          <w:sz w:val="24"/>
          <w:lang w:val="pt-PT"/>
        </w:rPr>
        <w:t xml:space="preserve"> </w:t>
      </w:r>
      <w:r w:rsidR="00E23513" w:rsidRPr="007B360F">
        <w:rPr>
          <w:sz w:val="24"/>
          <w:lang w:val="pt-PT"/>
        </w:rPr>
        <w:tab/>
      </w:r>
      <w:r w:rsidRPr="007B360F">
        <w:rPr>
          <w:sz w:val="24"/>
          <w:lang w:val="pt-PT"/>
        </w:rPr>
        <w:t xml:space="preserve">DO L 55 de 28.2.2011, p. 13, ELI: </w:t>
      </w:r>
      <w:hyperlink r:id="rId3" w:history="1">
        <w:r w:rsidRPr="007B360F">
          <w:rPr>
            <w:rStyle w:val="Hyperlink"/>
            <w:sz w:val="24"/>
            <w:lang w:val="pt-PT"/>
          </w:rPr>
          <w:t>http://data.europa.eu/eli/reg/2011/182/oj</w:t>
        </w:r>
      </w:hyperlink>
      <w:r w:rsidRPr="007B360F">
        <w:rPr>
          <w:sz w:val="24"/>
          <w:lang w:val="pt-PT"/>
        </w:rPr>
        <w:t>.</w:t>
      </w:r>
    </w:p>
  </w:footnote>
  <w:footnote w:id="4">
    <w:p w14:paraId="77F75D8C" w14:textId="29969B34" w:rsidR="006163AB" w:rsidRPr="007B360F" w:rsidRDefault="006163AB" w:rsidP="00E23513">
      <w:pPr>
        <w:pStyle w:val="FootnoteText"/>
        <w:ind w:left="567" w:hanging="567"/>
        <w:rPr>
          <w:sz w:val="24"/>
          <w:lang w:val="pt-PT"/>
        </w:rPr>
      </w:pPr>
      <w:r w:rsidRPr="00E23513">
        <w:rPr>
          <w:rStyle w:val="Funotenzeichen"/>
          <w:sz w:val="24"/>
          <w:lang w:val="es-ES_tradnl"/>
        </w:rPr>
        <w:footnoteRef/>
      </w:r>
      <w:r w:rsidR="00E23513" w:rsidRPr="007B360F">
        <w:rPr>
          <w:sz w:val="24"/>
          <w:lang w:val="pt-PT"/>
        </w:rPr>
        <w:t xml:space="preserve"> </w:t>
      </w:r>
      <w:r w:rsidR="00E23513" w:rsidRPr="007B360F">
        <w:rPr>
          <w:sz w:val="24"/>
          <w:lang w:val="pt-PT"/>
        </w:rPr>
        <w:tab/>
      </w:r>
      <w:r w:rsidRPr="007B360F">
        <w:rPr>
          <w:sz w:val="24"/>
          <w:lang w:val="pt-PT"/>
        </w:rPr>
        <w:t xml:space="preserve">Dictamen científico de la Comisión Técnica de Organismos Modificados Genéticamente de la EFSA titulado «Assessment of genetically modified maize DP5129 (application GMFF-2021-0071)» (Evaluación del maíz modificado genéticamente DP51291 (solicitud GMFF-2021-0071)), EFSA Journal, 2024; 22(11):9059; </w:t>
      </w:r>
      <w:hyperlink r:id="rId4" w:history="1">
        <w:r w:rsidRPr="007B360F">
          <w:rPr>
            <w:rStyle w:val="Hyperlink"/>
            <w:sz w:val="24"/>
            <w:lang w:val="pt-PT"/>
          </w:rPr>
          <w:t>https://doi.org/10.2903/j.efsa.2024.9059</w:t>
        </w:r>
      </w:hyperlink>
      <w:r w:rsidRPr="007B360F">
        <w:rPr>
          <w:sz w:val="24"/>
          <w:lang w:val="pt-PT"/>
        </w:rPr>
        <w:t xml:space="preserve">. </w:t>
      </w:r>
    </w:p>
  </w:footnote>
  <w:footnote w:id="5">
    <w:p w14:paraId="67CCAD82" w14:textId="13AD8436" w:rsidR="006163AB" w:rsidRPr="00E23513" w:rsidRDefault="006163AB" w:rsidP="00E23513">
      <w:pPr>
        <w:pStyle w:val="FootnoteText"/>
        <w:ind w:left="567" w:hanging="567"/>
        <w:rPr>
          <w:color w:val="000000" w:themeColor="text1"/>
          <w:sz w:val="24"/>
          <w:vertAlign w:val="superscript"/>
          <w:lang w:val="es-ES_tradnl"/>
        </w:rPr>
      </w:pPr>
      <w:r w:rsidRPr="00E23513">
        <w:rPr>
          <w:rStyle w:val="FootnoteReference"/>
          <w:sz w:val="24"/>
          <w:lang w:val="es-ES_tradnl"/>
        </w:rPr>
        <w:footnoteRef/>
      </w:r>
      <w:r w:rsidR="00E23513" w:rsidRPr="00E23513">
        <w:rPr>
          <w:color w:val="000000" w:themeColor="text1"/>
          <w:sz w:val="24"/>
          <w:lang w:val="es-ES_tradnl"/>
        </w:rPr>
        <w:t xml:space="preserve"> </w:t>
      </w:r>
      <w:r w:rsidR="00E23513" w:rsidRPr="00E23513">
        <w:rPr>
          <w:color w:val="000000" w:themeColor="text1"/>
          <w:sz w:val="24"/>
          <w:lang w:val="es-ES_tradnl"/>
        </w:rPr>
        <w:tab/>
      </w:r>
      <w:r w:rsidRPr="00E23513">
        <w:rPr>
          <w:color w:val="000000" w:themeColor="text1"/>
          <w:sz w:val="24"/>
          <w:lang w:val="es-ES_tradnl"/>
        </w:rPr>
        <w:t>En su octava y novena legislaturas, el Parlamento aprobó respectivamente 36 y 38 Resoluciones de oposición a la autorización de organismos modificados genéticamente. Además, en su décima legislatura, el Parlamento ha aprobado las siguientes Resoluciones:</w:t>
      </w:r>
    </w:p>
    <w:p w14:paraId="32293290" w14:textId="02B5C7CA" w:rsidR="006163AB" w:rsidRPr="00E23513" w:rsidRDefault="00E23513" w:rsidP="00E23513">
      <w:pPr>
        <w:pStyle w:val="FootnoteText"/>
        <w:ind w:left="567" w:hanging="567"/>
        <w:rPr>
          <w:color w:val="000000" w:themeColor="text1"/>
          <w:sz w:val="24"/>
          <w:vertAlign w:val="superscript"/>
          <w:lang w:val="es-ES_tradnl"/>
        </w:rPr>
      </w:pPr>
      <w:r w:rsidRPr="00E23513">
        <w:rPr>
          <w:color w:val="000000" w:themeColor="text1"/>
          <w:sz w:val="24"/>
          <w:lang w:val="es-ES_tradnl"/>
        </w:rPr>
        <w:t xml:space="preserve"> </w:t>
      </w:r>
      <w:r w:rsidRPr="00E23513">
        <w:rPr>
          <w:color w:val="000000" w:themeColor="text1"/>
          <w:sz w:val="24"/>
          <w:lang w:val="es-ES_tradnl"/>
        </w:rPr>
        <w:tab/>
      </w:r>
      <w:r w:rsidR="006163AB" w:rsidRPr="00E23513">
        <w:rPr>
          <w:color w:val="000000" w:themeColor="text1"/>
          <w:sz w:val="24"/>
          <w:lang w:val="es-ES_tradnl"/>
        </w:rPr>
        <w:t>–</w:t>
      </w:r>
      <w:r w:rsidR="006163AB" w:rsidRPr="00E23513">
        <w:rPr>
          <w:color w:val="000000" w:themeColor="text1"/>
          <w:sz w:val="24"/>
          <w:lang w:val="es-ES_tradnl"/>
        </w:rPr>
        <w:tab/>
        <w:t xml:space="preserve">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5" w:history="1">
        <w:r w:rsidR="006163AB" w:rsidRPr="00E23513">
          <w:rPr>
            <w:rStyle w:val="Hyperlink"/>
            <w:sz w:val="24"/>
            <w:lang w:val="es-ES_tradnl"/>
          </w:rPr>
          <w:t>http://data.europa.eu/eli/C/2025/1797/oj</w:t>
        </w:r>
      </w:hyperlink>
      <w:r w:rsidR="006163AB" w:rsidRPr="00E23513">
        <w:rPr>
          <w:color w:val="000000" w:themeColor="text1"/>
          <w:sz w:val="24"/>
          <w:lang w:val="es-ES_tradnl"/>
        </w:rPr>
        <w:t>).</w:t>
      </w:r>
    </w:p>
    <w:p w14:paraId="71858C16" w14:textId="12BE3E64" w:rsidR="006163AB" w:rsidRPr="00E23513" w:rsidRDefault="00E23513" w:rsidP="00E23513">
      <w:pPr>
        <w:pStyle w:val="FootnoteText"/>
        <w:ind w:left="567" w:hanging="567"/>
        <w:rPr>
          <w:color w:val="000000" w:themeColor="text1"/>
          <w:sz w:val="24"/>
          <w:vertAlign w:val="superscript"/>
          <w:lang w:val="es-ES_tradnl"/>
        </w:rPr>
      </w:pPr>
      <w:r w:rsidRPr="00E23513">
        <w:rPr>
          <w:color w:val="000000" w:themeColor="text1"/>
          <w:sz w:val="24"/>
          <w:lang w:val="es-ES_tradnl"/>
        </w:rPr>
        <w:t xml:space="preserve"> </w:t>
      </w:r>
      <w:r w:rsidRPr="00E23513">
        <w:rPr>
          <w:color w:val="000000" w:themeColor="text1"/>
          <w:sz w:val="24"/>
          <w:lang w:val="es-ES_tradnl"/>
        </w:rPr>
        <w:tab/>
      </w:r>
      <w:r w:rsidR="006163AB" w:rsidRPr="00E23513">
        <w:rPr>
          <w:color w:val="000000" w:themeColor="text1"/>
          <w:sz w:val="24"/>
          <w:lang w:val="es-ES_tradnl"/>
        </w:rPr>
        <w:t>–</w:t>
      </w:r>
      <w:r w:rsidR="006163AB" w:rsidRPr="00E23513">
        <w:rPr>
          <w:color w:val="000000" w:themeColor="text1"/>
          <w:sz w:val="24"/>
          <w:lang w:val="es-ES_tradnl"/>
        </w:rPr>
        <w:tab/>
        <w:t xml:space="preserve">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6" w:history="1">
        <w:r w:rsidR="006163AB" w:rsidRPr="00E23513">
          <w:rPr>
            <w:rStyle w:val="Hyperlink"/>
            <w:sz w:val="24"/>
            <w:lang w:val="es-ES_tradnl"/>
          </w:rPr>
          <w:t>http://data.europa.eu/eli/C/2025/1798/oj</w:t>
        </w:r>
      </w:hyperlink>
      <w:r w:rsidR="006163AB" w:rsidRPr="00E23513">
        <w:rPr>
          <w:color w:val="000000" w:themeColor="text1"/>
          <w:sz w:val="24"/>
          <w:lang w:val="es-ES_tradnl"/>
        </w:rPr>
        <w:t>).</w:t>
      </w:r>
    </w:p>
    <w:p w14:paraId="2B5C16AA" w14:textId="276C4A0A" w:rsidR="006163AB" w:rsidRPr="00E23513" w:rsidRDefault="00E23513" w:rsidP="00E23513">
      <w:pPr>
        <w:pStyle w:val="FootnoteText"/>
        <w:ind w:left="567" w:hanging="567"/>
        <w:rPr>
          <w:color w:val="000000" w:themeColor="text1"/>
          <w:sz w:val="24"/>
          <w:vertAlign w:val="superscript"/>
          <w:lang w:val="es-ES_tradnl"/>
        </w:rPr>
      </w:pPr>
      <w:r w:rsidRPr="00E23513">
        <w:rPr>
          <w:color w:val="000000" w:themeColor="text1"/>
          <w:sz w:val="24"/>
          <w:lang w:val="es-ES_tradnl"/>
        </w:rPr>
        <w:t xml:space="preserve"> </w:t>
      </w:r>
      <w:r w:rsidRPr="00E23513">
        <w:rPr>
          <w:color w:val="000000" w:themeColor="text1"/>
          <w:sz w:val="24"/>
          <w:lang w:val="es-ES_tradnl"/>
        </w:rPr>
        <w:tab/>
      </w:r>
      <w:r w:rsidR="006163AB" w:rsidRPr="00E23513">
        <w:rPr>
          <w:color w:val="000000" w:themeColor="text1"/>
          <w:sz w:val="24"/>
          <w:lang w:val="es-ES_tradnl"/>
        </w:rPr>
        <w:t>–</w:t>
      </w:r>
      <w:r w:rsidR="006163AB" w:rsidRPr="00E23513">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subcombinaciones, con arreglo al Reglamento (CE) n.º 1829/2003 del Parlamento Europeo y del Consejo (DO C, C/2025/1799, 4.4.2025, ELI: </w:t>
      </w:r>
      <w:hyperlink r:id="rId7" w:history="1">
        <w:r w:rsidR="006163AB" w:rsidRPr="00E23513">
          <w:rPr>
            <w:rStyle w:val="Hyperlink"/>
            <w:sz w:val="24"/>
            <w:lang w:val="es-ES_tradnl"/>
          </w:rPr>
          <w:t>http://data.europa.eu/eli/C/2025/1799/oj</w:t>
        </w:r>
      </w:hyperlink>
      <w:r w:rsidR="006163AB" w:rsidRPr="00E23513">
        <w:rPr>
          <w:color w:val="000000" w:themeColor="text1"/>
          <w:sz w:val="24"/>
          <w:lang w:val="es-ES_tradnl"/>
        </w:rPr>
        <w:t>).</w:t>
      </w:r>
    </w:p>
    <w:p w14:paraId="06DE362D" w14:textId="00612599" w:rsidR="006163AB" w:rsidRPr="00E23513" w:rsidRDefault="00E23513" w:rsidP="00E23513">
      <w:pPr>
        <w:pStyle w:val="FootnoteText"/>
        <w:ind w:left="567" w:hanging="567"/>
        <w:rPr>
          <w:color w:val="000000" w:themeColor="text1"/>
          <w:sz w:val="24"/>
          <w:vertAlign w:val="superscript"/>
          <w:lang w:val="es-ES_tradnl"/>
        </w:rPr>
      </w:pPr>
      <w:r w:rsidRPr="00E23513">
        <w:rPr>
          <w:color w:val="000000" w:themeColor="text1"/>
          <w:sz w:val="24"/>
          <w:lang w:val="es-ES_tradnl"/>
        </w:rPr>
        <w:t xml:space="preserve"> </w:t>
      </w:r>
      <w:r w:rsidRPr="00E23513">
        <w:rPr>
          <w:color w:val="000000" w:themeColor="text1"/>
          <w:sz w:val="24"/>
          <w:lang w:val="es-ES_tradnl"/>
        </w:rPr>
        <w:tab/>
      </w:r>
      <w:r w:rsidR="006163AB" w:rsidRPr="00E23513">
        <w:rPr>
          <w:color w:val="000000" w:themeColor="text1"/>
          <w:sz w:val="24"/>
          <w:lang w:val="es-ES_tradnl"/>
        </w:rPr>
        <w:t>–</w:t>
      </w:r>
      <w:r w:rsidR="006163AB" w:rsidRPr="00E23513">
        <w:rPr>
          <w:color w:val="000000" w:themeColor="text1"/>
          <w:sz w:val="24"/>
          <w:lang w:val="es-ES_tradnl"/>
        </w:rPr>
        <w:tab/>
        <w:t xml:space="preserve">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8" w:history="1">
        <w:r w:rsidR="006163AB" w:rsidRPr="00E23513">
          <w:rPr>
            <w:rStyle w:val="Hyperlink"/>
            <w:sz w:val="24"/>
            <w:lang w:val="es-ES_tradnl"/>
          </w:rPr>
          <w:t>http://data.europa.eu/eli/C/2025/1800/oj</w:t>
        </w:r>
      </w:hyperlink>
      <w:r w:rsidR="006163AB" w:rsidRPr="00E23513">
        <w:rPr>
          <w:color w:val="000000" w:themeColor="text1"/>
          <w:sz w:val="24"/>
          <w:lang w:val="es-ES_tradnl"/>
        </w:rPr>
        <w:t>).</w:t>
      </w:r>
    </w:p>
    <w:p w14:paraId="15D11B97" w14:textId="29EC0865" w:rsidR="006163AB" w:rsidRPr="00E23513" w:rsidRDefault="00E23513" w:rsidP="00E23513">
      <w:pPr>
        <w:pStyle w:val="FootnoteText"/>
        <w:ind w:left="567" w:hanging="567"/>
        <w:rPr>
          <w:color w:val="000000" w:themeColor="text1"/>
          <w:sz w:val="24"/>
          <w:vertAlign w:val="superscript"/>
          <w:lang w:val="es-ES_tradnl"/>
        </w:rPr>
      </w:pPr>
      <w:r w:rsidRPr="00E23513">
        <w:rPr>
          <w:color w:val="000000" w:themeColor="text1"/>
          <w:sz w:val="24"/>
          <w:lang w:val="es-ES_tradnl"/>
        </w:rPr>
        <w:t xml:space="preserve"> </w:t>
      </w:r>
      <w:r w:rsidRPr="00E23513">
        <w:rPr>
          <w:color w:val="000000" w:themeColor="text1"/>
          <w:sz w:val="24"/>
          <w:lang w:val="es-ES_tradnl"/>
        </w:rPr>
        <w:tab/>
      </w:r>
      <w:r w:rsidR="006163AB" w:rsidRPr="00E23513">
        <w:rPr>
          <w:color w:val="000000" w:themeColor="text1"/>
          <w:sz w:val="24"/>
          <w:lang w:val="es-ES_tradnl"/>
        </w:rPr>
        <w:t>–</w:t>
      </w:r>
      <w:r w:rsidR="006163AB" w:rsidRPr="00E23513">
        <w:rPr>
          <w:color w:val="000000" w:themeColor="text1"/>
          <w:sz w:val="24"/>
          <w:lang w:val="es-ES_tradnl"/>
        </w:rPr>
        <w:tab/>
        <w:t xml:space="preserve">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9" w:history="1">
        <w:r w:rsidR="006163AB" w:rsidRPr="00E23513">
          <w:rPr>
            <w:rStyle w:val="Hyperlink"/>
            <w:sz w:val="24"/>
            <w:lang w:val="es-ES_tradnl"/>
          </w:rPr>
          <w:t>http://data.europa.eu/eli/C/2025/1801/oj</w:t>
        </w:r>
      </w:hyperlink>
      <w:r w:rsidR="006163AB" w:rsidRPr="00E23513">
        <w:rPr>
          <w:color w:val="000000" w:themeColor="text1"/>
          <w:sz w:val="24"/>
          <w:lang w:val="es-ES_tradnl"/>
        </w:rPr>
        <w:t>).</w:t>
      </w:r>
    </w:p>
    <w:p w14:paraId="121C2F06" w14:textId="5F0ACBCE" w:rsidR="006163AB" w:rsidRPr="00E23513" w:rsidRDefault="00E23513" w:rsidP="00E23513">
      <w:pPr>
        <w:pStyle w:val="FootnoteText"/>
        <w:ind w:left="567" w:hanging="567"/>
        <w:rPr>
          <w:color w:val="000000" w:themeColor="text1"/>
          <w:sz w:val="24"/>
          <w:vertAlign w:val="superscript"/>
          <w:lang w:val="es-ES_tradnl"/>
        </w:rPr>
      </w:pPr>
      <w:r w:rsidRPr="00E23513">
        <w:rPr>
          <w:color w:val="000000" w:themeColor="text1"/>
          <w:sz w:val="24"/>
          <w:lang w:val="es-ES_tradnl"/>
        </w:rPr>
        <w:t xml:space="preserve"> </w:t>
      </w:r>
      <w:r w:rsidRPr="00E23513">
        <w:rPr>
          <w:color w:val="000000" w:themeColor="text1"/>
          <w:sz w:val="24"/>
          <w:lang w:val="es-ES_tradnl"/>
        </w:rPr>
        <w:tab/>
      </w:r>
      <w:r w:rsidR="006163AB" w:rsidRPr="00E23513">
        <w:rPr>
          <w:color w:val="000000" w:themeColor="text1"/>
          <w:sz w:val="24"/>
          <w:lang w:val="es-ES_tradnl"/>
        </w:rPr>
        <w:t>–</w:t>
      </w:r>
      <w:r w:rsidR="006163AB" w:rsidRPr="00E23513">
        <w:rPr>
          <w:color w:val="000000" w:themeColor="text1"/>
          <w:sz w:val="24"/>
          <w:lang w:val="es-ES_tradnl"/>
        </w:rPr>
        <w:tab/>
        <w:t xml:space="preserve">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10" w:history="1">
        <w:r w:rsidR="006163AB" w:rsidRPr="00E23513">
          <w:rPr>
            <w:rStyle w:val="Hyperlink"/>
            <w:sz w:val="24"/>
            <w:lang w:val="es-ES_tradnl"/>
          </w:rPr>
          <w:t>http://data.europa.eu/eli/C/2025/1802/oj</w:t>
        </w:r>
      </w:hyperlink>
      <w:r w:rsidR="006163AB" w:rsidRPr="00E23513">
        <w:rPr>
          <w:color w:val="000000" w:themeColor="text1"/>
          <w:sz w:val="24"/>
          <w:lang w:val="es-ES_tradnl"/>
        </w:rPr>
        <w:t>).</w:t>
      </w:r>
    </w:p>
    <w:p w14:paraId="5E44B160" w14:textId="3C398024" w:rsidR="006163AB" w:rsidRPr="00E23513" w:rsidRDefault="00E23513" w:rsidP="00E23513">
      <w:pPr>
        <w:pStyle w:val="FootnoteText"/>
        <w:ind w:left="567" w:hanging="567"/>
        <w:rPr>
          <w:color w:val="000000" w:themeColor="text1"/>
          <w:sz w:val="24"/>
          <w:vertAlign w:val="superscript"/>
          <w:lang w:val="es-ES_tradnl"/>
        </w:rPr>
      </w:pPr>
      <w:r w:rsidRPr="00E23513">
        <w:rPr>
          <w:color w:val="000000" w:themeColor="text1"/>
          <w:sz w:val="24"/>
          <w:lang w:val="es-ES_tradnl"/>
        </w:rPr>
        <w:t xml:space="preserve"> </w:t>
      </w:r>
      <w:r w:rsidRPr="00E23513">
        <w:rPr>
          <w:color w:val="000000" w:themeColor="text1"/>
          <w:sz w:val="24"/>
          <w:lang w:val="es-ES_tradnl"/>
        </w:rPr>
        <w:tab/>
      </w:r>
      <w:r w:rsidR="006163AB" w:rsidRPr="00E23513">
        <w:rPr>
          <w:color w:val="000000" w:themeColor="text1"/>
          <w:sz w:val="24"/>
          <w:lang w:val="es-ES_tradnl"/>
        </w:rPr>
        <w:t>–</w:t>
      </w:r>
      <w:r w:rsidR="006163AB" w:rsidRPr="00E23513">
        <w:rPr>
          <w:color w:val="000000" w:themeColor="text1"/>
          <w:sz w:val="24"/>
          <w:lang w:val="es-ES_tradnl"/>
        </w:rPr>
        <w:tab/>
        <w:t xml:space="preserve">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1" w:history="1">
        <w:r w:rsidR="006163AB" w:rsidRPr="00E23513">
          <w:rPr>
            <w:rStyle w:val="Hyperlink"/>
            <w:sz w:val="24"/>
            <w:lang w:val="es-ES_tradnl"/>
          </w:rPr>
          <w:t>http://data.europa.eu/eli/C/2025/1803/oj</w:t>
        </w:r>
      </w:hyperlink>
      <w:r w:rsidR="006163AB" w:rsidRPr="00E23513">
        <w:rPr>
          <w:color w:val="000000" w:themeColor="text1"/>
          <w:sz w:val="24"/>
          <w:lang w:val="es-ES_tradnl"/>
        </w:rPr>
        <w:t>).</w:t>
      </w:r>
    </w:p>
    <w:p w14:paraId="0C55928F" w14:textId="04F5CAE9" w:rsidR="006163AB" w:rsidRPr="00E23513" w:rsidRDefault="00E23513" w:rsidP="00E23513">
      <w:pPr>
        <w:pStyle w:val="FootnoteText"/>
        <w:ind w:left="567" w:hanging="567"/>
        <w:rPr>
          <w:color w:val="000000" w:themeColor="text1"/>
          <w:sz w:val="24"/>
          <w:vertAlign w:val="superscript"/>
          <w:lang w:val="es-ES_tradnl"/>
        </w:rPr>
      </w:pPr>
      <w:r w:rsidRPr="00E23513">
        <w:rPr>
          <w:color w:val="000000" w:themeColor="text1"/>
          <w:sz w:val="24"/>
          <w:lang w:val="es-ES_tradnl"/>
        </w:rPr>
        <w:t xml:space="preserve"> </w:t>
      </w:r>
      <w:r w:rsidRPr="00E23513">
        <w:rPr>
          <w:color w:val="000000" w:themeColor="text1"/>
          <w:sz w:val="24"/>
          <w:lang w:val="es-ES_tradnl"/>
        </w:rPr>
        <w:tab/>
      </w:r>
      <w:r w:rsidR="006163AB" w:rsidRPr="00E23513">
        <w:rPr>
          <w:color w:val="000000" w:themeColor="text1"/>
          <w:sz w:val="24"/>
          <w:lang w:val="es-ES_tradnl"/>
        </w:rPr>
        <w:t>–</w:t>
      </w:r>
      <w:r w:rsidR="006163AB" w:rsidRPr="00E23513">
        <w:rPr>
          <w:color w:val="000000" w:themeColor="text1"/>
          <w:sz w:val="24"/>
          <w:lang w:val="es-ES_tradnl"/>
        </w:rPr>
        <w:tab/>
        <w:t xml:space="preserve">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2" w:history="1">
        <w:r w:rsidR="006163AB" w:rsidRPr="00E23513">
          <w:rPr>
            <w:rStyle w:val="Hyperlink"/>
            <w:sz w:val="24"/>
            <w:lang w:val="es-ES_tradnl"/>
          </w:rPr>
          <w:t>http://data.europa.eu/eli/C/2025/1804/oj</w:t>
        </w:r>
      </w:hyperlink>
      <w:r w:rsidR="006163AB" w:rsidRPr="00E23513">
        <w:rPr>
          <w:color w:val="000000" w:themeColor="text1"/>
          <w:sz w:val="24"/>
          <w:lang w:val="es-ES_tradnl"/>
        </w:rPr>
        <w:t>).</w:t>
      </w:r>
    </w:p>
    <w:p w14:paraId="49E433E4" w14:textId="6475FA59" w:rsidR="006163AB" w:rsidRPr="00E23513" w:rsidRDefault="00E23513" w:rsidP="00E23513">
      <w:pPr>
        <w:pStyle w:val="FootnoteText"/>
        <w:ind w:left="567" w:hanging="567"/>
        <w:rPr>
          <w:sz w:val="24"/>
          <w:vertAlign w:val="superscript"/>
          <w:lang w:val="es-ES_tradnl"/>
        </w:rPr>
      </w:pPr>
      <w:r w:rsidRPr="00E23513">
        <w:rPr>
          <w:color w:val="000000" w:themeColor="text1"/>
          <w:sz w:val="24"/>
          <w:lang w:val="es-ES_tradnl"/>
        </w:rPr>
        <w:t xml:space="preserve"> </w:t>
      </w:r>
      <w:r w:rsidRPr="00E23513">
        <w:rPr>
          <w:color w:val="000000" w:themeColor="text1"/>
          <w:sz w:val="24"/>
          <w:lang w:val="es-ES_tradnl"/>
        </w:rPr>
        <w:tab/>
      </w:r>
      <w:r w:rsidR="006163AB" w:rsidRPr="00E23513">
        <w:rPr>
          <w:color w:val="000000" w:themeColor="text1"/>
          <w:sz w:val="24"/>
          <w:lang w:val="es-ES_tradnl"/>
        </w:rPr>
        <w:t>–</w:t>
      </w:r>
      <w:r w:rsidR="006163AB" w:rsidRPr="00E23513">
        <w:rPr>
          <w:color w:val="000000" w:themeColor="text1"/>
          <w:sz w:val="24"/>
          <w:lang w:val="es-ES_tradnl"/>
        </w:rPr>
        <w:tab/>
      </w:r>
      <w:r w:rsidR="006163AB" w:rsidRPr="00E23513">
        <w:rPr>
          <w:sz w:val="24"/>
          <w:lang w:val="es-ES_tradnl"/>
        </w:rPr>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3" w:tooltip="Da acceso a este documento a través de su URI ELI." w:history="1">
        <w:r w:rsidR="006163AB" w:rsidRPr="00E23513">
          <w:rPr>
            <w:rStyle w:val="Hyperlink"/>
            <w:sz w:val="24"/>
            <w:lang w:val="es-ES_tradnl"/>
          </w:rPr>
          <w:t>http://data.europa.eu/eli/C/2025/2246/oj</w:t>
        </w:r>
      </w:hyperlink>
      <w:r w:rsidR="006163AB" w:rsidRPr="00E23513">
        <w:rPr>
          <w:sz w:val="24"/>
          <w:lang w:val="es-ES_tradnl"/>
        </w:rPr>
        <w:t>).</w:t>
      </w:r>
    </w:p>
    <w:p w14:paraId="52A797A8" w14:textId="1D1220E5" w:rsidR="006163AB" w:rsidRPr="00E23513" w:rsidRDefault="00E23513" w:rsidP="00E23513">
      <w:pPr>
        <w:pStyle w:val="FootnoteText"/>
        <w:ind w:left="567" w:hanging="567"/>
        <w:rPr>
          <w:sz w:val="24"/>
          <w:vertAlign w:val="superscript"/>
          <w:lang w:val="es-ES_tradnl"/>
        </w:rPr>
      </w:pPr>
      <w:r w:rsidRPr="00E23513">
        <w:rPr>
          <w:sz w:val="24"/>
          <w:lang w:val="es-ES_tradnl"/>
        </w:rPr>
        <w:t xml:space="preserve"> </w:t>
      </w:r>
      <w:r w:rsidRPr="00E23513">
        <w:rPr>
          <w:sz w:val="24"/>
          <w:lang w:val="es-ES_tradnl"/>
        </w:rPr>
        <w:tab/>
      </w:r>
      <w:r w:rsidR="006163AB" w:rsidRPr="00E23513">
        <w:rPr>
          <w:sz w:val="24"/>
          <w:lang w:val="es-ES_tradnl"/>
        </w:rPr>
        <w:t>–</w:t>
      </w:r>
      <w:r w:rsidR="006163AB" w:rsidRPr="00E23513">
        <w:rPr>
          <w:sz w:val="24"/>
          <w:lang w:val="es-ES_tradnl"/>
        </w:rPr>
        <w:tab/>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4" w:tooltip="Da acceso a este documento a través de su URI ELI." w:history="1">
        <w:r w:rsidR="006163AB" w:rsidRPr="00E23513">
          <w:rPr>
            <w:rStyle w:val="Hyperlink"/>
            <w:sz w:val="24"/>
            <w:lang w:val="es-ES_tradnl"/>
          </w:rPr>
          <w:t>http://data.europa.eu/eli/C/2025/2247/oj</w:t>
        </w:r>
      </w:hyperlink>
      <w:r w:rsidR="006163AB" w:rsidRPr="00E23513">
        <w:rPr>
          <w:sz w:val="24"/>
          <w:lang w:val="es-ES_tradnl"/>
        </w:rPr>
        <w:t>).</w:t>
      </w:r>
    </w:p>
    <w:p w14:paraId="0271DC1B" w14:textId="5B84AEA2" w:rsidR="006163AB" w:rsidRPr="00E23513" w:rsidRDefault="00E23513" w:rsidP="00E23513">
      <w:pPr>
        <w:pStyle w:val="FootnoteText"/>
        <w:ind w:left="567" w:hanging="567"/>
        <w:rPr>
          <w:sz w:val="24"/>
          <w:lang w:val="es-ES_tradnl"/>
        </w:rPr>
      </w:pPr>
      <w:r w:rsidRPr="00E23513">
        <w:rPr>
          <w:sz w:val="24"/>
          <w:lang w:val="es-ES_tradnl"/>
        </w:rPr>
        <w:t xml:space="preserve"> </w:t>
      </w:r>
      <w:r w:rsidRPr="00E23513">
        <w:rPr>
          <w:sz w:val="24"/>
          <w:lang w:val="es-ES_tradnl"/>
        </w:rPr>
        <w:tab/>
      </w:r>
      <w:r w:rsidR="006163AB" w:rsidRPr="00E23513">
        <w:rPr>
          <w:sz w:val="24"/>
          <w:lang w:val="es-ES_tradnl"/>
        </w:rPr>
        <w:t>–</w:t>
      </w:r>
      <w:r w:rsidR="006163AB" w:rsidRPr="00E23513">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(P10_</w:t>
      </w:r>
      <w:proofErr w:type="gramStart"/>
      <w:r w:rsidR="006163AB" w:rsidRPr="00E23513">
        <w:rPr>
          <w:sz w:val="24"/>
          <w:lang w:val="es-ES_tradnl"/>
        </w:rPr>
        <w:t>TA(</w:t>
      </w:r>
      <w:proofErr w:type="gramEnd"/>
      <w:r w:rsidR="006163AB" w:rsidRPr="00E23513">
        <w:rPr>
          <w:sz w:val="24"/>
          <w:lang w:val="es-ES_tradnl"/>
        </w:rPr>
        <w:t>2025)0106).</w:t>
      </w:r>
    </w:p>
  </w:footnote>
  <w:footnote w:id="6">
    <w:p w14:paraId="6515A3A4" w14:textId="3400B5E9"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r w:rsidRPr="00E23513">
        <w:rPr>
          <w:sz w:val="24"/>
          <w:lang w:val="es-ES_tradnl"/>
        </w:rPr>
        <w:t xml:space="preserve">Reglamento (CE) n.º 1107/2009 del Parlamento Europeo y del Consejo, de 21 de octubre de 2009, relativo a la comercialización de productos fitosanitarios y por el que se derogan las Directivas 79/117/CEE y 91/414/CEE del Consejo (DO L 309 de 24.11.2009, p. 1, ELI: </w:t>
      </w:r>
      <w:hyperlink r:id="rId15" w:tooltip="Da acceso a este documento a través de su URI ELI." w:history="1">
        <w:r w:rsidRPr="00E23513">
          <w:rPr>
            <w:rStyle w:val="Hyperlink"/>
            <w:sz w:val="24"/>
            <w:lang w:val="es-ES_tradnl"/>
          </w:rPr>
          <w:t>http://data.europa.eu/eli/reg/2009/1107/oj</w:t>
        </w:r>
      </w:hyperlink>
      <w:r w:rsidRPr="00E23513">
        <w:rPr>
          <w:sz w:val="24"/>
          <w:lang w:val="es-ES_tradnl"/>
        </w:rPr>
        <w:t>).</w:t>
      </w:r>
    </w:p>
  </w:footnote>
  <w:footnote w:id="7">
    <w:p w14:paraId="0A33AE63" w14:textId="2430E17D"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hyperlink r:id="rId16" w:history="1">
        <w:r w:rsidRPr="00E23513">
          <w:rPr>
            <w:rStyle w:val="Hyperlink"/>
            <w:sz w:val="24"/>
            <w:lang w:val="es-ES_tradnl"/>
          </w:rPr>
          <w:t>https://www.testbiotech.org/wp-content/uploads/2024/12/Testbiotech_comment_‌maize_DP51291.pdf</w:t>
        </w:r>
      </w:hyperlink>
      <w:r w:rsidRPr="00E23513">
        <w:rPr>
          <w:sz w:val="24"/>
          <w:lang w:val="es-ES_tradnl"/>
        </w:rPr>
        <w:t>.</w:t>
      </w:r>
    </w:p>
  </w:footnote>
  <w:footnote w:id="8">
    <w:p w14:paraId="7BB5D458" w14:textId="43FF532F"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r w:rsidRPr="00E23513">
        <w:rPr>
          <w:sz w:val="24"/>
          <w:lang w:val="es-ES_tradnl"/>
        </w:rPr>
        <w:t xml:space="preserve">Reglamento de Ejecución (UE) n.º 503/2013 de la Comisión, de 3 de abril de 2013, relativo a las solicitudes de autorización de alimentos y piensos modificados genéticamente de conformidad con el Reglamento (CE) n.º 1829/2003 del Parlamento Europeo y del Consejo y por el que se modifican el Reglamento (CE) n.º 641/2004 y el Reglamento (CE) n.º 1981/2006 (DO L 157 de 8.6.2013, p. 1, ELI: </w:t>
      </w:r>
      <w:hyperlink r:id="rId17" w:history="1">
        <w:r w:rsidRPr="00E23513">
          <w:rPr>
            <w:rStyle w:val="Hyperlink"/>
            <w:sz w:val="24"/>
            <w:lang w:val="es-ES_tradnl"/>
          </w:rPr>
          <w:t>http://data.europa.eu/eli/reg_impl/2013/503/oj</w:t>
        </w:r>
      </w:hyperlink>
      <w:r w:rsidRPr="00E23513">
        <w:rPr>
          <w:sz w:val="24"/>
          <w:lang w:val="es-ES_tradnl"/>
        </w:rPr>
        <w:t>).</w:t>
      </w:r>
    </w:p>
  </w:footnote>
  <w:footnote w:id="9">
    <w:p w14:paraId="09A01FA5" w14:textId="2D312A1C"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proofErr w:type="spellStart"/>
      <w:r w:rsidRPr="00E23513">
        <w:rPr>
          <w:sz w:val="24"/>
          <w:lang w:val="es-ES_tradnl"/>
        </w:rPr>
        <w:t>Trtikova</w:t>
      </w:r>
      <w:proofErr w:type="spellEnd"/>
      <w:r w:rsidRPr="00E23513">
        <w:rPr>
          <w:sz w:val="24"/>
          <w:lang w:val="es-ES_tradnl"/>
        </w:rPr>
        <w:t xml:space="preserve">, M., </w:t>
      </w:r>
      <w:proofErr w:type="spellStart"/>
      <w:r w:rsidRPr="00E23513">
        <w:rPr>
          <w:sz w:val="24"/>
          <w:lang w:val="es-ES_tradnl"/>
        </w:rPr>
        <w:t>Wikmark</w:t>
      </w:r>
      <w:proofErr w:type="spellEnd"/>
      <w:r w:rsidRPr="00E23513">
        <w:rPr>
          <w:sz w:val="24"/>
          <w:lang w:val="es-ES_tradnl"/>
        </w:rPr>
        <w:t xml:space="preserve"> O. G., </w:t>
      </w:r>
      <w:proofErr w:type="spellStart"/>
      <w:r w:rsidRPr="00E23513">
        <w:rPr>
          <w:sz w:val="24"/>
          <w:lang w:val="es-ES_tradnl"/>
        </w:rPr>
        <w:t>Zemp</w:t>
      </w:r>
      <w:proofErr w:type="spellEnd"/>
      <w:r w:rsidRPr="00E23513">
        <w:rPr>
          <w:sz w:val="24"/>
          <w:lang w:val="es-ES_tradnl"/>
        </w:rPr>
        <w:t xml:space="preserve">, N., Widmer, A., </w:t>
      </w:r>
      <w:proofErr w:type="spellStart"/>
      <w:r w:rsidRPr="00E23513">
        <w:rPr>
          <w:sz w:val="24"/>
          <w:lang w:val="es-ES_tradnl"/>
        </w:rPr>
        <w:t>Hilbeck</w:t>
      </w:r>
      <w:proofErr w:type="spellEnd"/>
      <w:r w:rsidRPr="00E23513">
        <w:rPr>
          <w:sz w:val="24"/>
          <w:lang w:val="es-ES_tradnl"/>
        </w:rPr>
        <w:t>, A. (2015), «</w:t>
      </w:r>
      <w:proofErr w:type="spellStart"/>
      <w:r w:rsidRPr="00E23513">
        <w:rPr>
          <w:sz w:val="24"/>
          <w:lang w:val="es-ES_tradnl"/>
        </w:rPr>
        <w:t>Transgene</w:t>
      </w:r>
      <w:proofErr w:type="spellEnd"/>
      <w:r w:rsidRPr="00E23513">
        <w:rPr>
          <w:sz w:val="24"/>
          <w:lang w:val="es-ES_tradnl"/>
        </w:rPr>
        <w:t xml:space="preserve"> </w:t>
      </w:r>
      <w:proofErr w:type="spellStart"/>
      <w:r w:rsidRPr="00E23513">
        <w:rPr>
          <w:sz w:val="24"/>
          <w:lang w:val="es-ES_tradnl"/>
        </w:rPr>
        <w:t>Expression</w:t>
      </w:r>
      <w:proofErr w:type="spellEnd"/>
      <w:r w:rsidRPr="00E23513">
        <w:rPr>
          <w:sz w:val="24"/>
          <w:lang w:val="es-ES_tradnl"/>
        </w:rPr>
        <w:t xml:space="preserve"> and </w:t>
      </w:r>
      <w:proofErr w:type="spellStart"/>
      <w:r w:rsidRPr="00E23513">
        <w:rPr>
          <w:sz w:val="24"/>
          <w:lang w:val="es-ES_tradnl"/>
        </w:rPr>
        <w:t>Bt</w:t>
      </w:r>
      <w:proofErr w:type="spellEnd"/>
      <w:r w:rsidRPr="00E23513">
        <w:rPr>
          <w:sz w:val="24"/>
          <w:lang w:val="es-ES_tradnl"/>
        </w:rPr>
        <w:t> </w:t>
      </w:r>
      <w:proofErr w:type="spellStart"/>
      <w:r w:rsidRPr="00E23513">
        <w:rPr>
          <w:sz w:val="24"/>
          <w:lang w:val="es-ES_tradnl"/>
        </w:rPr>
        <w:t>Protein</w:t>
      </w:r>
      <w:proofErr w:type="spellEnd"/>
      <w:r w:rsidRPr="00E23513">
        <w:rPr>
          <w:sz w:val="24"/>
          <w:lang w:val="es-ES_tradnl"/>
        </w:rPr>
        <w:t xml:space="preserve"> Content in </w:t>
      </w:r>
      <w:proofErr w:type="spellStart"/>
      <w:r w:rsidRPr="00E23513">
        <w:rPr>
          <w:sz w:val="24"/>
          <w:lang w:val="es-ES_tradnl"/>
        </w:rPr>
        <w:t>Transgenic</w:t>
      </w:r>
      <w:proofErr w:type="spellEnd"/>
      <w:r w:rsidRPr="00E23513">
        <w:rPr>
          <w:sz w:val="24"/>
          <w:lang w:val="es-ES_tradnl"/>
        </w:rPr>
        <w:t xml:space="preserve"> </w:t>
      </w:r>
      <w:proofErr w:type="spellStart"/>
      <w:r w:rsidRPr="00E23513">
        <w:rPr>
          <w:sz w:val="24"/>
          <w:lang w:val="es-ES_tradnl"/>
        </w:rPr>
        <w:t>Bt</w:t>
      </w:r>
      <w:proofErr w:type="spellEnd"/>
      <w:r w:rsidRPr="00E23513">
        <w:rPr>
          <w:sz w:val="24"/>
          <w:lang w:val="es-ES_tradnl"/>
        </w:rPr>
        <w:t> </w:t>
      </w:r>
      <w:proofErr w:type="spellStart"/>
      <w:r w:rsidRPr="00E23513">
        <w:rPr>
          <w:sz w:val="24"/>
          <w:lang w:val="es-ES_tradnl"/>
        </w:rPr>
        <w:t>Maize</w:t>
      </w:r>
      <w:proofErr w:type="spellEnd"/>
      <w:r w:rsidRPr="00E23513">
        <w:rPr>
          <w:sz w:val="24"/>
          <w:lang w:val="es-ES_tradnl"/>
        </w:rPr>
        <w:t xml:space="preserve"> (MON810) </w:t>
      </w:r>
      <w:proofErr w:type="spellStart"/>
      <w:r w:rsidRPr="00E23513">
        <w:rPr>
          <w:sz w:val="24"/>
          <w:lang w:val="es-ES_tradnl"/>
        </w:rPr>
        <w:t>under</w:t>
      </w:r>
      <w:proofErr w:type="spellEnd"/>
      <w:r w:rsidRPr="00E23513">
        <w:rPr>
          <w:sz w:val="24"/>
          <w:lang w:val="es-ES_tradnl"/>
        </w:rPr>
        <w:t xml:space="preserve"> </w:t>
      </w:r>
      <w:proofErr w:type="spellStart"/>
      <w:r w:rsidRPr="00E23513">
        <w:rPr>
          <w:sz w:val="24"/>
          <w:lang w:val="es-ES_tradnl"/>
        </w:rPr>
        <w:t>Optimal</w:t>
      </w:r>
      <w:proofErr w:type="spellEnd"/>
      <w:r w:rsidRPr="00E23513">
        <w:rPr>
          <w:sz w:val="24"/>
          <w:lang w:val="es-ES_tradnl"/>
        </w:rPr>
        <w:t xml:space="preserve"> and </w:t>
      </w:r>
      <w:proofErr w:type="spellStart"/>
      <w:r w:rsidRPr="00E23513">
        <w:rPr>
          <w:sz w:val="24"/>
          <w:lang w:val="es-ES_tradnl"/>
        </w:rPr>
        <w:t>Stressful</w:t>
      </w:r>
      <w:proofErr w:type="spellEnd"/>
      <w:r w:rsidRPr="00E23513">
        <w:rPr>
          <w:sz w:val="24"/>
          <w:lang w:val="es-ES_tradnl"/>
        </w:rPr>
        <w:t xml:space="preserve"> </w:t>
      </w:r>
      <w:proofErr w:type="spellStart"/>
      <w:r w:rsidRPr="00E23513">
        <w:rPr>
          <w:sz w:val="24"/>
          <w:lang w:val="es-ES_tradnl"/>
        </w:rPr>
        <w:t>Environmental</w:t>
      </w:r>
      <w:proofErr w:type="spellEnd"/>
      <w:r w:rsidRPr="00E23513">
        <w:rPr>
          <w:sz w:val="24"/>
          <w:lang w:val="es-ES_tradnl"/>
        </w:rPr>
        <w:t xml:space="preserve"> </w:t>
      </w:r>
      <w:proofErr w:type="spellStart"/>
      <w:r w:rsidRPr="00E23513">
        <w:rPr>
          <w:sz w:val="24"/>
          <w:lang w:val="es-ES_tradnl"/>
        </w:rPr>
        <w:t>Conditions</w:t>
      </w:r>
      <w:proofErr w:type="spellEnd"/>
      <w:r w:rsidRPr="00E23513">
        <w:rPr>
          <w:sz w:val="24"/>
          <w:lang w:val="es-ES_tradnl"/>
        </w:rPr>
        <w:t>» (Expresión transgénica y contenido en proteína </w:t>
      </w:r>
      <w:proofErr w:type="spellStart"/>
      <w:r w:rsidRPr="00E23513">
        <w:rPr>
          <w:sz w:val="24"/>
          <w:lang w:val="es-ES_tradnl"/>
        </w:rPr>
        <w:t>Bt</w:t>
      </w:r>
      <w:proofErr w:type="spellEnd"/>
      <w:r w:rsidRPr="00E23513">
        <w:rPr>
          <w:sz w:val="24"/>
          <w:lang w:val="es-ES_tradnl"/>
        </w:rPr>
        <w:t xml:space="preserve"> en maíz transgénico </w:t>
      </w:r>
      <w:proofErr w:type="spellStart"/>
      <w:r w:rsidRPr="00E23513">
        <w:rPr>
          <w:sz w:val="24"/>
          <w:lang w:val="es-ES_tradnl"/>
        </w:rPr>
        <w:t>Bt</w:t>
      </w:r>
      <w:proofErr w:type="spellEnd"/>
      <w:r w:rsidRPr="00E23513">
        <w:rPr>
          <w:sz w:val="24"/>
          <w:lang w:val="es-ES_tradnl"/>
        </w:rPr>
        <w:t xml:space="preserve"> (MON810) en condiciones ambientales de estrés y óptimas), </w:t>
      </w:r>
      <w:proofErr w:type="spellStart"/>
      <w:r w:rsidRPr="00E23513">
        <w:rPr>
          <w:sz w:val="24"/>
          <w:lang w:val="es-ES_tradnl"/>
        </w:rPr>
        <w:t>PLoS</w:t>
      </w:r>
      <w:proofErr w:type="spellEnd"/>
      <w:r w:rsidRPr="00E23513">
        <w:rPr>
          <w:sz w:val="24"/>
          <w:lang w:val="es-ES_tradnl"/>
        </w:rPr>
        <w:t xml:space="preserve"> ONE, 10(4): e0123011, </w:t>
      </w:r>
      <w:hyperlink r:id="rId18" w:history="1">
        <w:r w:rsidRPr="00E23513">
          <w:rPr>
            <w:rStyle w:val="Hyperlink"/>
            <w:sz w:val="24"/>
            <w:lang w:val="es-ES_tradnl"/>
          </w:rPr>
          <w:t>https://doi.org/10.1371/journal.pone.0123011</w:t>
        </w:r>
      </w:hyperlink>
      <w:r w:rsidRPr="00E23513">
        <w:rPr>
          <w:sz w:val="24"/>
          <w:lang w:val="es-ES_tradnl"/>
        </w:rPr>
        <w:t>.</w:t>
      </w:r>
    </w:p>
  </w:footnote>
  <w:footnote w:id="10">
    <w:p w14:paraId="5EEAB12A" w14:textId="28420C6D"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r w:rsidRPr="00E23513">
        <w:rPr>
          <w:sz w:val="24"/>
          <w:lang w:val="es-ES_tradnl"/>
        </w:rPr>
        <w:t xml:space="preserve">Véanse, por ejemplo: Schulz, R., </w:t>
      </w:r>
      <w:proofErr w:type="spellStart"/>
      <w:r w:rsidRPr="00E23513">
        <w:rPr>
          <w:sz w:val="24"/>
          <w:lang w:val="es-ES_tradnl"/>
        </w:rPr>
        <w:t>Bub</w:t>
      </w:r>
      <w:proofErr w:type="spellEnd"/>
      <w:r w:rsidRPr="00E23513">
        <w:rPr>
          <w:sz w:val="24"/>
          <w:lang w:val="es-ES_tradnl"/>
        </w:rPr>
        <w:t xml:space="preserve">, S., </w:t>
      </w:r>
      <w:proofErr w:type="spellStart"/>
      <w:r w:rsidRPr="00E23513">
        <w:rPr>
          <w:sz w:val="24"/>
          <w:lang w:val="es-ES_tradnl"/>
        </w:rPr>
        <w:t>Petschick</w:t>
      </w:r>
      <w:proofErr w:type="spellEnd"/>
      <w:r w:rsidRPr="00E23513">
        <w:rPr>
          <w:sz w:val="24"/>
          <w:lang w:val="es-ES_tradnl"/>
        </w:rPr>
        <w:t xml:space="preserve">, L. L., </w:t>
      </w:r>
      <w:proofErr w:type="spellStart"/>
      <w:r w:rsidRPr="00E23513">
        <w:rPr>
          <w:sz w:val="24"/>
          <w:lang w:val="es-ES_tradnl"/>
        </w:rPr>
        <w:t>Stehle</w:t>
      </w:r>
      <w:proofErr w:type="spellEnd"/>
      <w:r w:rsidRPr="00E23513">
        <w:rPr>
          <w:sz w:val="24"/>
          <w:lang w:val="es-ES_tradnl"/>
        </w:rPr>
        <w:t xml:space="preserve">, S., y </w:t>
      </w:r>
      <w:proofErr w:type="spellStart"/>
      <w:r w:rsidRPr="00E23513">
        <w:rPr>
          <w:sz w:val="24"/>
          <w:lang w:val="es-ES_tradnl"/>
        </w:rPr>
        <w:t>Wolfram</w:t>
      </w:r>
      <w:proofErr w:type="spellEnd"/>
      <w:r w:rsidRPr="00E23513">
        <w:rPr>
          <w:sz w:val="24"/>
          <w:lang w:val="es-ES_tradnl"/>
        </w:rPr>
        <w:t>, J., «</w:t>
      </w:r>
      <w:proofErr w:type="spellStart"/>
      <w:r w:rsidRPr="00E23513">
        <w:rPr>
          <w:sz w:val="24"/>
          <w:lang w:val="es-ES_tradnl"/>
        </w:rPr>
        <w:t>Applied</w:t>
      </w:r>
      <w:proofErr w:type="spellEnd"/>
      <w:r w:rsidRPr="00E23513">
        <w:rPr>
          <w:sz w:val="24"/>
          <w:lang w:val="es-ES_tradnl"/>
        </w:rPr>
        <w:t xml:space="preserve"> </w:t>
      </w:r>
      <w:proofErr w:type="spellStart"/>
      <w:r w:rsidRPr="00E23513">
        <w:rPr>
          <w:sz w:val="24"/>
          <w:lang w:val="es-ES_tradnl"/>
        </w:rPr>
        <w:t>pesticide</w:t>
      </w:r>
      <w:proofErr w:type="spellEnd"/>
      <w:r w:rsidRPr="00E23513">
        <w:rPr>
          <w:sz w:val="24"/>
          <w:lang w:val="es-ES_tradnl"/>
        </w:rPr>
        <w:t xml:space="preserve"> </w:t>
      </w:r>
      <w:proofErr w:type="spellStart"/>
      <w:r w:rsidRPr="00E23513">
        <w:rPr>
          <w:sz w:val="24"/>
          <w:lang w:val="es-ES_tradnl"/>
        </w:rPr>
        <w:t>toxicity</w:t>
      </w:r>
      <w:proofErr w:type="spellEnd"/>
      <w:r w:rsidRPr="00E23513">
        <w:rPr>
          <w:sz w:val="24"/>
          <w:lang w:val="es-ES_tradnl"/>
        </w:rPr>
        <w:t xml:space="preserve"> </w:t>
      </w:r>
      <w:proofErr w:type="spellStart"/>
      <w:r w:rsidRPr="00E23513">
        <w:rPr>
          <w:sz w:val="24"/>
          <w:lang w:val="es-ES_tradnl"/>
        </w:rPr>
        <w:t>shifts</w:t>
      </w:r>
      <w:proofErr w:type="spellEnd"/>
      <w:r w:rsidRPr="00E23513">
        <w:rPr>
          <w:sz w:val="24"/>
          <w:lang w:val="es-ES_tradnl"/>
        </w:rPr>
        <w:t xml:space="preserve"> </w:t>
      </w:r>
      <w:proofErr w:type="spellStart"/>
      <w:r w:rsidRPr="00E23513">
        <w:rPr>
          <w:sz w:val="24"/>
          <w:lang w:val="es-ES_tradnl"/>
        </w:rPr>
        <w:t>toward</w:t>
      </w:r>
      <w:proofErr w:type="spellEnd"/>
      <w:r w:rsidRPr="00E23513">
        <w:rPr>
          <w:sz w:val="24"/>
          <w:lang w:val="es-ES_tradnl"/>
        </w:rPr>
        <w:t xml:space="preserve"> </w:t>
      </w:r>
      <w:proofErr w:type="spellStart"/>
      <w:r w:rsidRPr="00E23513">
        <w:rPr>
          <w:sz w:val="24"/>
          <w:lang w:val="es-ES_tradnl"/>
        </w:rPr>
        <w:t>plants</w:t>
      </w:r>
      <w:proofErr w:type="spellEnd"/>
      <w:r w:rsidRPr="00E23513">
        <w:rPr>
          <w:sz w:val="24"/>
          <w:lang w:val="es-ES_tradnl"/>
        </w:rPr>
        <w:t xml:space="preserve"> and </w:t>
      </w:r>
      <w:proofErr w:type="spellStart"/>
      <w:r w:rsidRPr="00E23513">
        <w:rPr>
          <w:sz w:val="24"/>
          <w:lang w:val="es-ES_tradnl"/>
        </w:rPr>
        <w:t>invertebrates</w:t>
      </w:r>
      <w:proofErr w:type="spellEnd"/>
      <w:r w:rsidRPr="00E23513">
        <w:rPr>
          <w:sz w:val="24"/>
          <w:lang w:val="es-ES_tradnl"/>
        </w:rPr>
        <w:t xml:space="preserve">, </w:t>
      </w:r>
      <w:proofErr w:type="spellStart"/>
      <w:r w:rsidRPr="00E23513">
        <w:rPr>
          <w:sz w:val="24"/>
          <w:lang w:val="es-ES_tradnl"/>
        </w:rPr>
        <w:t>even</w:t>
      </w:r>
      <w:proofErr w:type="spellEnd"/>
      <w:r w:rsidRPr="00E23513">
        <w:rPr>
          <w:sz w:val="24"/>
          <w:lang w:val="es-ES_tradnl"/>
        </w:rPr>
        <w:t xml:space="preserve"> in GM </w:t>
      </w:r>
      <w:proofErr w:type="spellStart"/>
      <w:r w:rsidRPr="00E23513">
        <w:rPr>
          <w:sz w:val="24"/>
          <w:lang w:val="es-ES_tradnl"/>
        </w:rPr>
        <w:t>crops</w:t>
      </w:r>
      <w:proofErr w:type="spellEnd"/>
      <w:r w:rsidRPr="00E23513">
        <w:rPr>
          <w:sz w:val="24"/>
          <w:lang w:val="es-ES_tradnl"/>
        </w:rPr>
        <w:t xml:space="preserve">» (La toxicidad de los plaguicidas en uso se desplaza hacia las plantas y los invertebrados, incluso en los cultivos modificados genéticamente), </w:t>
      </w:r>
      <w:proofErr w:type="spellStart"/>
      <w:r w:rsidRPr="00E23513">
        <w:rPr>
          <w:sz w:val="24"/>
          <w:lang w:val="es-ES_tradnl"/>
        </w:rPr>
        <w:t>Science</w:t>
      </w:r>
      <w:proofErr w:type="spellEnd"/>
      <w:r w:rsidRPr="00E23513">
        <w:rPr>
          <w:sz w:val="24"/>
          <w:lang w:val="es-ES_tradnl"/>
        </w:rPr>
        <w:t xml:space="preserve">, 2021, 372(6537), pp. 81-84, </w:t>
      </w:r>
      <w:hyperlink r:id="rId19" w:history="1">
        <w:r w:rsidRPr="00E23513">
          <w:rPr>
            <w:rStyle w:val="Hyperlink"/>
            <w:sz w:val="24"/>
            <w:lang w:val="es-ES_tradnl"/>
          </w:rPr>
          <w:t>https://doi.org/10.1126/science.abe1148</w:t>
        </w:r>
      </w:hyperlink>
      <w:r w:rsidRPr="00E23513">
        <w:rPr>
          <w:sz w:val="24"/>
          <w:lang w:val="es-ES_tradnl"/>
        </w:rPr>
        <w:t xml:space="preserve">; </w:t>
      </w:r>
      <w:proofErr w:type="spellStart"/>
      <w:r w:rsidRPr="00E23513">
        <w:rPr>
          <w:sz w:val="24"/>
          <w:lang w:val="es-ES_tradnl"/>
        </w:rPr>
        <w:t>Bonny</w:t>
      </w:r>
      <w:proofErr w:type="spellEnd"/>
      <w:r w:rsidRPr="00E23513">
        <w:rPr>
          <w:sz w:val="24"/>
          <w:lang w:val="es-ES_tradnl"/>
        </w:rPr>
        <w:t>, S., «</w:t>
      </w:r>
      <w:proofErr w:type="spellStart"/>
      <w:r w:rsidRPr="00E23513">
        <w:rPr>
          <w:sz w:val="24"/>
          <w:lang w:val="es-ES_tradnl"/>
        </w:rPr>
        <w:t>Genetically</w:t>
      </w:r>
      <w:proofErr w:type="spellEnd"/>
      <w:r w:rsidRPr="00E23513">
        <w:rPr>
          <w:sz w:val="24"/>
          <w:lang w:val="es-ES_tradnl"/>
        </w:rPr>
        <w:t xml:space="preserve"> </w:t>
      </w:r>
      <w:proofErr w:type="spellStart"/>
      <w:r w:rsidRPr="00E23513">
        <w:rPr>
          <w:sz w:val="24"/>
          <w:lang w:val="es-ES_tradnl"/>
        </w:rPr>
        <w:t>Modified</w:t>
      </w:r>
      <w:proofErr w:type="spellEnd"/>
      <w:r w:rsidRPr="00E23513">
        <w:rPr>
          <w:sz w:val="24"/>
          <w:lang w:val="es-ES_tradnl"/>
        </w:rPr>
        <w:t xml:space="preserve"> </w:t>
      </w:r>
      <w:proofErr w:type="spellStart"/>
      <w:r w:rsidRPr="00E23513">
        <w:rPr>
          <w:sz w:val="24"/>
          <w:lang w:val="es-ES_tradnl"/>
        </w:rPr>
        <w:t>Herbicide-Tolerant</w:t>
      </w:r>
      <w:proofErr w:type="spellEnd"/>
      <w:r w:rsidRPr="00E23513">
        <w:rPr>
          <w:sz w:val="24"/>
          <w:lang w:val="es-ES_tradnl"/>
        </w:rPr>
        <w:t xml:space="preserve"> </w:t>
      </w:r>
      <w:proofErr w:type="spellStart"/>
      <w:r w:rsidRPr="00E23513">
        <w:rPr>
          <w:sz w:val="24"/>
          <w:lang w:val="es-ES_tradnl"/>
        </w:rPr>
        <w:t>Crops</w:t>
      </w:r>
      <w:proofErr w:type="spellEnd"/>
      <w:r w:rsidRPr="00E23513">
        <w:rPr>
          <w:sz w:val="24"/>
          <w:lang w:val="es-ES_tradnl"/>
        </w:rPr>
        <w:t xml:space="preserve">, </w:t>
      </w:r>
      <w:proofErr w:type="spellStart"/>
      <w:r w:rsidRPr="00E23513">
        <w:rPr>
          <w:sz w:val="24"/>
          <w:lang w:val="es-ES_tradnl"/>
        </w:rPr>
        <w:t>Weeds</w:t>
      </w:r>
      <w:proofErr w:type="spellEnd"/>
      <w:r w:rsidRPr="00E23513">
        <w:rPr>
          <w:sz w:val="24"/>
          <w:lang w:val="es-ES_tradnl"/>
        </w:rPr>
        <w:t xml:space="preserve">, and </w:t>
      </w:r>
      <w:proofErr w:type="spellStart"/>
      <w:r w:rsidRPr="00E23513">
        <w:rPr>
          <w:sz w:val="24"/>
          <w:lang w:val="es-ES_tradnl"/>
        </w:rPr>
        <w:t>Herbicides</w:t>
      </w:r>
      <w:proofErr w:type="spellEnd"/>
      <w:r w:rsidRPr="00E23513">
        <w:rPr>
          <w:sz w:val="24"/>
          <w:lang w:val="es-ES_tradnl"/>
        </w:rPr>
        <w:t xml:space="preserve">: </w:t>
      </w:r>
      <w:proofErr w:type="spellStart"/>
      <w:r w:rsidRPr="00E23513">
        <w:rPr>
          <w:sz w:val="24"/>
          <w:lang w:val="es-ES_tradnl"/>
        </w:rPr>
        <w:t>Overview</w:t>
      </w:r>
      <w:proofErr w:type="spellEnd"/>
      <w:r w:rsidRPr="00E23513">
        <w:rPr>
          <w:sz w:val="24"/>
          <w:lang w:val="es-ES_tradnl"/>
        </w:rPr>
        <w:t xml:space="preserve"> and </w:t>
      </w:r>
      <w:proofErr w:type="spellStart"/>
      <w:r w:rsidRPr="00E23513">
        <w:rPr>
          <w:sz w:val="24"/>
          <w:lang w:val="es-ES_tradnl"/>
        </w:rPr>
        <w:t>Impact</w:t>
      </w:r>
      <w:proofErr w:type="spellEnd"/>
      <w:r w:rsidRPr="00E23513">
        <w:rPr>
          <w:sz w:val="24"/>
          <w:lang w:val="es-ES_tradnl"/>
        </w:rPr>
        <w:t xml:space="preserve">» (Cultivos modificados genéticamente tolerantes a los herbicidas, malas hierbas y herbicidas: visión general e impacto), </w:t>
      </w:r>
      <w:proofErr w:type="spellStart"/>
      <w:r w:rsidRPr="00E23513">
        <w:rPr>
          <w:sz w:val="24"/>
          <w:lang w:val="es-ES_tradnl"/>
        </w:rPr>
        <w:t>Environmental</w:t>
      </w:r>
      <w:proofErr w:type="spellEnd"/>
      <w:r w:rsidRPr="00E23513">
        <w:rPr>
          <w:sz w:val="24"/>
          <w:lang w:val="es-ES_tradnl"/>
        </w:rPr>
        <w:t xml:space="preserve"> Management, enero de 2016; 57(1), pp. 31-48, </w:t>
      </w:r>
      <w:hyperlink r:id="rId20" w:history="1">
        <w:r w:rsidRPr="00E23513">
          <w:rPr>
            <w:rStyle w:val="Hyperlink"/>
            <w:sz w:val="24"/>
            <w:lang w:val="es-ES_tradnl"/>
          </w:rPr>
          <w:t>https://www.ncbi.nlm.nih.gov/pubmed/26296738</w:t>
        </w:r>
      </w:hyperlink>
      <w:r w:rsidRPr="00E23513">
        <w:rPr>
          <w:sz w:val="24"/>
          <w:lang w:val="es-ES_tradnl"/>
        </w:rPr>
        <w:t xml:space="preserve">; </w:t>
      </w:r>
      <w:proofErr w:type="spellStart"/>
      <w:r w:rsidRPr="00E23513">
        <w:rPr>
          <w:sz w:val="24"/>
          <w:lang w:val="es-ES_tradnl"/>
        </w:rPr>
        <w:t>Benbrook</w:t>
      </w:r>
      <w:proofErr w:type="spellEnd"/>
      <w:r w:rsidRPr="00E23513">
        <w:rPr>
          <w:sz w:val="24"/>
          <w:lang w:val="es-ES_tradnl"/>
        </w:rPr>
        <w:t>, C. M., «</w:t>
      </w:r>
      <w:proofErr w:type="spellStart"/>
      <w:r w:rsidRPr="00E23513">
        <w:rPr>
          <w:sz w:val="24"/>
          <w:lang w:val="es-ES_tradnl"/>
        </w:rPr>
        <w:t>Impacts</w:t>
      </w:r>
      <w:proofErr w:type="spellEnd"/>
      <w:r w:rsidRPr="00E23513">
        <w:rPr>
          <w:sz w:val="24"/>
          <w:lang w:val="es-ES_tradnl"/>
        </w:rPr>
        <w:t xml:space="preserve"> </w:t>
      </w:r>
      <w:proofErr w:type="spellStart"/>
      <w:r w:rsidRPr="00E23513">
        <w:rPr>
          <w:sz w:val="24"/>
          <w:lang w:val="es-ES_tradnl"/>
        </w:rPr>
        <w:t>of</w:t>
      </w:r>
      <w:proofErr w:type="spellEnd"/>
      <w:r w:rsidRPr="00E23513">
        <w:rPr>
          <w:sz w:val="24"/>
          <w:lang w:val="es-ES_tradnl"/>
        </w:rPr>
        <w:t xml:space="preserve"> </w:t>
      </w:r>
      <w:proofErr w:type="spellStart"/>
      <w:r w:rsidRPr="00E23513">
        <w:rPr>
          <w:sz w:val="24"/>
          <w:lang w:val="es-ES_tradnl"/>
        </w:rPr>
        <w:t>genetically</w:t>
      </w:r>
      <w:proofErr w:type="spellEnd"/>
      <w:r w:rsidRPr="00E23513">
        <w:rPr>
          <w:sz w:val="24"/>
          <w:lang w:val="es-ES_tradnl"/>
        </w:rPr>
        <w:t xml:space="preserve"> </w:t>
      </w:r>
      <w:proofErr w:type="spellStart"/>
      <w:r w:rsidRPr="00E23513">
        <w:rPr>
          <w:sz w:val="24"/>
          <w:lang w:val="es-ES_tradnl"/>
        </w:rPr>
        <w:t>engineered</w:t>
      </w:r>
      <w:proofErr w:type="spellEnd"/>
      <w:r w:rsidRPr="00E23513">
        <w:rPr>
          <w:sz w:val="24"/>
          <w:lang w:val="es-ES_tradnl"/>
        </w:rPr>
        <w:t xml:space="preserve"> </w:t>
      </w:r>
      <w:proofErr w:type="spellStart"/>
      <w:r w:rsidRPr="00E23513">
        <w:rPr>
          <w:sz w:val="24"/>
          <w:lang w:val="es-ES_tradnl"/>
        </w:rPr>
        <w:t>crops</w:t>
      </w:r>
      <w:proofErr w:type="spellEnd"/>
      <w:r w:rsidRPr="00E23513">
        <w:rPr>
          <w:sz w:val="24"/>
          <w:lang w:val="es-ES_tradnl"/>
        </w:rPr>
        <w:t xml:space="preserve"> </w:t>
      </w:r>
      <w:proofErr w:type="spellStart"/>
      <w:r w:rsidRPr="00E23513">
        <w:rPr>
          <w:sz w:val="24"/>
          <w:lang w:val="es-ES_tradnl"/>
        </w:rPr>
        <w:t>on</w:t>
      </w:r>
      <w:proofErr w:type="spellEnd"/>
      <w:r w:rsidRPr="00E23513">
        <w:rPr>
          <w:sz w:val="24"/>
          <w:lang w:val="es-ES_tradnl"/>
        </w:rPr>
        <w:t xml:space="preserve"> </w:t>
      </w:r>
      <w:proofErr w:type="spellStart"/>
      <w:r w:rsidRPr="00E23513">
        <w:rPr>
          <w:sz w:val="24"/>
          <w:lang w:val="es-ES_tradnl"/>
        </w:rPr>
        <w:t>pesticide</w:t>
      </w:r>
      <w:proofErr w:type="spellEnd"/>
      <w:r w:rsidRPr="00E23513">
        <w:rPr>
          <w:sz w:val="24"/>
          <w:lang w:val="es-ES_tradnl"/>
        </w:rPr>
        <w:t xml:space="preserve"> use in </w:t>
      </w:r>
      <w:proofErr w:type="spellStart"/>
      <w:r w:rsidRPr="00E23513">
        <w:rPr>
          <w:sz w:val="24"/>
          <w:lang w:val="es-ES_tradnl"/>
        </w:rPr>
        <w:t>the</w:t>
      </w:r>
      <w:proofErr w:type="spellEnd"/>
      <w:r w:rsidRPr="00E23513">
        <w:rPr>
          <w:sz w:val="24"/>
          <w:lang w:val="es-ES_tradnl"/>
        </w:rPr>
        <w:t xml:space="preserve"> U.S. – </w:t>
      </w:r>
      <w:proofErr w:type="spellStart"/>
      <w:r w:rsidRPr="00E23513">
        <w:rPr>
          <w:sz w:val="24"/>
          <w:lang w:val="es-ES_tradnl"/>
        </w:rPr>
        <w:t>the</w:t>
      </w:r>
      <w:proofErr w:type="spellEnd"/>
      <w:r w:rsidRPr="00E23513">
        <w:rPr>
          <w:sz w:val="24"/>
          <w:lang w:val="es-ES_tradnl"/>
        </w:rPr>
        <w:t xml:space="preserve"> </w:t>
      </w:r>
      <w:proofErr w:type="spellStart"/>
      <w:r w:rsidRPr="00E23513">
        <w:rPr>
          <w:sz w:val="24"/>
          <w:lang w:val="es-ES_tradnl"/>
        </w:rPr>
        <w:t>first</w:t>
      </w:r>
      <w:proofErr w:type="spellEnd"/>
      <w:r w:rsidRPr="00E23513">
        <w:rPr>
          <w:sz w:val="24"/>
          <w:lang w:val="es-ES_tradnl"/>
        </w:rPr>
        <w:t xml:space="preserve"> </w:t>
      </w:r>
      <w:proofErr w:type="spellStart"/>
      <w:r w:rsidRPr="00E23513">
        <w:rPr>
          <w:sz w:val="24"/>
          <w:lang w:val="es-ES_tradnl"/>
        </w:rPr>
        <w:t>sixteen</w:t>
      </w:r>
      <w:proofErr w:type="spellEnd"/>
      <w:r w:rsidRPr="00E23513">
        <w:rPr>
          <w:sz w:val="24"/>
          <w:lang w:val="es-ES_tradnl"/>
        </w:rPr>
        <w:t xml:space="preserve"> </w:t>
      </w:r>
      <w:proofErr w:type="spellStart"/>
      <w:r w:rsidRPr="00E23513">
        <w:rPr>
          <w:sz w:val="24"/>
          <w:lang w:val="es-ES_tradnl"/>
        </w:rPr>
        <w:t>years</w:t>
      </w:r>
      <w:proofErr w:type="spellEnd"/>
      <w:r w:rsidRPr="00E23513">
        <w:rPr>
          <w:sz w:val="24"/>
          <w:lang w:val="es-ES_tradnl"/>
        </w:rPr>
        <w:t xml:space="preserve">» (Impacto de los cultivos modificados genéticamente en el uso de plaguicidas en los EE. UU.: los dieciséis primeros años), </w:t>
      </w:r>
      <w:proofErr w:type="spellStart"/>
      <w:r w:rsidRPr="00E23513">
        <w:rPr>
          <w:sz w:val="24"/>
          <w:lang w:val="es-ES_tradnl"/>
        </w:rPr>
        <w:t>Environmental</w:t>
      </w:r>
      <w:proofErr w:type="spellEnd"/>
      <w:r w:rsidRPr="00E23513">
        <w:rPr>
          <w:sz w:val="24"/>
          <w:lang w:val="es-ES_tradnl"/>
        </w:rPr>
        <w:t xml:space="preserve"> </w:t>
      </w:r>
      <w:proofErr w:type="spellStart"/>
      <w:r w:rsidRPr="00E23513">
        <w:rPr>
          <w:sz w:val="24"/>
          <w:lang w:val="es-ES_tradnl"/>
        </w:rPr>
        <w:t>Sciences</w:t>
      </w:r>
      <w:proofErr w:type="spellEnd"/>
      <w:r w:rsidRPr="00E23513">
        <w:rPr>
          <w:sz w:val="24"/>
          <w:lang w:val="es-ES_tradnl"/>
        </w:rPr>
        <w:t xml:space="preserve"> </w:t>
      </w:r>
      <w:proofErr w:type="spellStart"/>
      <w:r w:rsidRPr="00E23513">
        <w:rPr>
          <w:sz w:val="24"/>
          <w:lang w:val="es-ES_tradnl"/>
        </w:rPr>
        <w:t>Europe</w:t>
      </w:r>
      <w:proofErr w:type="spellEnd"/>
      <w:r w:rsidRPr="00E23513">
        <w:rPr>
          <w:sz w:val="24"/>
          <w:lang w:val="es-ES_tradnl"/>
        </w:rPr>
        <w:t xml:space="preserve">, 28 de septiembre de 2012, volumen 24(24), </w:t>
      </w:r>
      <w:hyperlink r:id="rId21" w:history="1">
        <w:r w:rsidRPr="00E23513">
          <w:rPr>
            <w:rStyle w:val="Hyperlink"/>
            <w:sz w:val="24"/>
            <w:lang w:val="es-ES_tradnl"/>
          </w:rPr>
          <w:t>https://doi.org/10.1186/2190-4715-24-24</w:t>
        </w:r>
      </w:hyperlink>
      <w:r w:rsidRPr="00E23513">
        <w:rPr>
          <w:sz w:val="24"/>
          <w:lang w:val="es-ES_tradnl"/>
        </w:rPr>
        <w:t>.</w:t>
      </w:r>
    </w:p>
  </w:footnote>
  <w:footnote w:id="11">
    <w:p w14:paraId="6C9B893F" w14:textId="22D653C7"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r w:rsidRPr="00E23513">
        <w:rPr>
          <w:sz w:val="24"/>
          <w:lang w:val="es-ES_tradnl"/>
        </w:rPr>
        <w:t>Para más información, véase Rubio-Infante, N., y Moreno-Fierros, L., «</w:t>
      </w:r>
      <w:proofErr w:type="spellStart"/>
      <w:r w:rsidRPr="00E23513">
        <w:rPr>
          <w:sz w:val="24"/>
          <w:lang w:val="es-ES_tradnl"/>
        </w:rPr>
        <w:t>An</w:t>
      </w:r>
      <w:proofErr w:type="spellEnd"/>
      <w:r w:rsidRPr="00E23513">
        <w:rPr>
          <w:sz w:val="24"/>
          <w:lang w:val="es-ES_tradnl"/>
        </w:rPr>
        <w:t xml:space="preserve"> </w:t>
      </w:r>
      <w:proofErr w:type="spellStart"/>
      <w:r w:rsidRPr="00E23513">
        <w:rPr>
          <w:sz w:val="24"/>
          <w:lang w:val="es-ES_tradnl"/>
        </w:rPr>
        <w:t>overview</w:t>
      </w:r>
      <w:proofErr w:type="spellEnd"/>
      <w:r w:rsidRPr="00E23513">
        <w:rPr>
          <w:sz w:val="24"/>
          <w:lang w:val="es-ES_tradnl"/>
        </w:rPr>
        <w:t xml:space="preserve"> </w:t>
      </w:r>
      <w:proofErr w:type="spellStart"/>
      <w:r w:rsidRPr="00E23513">
        <w:rPr>
          <w:sz w:val="24"/>
          <w:lang w:val="es-ES_tradnl"/>
        </w:rPr>
        <w:t>of</w:t>
      </w:r>
      <w:proofErr w:type="spellEnd"/>
      <w:r w:rsidRPr="00E23513">
        <w:rPr>
          <w:sz w:val="24"/>
          <w:lang w:val="es-ES_tradnl"/>
        </w:rPr>
        <w:t xml:space="preserve"> </w:t>
      </w:r>
      <w:proofErr w:type="spellStart"/>
      <w:r w:rsidRPr="00E23513">
        <w:rPr>
          <w:sz w:val="24"/>
          <w:lang w:val="es-ES_tradnl"/>
        </w:rPr>
        <w:t>the</w:t>
      </w:r>
      <w:proofErr w:type="spellEnd"/>
      <w:r w:rsidRPr="00E23513">
        <w:rPr>
          <w:sz w:val="24"/>
          <w:lang w:val="es-ES_tradnl"/>
        </w:rPr>
        <w:t xml:space="preserve"> safety and </w:t>
      </w:r>
      <w:proofErr w:type="spellStart"/>
      <w:r w:rsidRPr="00E23513">
        <w:rPr>
          <w:sz w:val="24"/>
          <w:lang w:val="es-ES_tradnl"/>
        </w:rPr>
        <w:t>biological</w:t>
      </w:r>
      <w:proofErr w:type="spellEnd"/>
      <w:r w:rsidRPr="00E23513">
        <w:rPr>
          <w:sz w:val="24"/>
          <w:lang w:val="es-ES_tradnl"/>
        </w:rPr>
        <w:t xml:space="preserve"> </w:t>
      </w:r>
      <w:proofErr w:type="spellStart"/>
      <w:r w:rsidRPr="00E23513">
        <w:rPr>
          <w:sz w:val="24"/>
          <w:lang w:val="es-ES_tradnl"/>
        </w:rPr>
        <w:t>effects</w:t>
      </w:r>
      <w:proofErr w:type="spellEnd"/>
      <w:r w:rsidRPr="00E23513">
        <w:rPr>
          <w:sz w:val="24"/>
          <w:lang w:val="es-ES_tradnl"/>
        </w:rPr>
        <w:t xml:space="preserve"> </w:t>
      </w:r>
      <w:proofErr w:type="spellStart"/>
      <w:r w:rsidRPr="00E23513">
        <w:rPr>
          <w:sz w:val="24"/>
          <w:lang w:val="es-ES_tradnl"/>
        </w:rPr>
        <w:t>of</w:t>
      </w:r>
      <w:proofErr w:type="spellEnd"/>
      <w:r w:rsidRPr="00E23513">
        <w:rPr>
          <w:sz w:val="24"/>
          <w:lang w:val="es-ES_tradnl"/>
        </w:rPr>
        <w:t xml:space="preserve"> </w:t>
      </w:r>
      <w:proofErr w:type="spellStart"/>
      <w:r w:rsidRPr="00E23513">
        <w:rPr>
          <w:i/>
          <w:sz w:val="24"/>
          <w:lang w:val="es-ES_tradnl"/>
        </w:rPr>
        <w:t>Bacillus</w:t>
      </w:r>
      <w:proofErr w:type="spellEnd"/>
      <w:r w:rsidRPr="00E23513">
        <w:rPr>
          <w:i/>
          <w:sz w:val="24"/>
          <w:lang w:val="es-ES_tradnl"/>
        </w:rPr>
        <w:t xml:space="preserve"> </w:t>
      </w:r>
      <w:proofErr w:type="spellStart"/>
      <w:r w:rsidRPr="00E23513">
        <w:rPr>
          <w:i/>
          <w:sz w:val="24"/>
          <w:lang w:val="es-ES_tradnl"/>
        </w:rPr>
        <w:t>thuringiensis</w:t>
      </w:r>
      <w:proofErr w:type="spellEnd"/>
      <w:r w:rsidRPr="00E23513">
        <w:rPr>
          <w:sz w:val="24"/>
          <w:lang w:val="es-ES_tradnl"/>
        </w:rPr>
        <w:t xml:space="preserve"> </w:t>
      </w:r>
      <w:proofErr w:type="spellStart"/>
      <w:r w:rsidRPr="00E23513">
        <w:rPr>
          <w:sz w:val="24"/>
          <w:lang w:val="es-ES_tradnl"/>
        </w:rPr>
        <w:t>Cry</w:t>
      </w:r>
      <w:proofErr w:type="spellEnd"/>
      <w:r w:rsidRPr="00E23513">
        <w:rPr>
          <w:sz w:val="24"/>
          <w:lang w:val="es-ES_tradnl"/>
        </w:rPr>
        <w:t> </w:t>
      </w:r>
      <w:proofErr w:type="spellStart"/>
      <w:r w:rsidRPr="00E23513">
        <w:rPr>
          <w:sz w:val="24"/>
          <w:lang w:val="es-ES_tradnl"/>
        </w:rPr>
        <w:t>toxins</w:t>
      </w:r>
      <w:proofErr w:type="spellEnd"/>
      <w:r w:rsidRPr="00E23513">
        <w:rPr>
          <w:sz w:val="24"/>
          <w:lang w:val="es-ES_tradnl"/>
        </w:rPr>
        <w:t xml:space="preserve"> in </w:t>
      </w:r>
      <w:proofErr w:type="spellStart"/>
      <w:r w:rsidRPr="00E23513">
        <w:rPr>
          <w:sz w:val="24"/>
          <w:lang w:val="es-ES_tradnl"/>
        </w:rPr>
        <w:t>mammals</w:t>
      </w:r>
      <w:proofErr w:type="spellEnd"/>
      <w:r w:rsidRPr="00E23513">
        <w:rPr>
          <w:sz w:val="24"/>
          <w:lang w:val="es-ES_tradnl"/>
        </w:rPr>
        <w:t>» (Una visión general de la seguridad y los efectos biológicos de las toxinas </w:t>
      </w:r>
      <w:proofErr w:type="spellStart"/>
      <w:r w:rsidRPr="00E23513">
        <w:rPr>
          <w:sz w:val="24"/>
          <w:lang w:val="es-ES_tradnl"/>
        </w:rPr>
        <w:t>Cry</w:t>
      </w:r>
      <w:proofErr w:type="spellEnd"/>
      <w:r w:rsidRPr="00E23513">
        <w:rPr>
          <w:sz w:val="24"/>
          <w:lang w:val="es-ES_tradnl"/>
        </w:rPr>
        <w:t xml:space="preserve"> de la </w:t>
      </w:r>
      <w:proofErr w:type="spellStart"/>
      <w:r w:rsidRPr="00E23513">
        <w:rPr>
          <w:i/>
          <w:sz w:val="24"/>
          <w:lang w:val="es-ES_tradnl"/>
        </w:rPr>
        <w:t>Bacillus</w:t>
      </w:r>
      <w:proofErr w:type="spellEnd"/>
      <w:r w:rsidRPr="00E23513">
        <w:rPr>
          <w:i/>
          <w:sz w:val="24"/>
          <w:lang w:val="es-ES_tradnl"/>
        </w:rPr>
        <w:t xml:space="preserve"> </w:t>
      </w:r>
      <w:proofErr w:type="spellStart"/>
      <w:r w:rsidRPr="00E23513">
        <w:rPr>
          <w:i/>
          <w:sz w:val="24"/>
          <w:lang w:val="es-ES_tradnl"/>
        </w:rPr>
        <w:t>thuringiensis</w:t>
      </w:r>
      <w:proofErr w:type="spellEnd"/>
      <w:r w:rsidRPr="00E23513">
        <w:rPr>
          <w:sz w:val="24"/>
          <w:lang w:val="es-ES_tradnl"/>
        </w:rPr>
        <w:t xml:space="preserve"> en los mamíferos), </w:t>
      </w:r>
      <w:proofErr w:type="spellStart"/>
      <w:r w:rsidRPr="00E23513">
        <w:rPr>
          <w:sz w:val="24"/>
          <w:lang w:val="es-ES_tradnl"/>
        </w:rPr>
        <w:t>Journal</w:t>
      </w:r>
      <w:proofErr w:type="spellEnd"/>
      <w:r w:rsidRPr="00E23513">
        <w:rPr>
          <w:sz w:val="24"/>
          <w:lang w:val="es-ES_tradnl"/>
        </w:rPr>
        <w:t xml:space="preserve"> </w:t>
      </w:r>
      <w:proofErr w:type="spellStart"/>
      <w:r w:rsidRPr="00E23513">
        <w:rPr>
          <w:sz w:val="24"/>
          <w:lang w:val="es-ES_tradnl"/>
        </w:rPr>
        <w:t>of</w:t>
      </w:r>
      <w:proofErr w:type="spellEnd"/>
      <w:r w:rsidRPr="00E23513">
        <w:rPr>
          <w:sz w:val="24"/>
          <w:lang w:val="es-ES_tradnl"/>
        </w:rPr>
        <w:t xml:space="preserve"> </w:t>
      </w:r>
      <w:proofErr w:type="spellStart"/>
      <w:r w:rsidRPr="00E23513">
        <w:rPr>
          <w:sz w:val="24"/>
          <w:lang w:val="es-ES_tradnl"/>
        </w:rPr>
        <w:t>Applied</w:t>
      </w:r>
      <w:proofErr w:type="spellEnd"/>
      <w:r w:rsidRPr="00E23513">
        <w:rPr>
          <w:sz w:val="24"/>
          <w:lang w:val="es-ES_tradnl"/>
        </w:rPr>
        <w:t xml:space="preserve"> </w:t>
      </w:r>
      <w:proofErr w:type="spellStart"/>
      <w:r w:rsidRPr="00E23513">
        <w:rPr>
          <w:sz w:val="24"/>
          <w:lang w:val="es-ES_tradnl"/>
        </w:rPr>
        <w:t>Toxicology</w:t>
      </w:r>
      <w:proofErr w:type="spellEnd"/>
      <w:r w:rsidRPr="00E23513">
        <w:rPr>
          <w:sz w:val="24"/>
          <w:lang w:val="es-ES_tradnl"/>
        </w:rPr>
        <w:t xml:space="preserve">, mayo de 2016, 36(5), pp. 630-648, </w:t>
      </w:r>
      <w:hyperlink r:id="rId22" w:history="1">
        <w:r w:rsidRPr="00E23513">
          <w:rPr>
            <w:rStyle w:val="Hyperlink"/>
            <w:sz w:val="24"/>
            <w:lang w:val="es-ES_tradnl"/>
          </w:rPr>
          <w:t>https://onlinelibrary.wiley.com/doi/full/10.1002/jat.3252</w:t>
        </w:r>
      </w:hyperlink>
      <w:r w:rsidRPr="00E23513">
        <w:rPr>
          <w:sz w:val="24"/>
          <w:lang w:val="es-ES_tradnl"/>
        </w:rPr>
        <w:t>.</w:t>
      </w:r>
    </w:p>
  </w:footnote>
  <w:footnote w:id="12">
    <w:p w14:paraId="25ED32CB" w14:textId="1E38235B"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proofErr w:type="spellStart"/>
      <w:r w:rsidRPr="00E23513">
        <w:rPr>
          <w:sz w:val="24"/>
          <w:lang w:val="es-ES_tradnl"/>
        </w:rPr>
        <w:t>Bøhn</w:t>
      </w:r>
      <w:proofErr w:type="spellEnd"/>
      <w:r w:rsidRPr="00E23513">
        <w:rPr>
          <w:sz w:val="24"/>
          <w:lang w:val="es-ES_tradnl"/>
        </w:rPr>
        <w:t xml:space="preserve">, T., </w:t>
      </w:r>
      <w:proofErr w:type="spellStart"/>
      <w:r w:rsidRPr="00E23513">
        <w:rPr>
          <w:sz w:val="24"/>
          <w:lang w:val="es-ES_tradnl"/>
        </w:rPr>
        <w:t>Macagnan</w:t>
      </w:r>
      <w:proofErr w:type="spellEnd"/>
      <w:r w:rsidRPr="00E23513">
        <w:rPr>
          <w:sz w:val="24"/>
          <w:lang w:val="es-ES_tradnl"/>
        </w:rPr>
        <w:t xml:space="preserve"> Rover, C., </w:t>
      </w:r>
      <w:proofErr w:type="spellStart"/>
      <w:r w:rsidRPr="00E23513">
        <w:rPr>
          <w:sz w:val="24"/>
          <w:lang w:val="es-ES_tradnl"/>
        </w:rPr>
        <w:t>Semenchuk</w:t>
      </w:r>
      <w:proofErr w:type="spellEnd"/>
      <w:r w:rsidRPr="00E23513">
        <w:rPr>
          <w:sz w:val="24"/>
          <w:lang w:val="es-ES_tradnl"/>
        </w:rPr>
        <w:t>, P. R., «</w:t>
      </w:r>
      <w:proofErr w:type="spellStart"/>
      <w:r w:rsidRPr="00E23513">
        <w:rPr>
          <w:i/>
          <w:sz w:val="24"/>
          <w:lang w:val="es-ES_tradnl"/>
        </w:rPr>
        <w:t>Daphnia</w:t>
      </w:r>
      <w:proofErr w:type="spellEnd"/>
      <w:r w:rsidRPr="00E23513">
        <w:rPr>
          <w:i/>
          <w:sz w:val="24"/>
          <w:lang w:val="es-ES_tradnl"/>
        </w:rPr>
        <w:t xml:space="preserve"> magna</w:t>
      </w:r>
      <w:r w:rsidRPr="00E23513">
        <w:rPr>
          <w:sz w:val="24"/>
          <w:lang w:val="es-ES_tradnl"/>
        </w:rPr>
        <w:t xml:space="preserve"> </w:t>
      </w:r>
      <w:proofErr w:type="spellStart"/>
      <w:r w:rsidRPr="00E23513">
        <w:rPr>
          <w:sz w:val="24"/>
          <w:lang w:val="es-ES_tradnl"/>
        </w:rPr>
        <w:t>negatively</w:t>
      </w:r>
      <w:proofErr w:type="spellEnd"/>
      <w:r w:rsidRPr="00E23513">
        <w:rPr>
          <w:sz w:val="24"/>
          <w:lang w:val="es-ES_tradnl"/>
        </w:rPr>
        <w:t xml:space="preserve"> </w:t>
      </w:r>
      <w:proofErr w:type="spellStart"/>
      <w:r w:rsidRPr="00E23513">
        <w:rPr>
          <w:sz w:val="24"/>
          <w:lang w:val="es-ES_tradnl"/>
        </w:rPr>
        <w:t>affected</w:t>
      </w:r>
      <w:proofErr w:type="spellEnd"/>
      <w:r w:rsidRPr="00E23513">
        <w:rPr>
          <w:sz w:val="24"/>
          <w:lang w:val="es-ES_tradnl"/>
        </w:rPr>
        <w:t xml:space="preserve"> </w:t>
      </w:r>
      <w:proofErr w:type="spellStart"/>
      <w:r w:rsidRPr="00E23513">
        <w:rPr>
          <w:sz w:val="24"/>
          <w:lang w:val="es-ES_tradnl"/>
        </w:rPr>
        <w:t>by</w:t>
      </w:r>
      <w:proofErr w:type="spellEnd"/>
      <w:r w:rsidRPr="00E23513">
        <w:rPr>
          <w:sz w:val="24"/>
          <w:lang w:val="es-ES_tradnl"/>
        </w:rPr>
        <w:t xml:space="preserve"> </w:t>
      </w:r>
      <w:proofErr w:type="spellStart"/>
      <w:r w:rsidRPr="00E23513">
        <w:rPr>
          <w:sz w:val="24"/>
          <w:lang w:val="es-ES_tradnl"/>
        </w:rPr>
        <w:t>chronic</w:t>
      </w:r>
      <w:proofErr w:type="spellEnd"/>
      <w:r w:rsidRPr="00E23513">
        <w:rPr>
          <w:sz w:val="24"/>
          <w:lang w:val="es-ES_tradnl"/>
        </w:rPr>
        <w:t xml:space="preserve"> </w:t>
      </w:r>
      <w:proofErr w:type="spellStart"/>
      <w:r w:rsidRPr="00E23513">
        <w:rPr>
          <w:sz w:val="24"/>
          <w:lang w:val="es-ES_tradnl"/>
        </w:rPr>
        <w:t>exposure</w:t>
      </w:r>
      <w:proofErr w:type="spellEnd"/>
      <w:r w:rsidRPr="00E23513">
        <w:rPr>
          <w:sz w:val="24"/>
          <w:lang w:val="es-ES_tradnl"/>
        </w:rPr>
        <w:t xml:space="preserve"> </w:t>
      </w:r>
      <w:proofErr w:type="spellStart"/>
      <w:r w:rsidRPr="00E23513">
        <w:rPr>
          <w:sz w:val="24"/>
          <w:lang w:val="es-ES_tradnl"/>
        </w:rPr>
        <w:t>to</w:t>
      </w:r>
      <w:proofErr w:type="spellEnd"/>
      <w:r w:rsidRPr="00E23513">
        <w:rPr>
          <w:sz w:val="24"/>
          <w:lang w:val="es-ES_tradnl"/>
        </w:rPr>
        <w:t xml:space="preserve"> </w:t>
      </w:r>
      <w:proofErr w:type="spellStart"/>
      <w:r w:rsidRPr="00E23513">
        <w:rPr>
          <w:sz w:val="24"/>
          <w:lang w:val="es-ES_tradnl"/>
        </w:rPr>
        <w:t>purified</w:t>
      </w:r>
      <w:proofErr w:type="spellEnd"/>
      <w:r w:rsidRPr="00E23513">
        <w:rPr>
          <w:sz w:val="24"/>
          <w:lang w:val="es-ES_tradnl"/>
        </w:rPr>
        <w:t xml:space="preserve"> </w:t>
      </w:r>
      <w:proofErr w:type="spellStart"/>
      <w:r w:rsidRPr="00E23513">
        <w:rPr>
          <w:sz w:val="24"/>
          <w:lang w:val="es-ES_tradnl"/>
        </w:rPr>
        <w:t>Cry-toxins</w:t>
      </w:r>
      <w:proofErr w:type="spellEnd"/>
      <w:r w:rsidRPr="00E23513">
        <w:rPr>
          <w:sz w:val="24"/>
          <w:lang w:val="es-ES_tradnl"/>
        </w:rPr>
        <w:t xml:space="preserve">» (El </w:t>
      </w:r>
      <w:proofErr w:type="spellStart"/>
      <w:r w:rsidRPr="00E23513">
        <w:rPr>
          <w:i/>
          <w:sz w:val="24"/>
          <w:lang w:val="es-ES_tradnl"/>
        </w:rPr>
        <w:t>Daphnia</w:t>
      </w:r>
      <w:proofErr w:type="spellEnd"/>
      <w:r w:rsidRPr="00E23513">
        <w:rPr>
          <w:i/>
          <w:sz w:val="24"/>
          <w:lang w:val="es-ES_tradnl"/>
        </w:rPr>
        <w:t xml:space="preserve"> magna</w:t>
      </w:r>
      <w:r w:rsidRPr="00E23513">
        <w:rPr>
          <w:sz w:val="24"/>
          <w:lang w:val="es-ES_tradnl"/>
        </w:rPr>
        <w:t xml:space="preserve">, afectado negativamente por la exposición crónica a toxinas </w:t>
      </w:r>
      <w:proofErr w:type="spellStart"/>
      <w:r w:rsidRPr="00E23513">
        <w:rPr>
          <w:sz w:val="24"/>
          <w:lang w:val="es-ES_tradnl"/>
        </w:rPr>
        <w:t>Cry</w:t>
      </w:r>
      <w:proofErr w:type="spellEnd"/>
      <w:r w:rsidRPr="00E23513">
        <w:rPr>
          <w:sz w:val="24"/>
          <w:lang w:val="es-ES_tradnl"/>
        </w:rPr>
        <w:t xml:space="preserve"> purificadas), </w:t>
      </w:r>
      <w:proofErr w:type="spellStart"/>
      <w:r w:rsidRPr="00E23513">
        <w:rPr>
          <w:sz w:val="24"/>
          <w:lang w:val="es-ES_tradnl"/>
        </w:rPr>
        <w:t>Food</w:t>
      </w:r>
      <w:proofErr w:type="spellEnd"/>
      <w:r w:rsidRPr="00E23513">
        <w:rPr>
          <w:sz w:val="24"/>
          <w:lang w:val="es-ES_tradnl"/>
        </w:rPr>
        <w:t xml:space="preserve"> and Chemical </w:t>
      </w:r>
      <w:proofErr w:type="spellStart"/>
      <w:r w:rsidRPr="00E23513">
        <w:rPr>
          <w:sz w:val="24"/>
          <w:lang w:val="es-ES_tradnl"/>
        </w:rPr>
        <w:t>Toxicology</w:t>
      </w:r>
      <w:proofErr w:type="spellEnd"/>
      <w:r w:rsidRPr="00E23513">
        <w:rPr>
          <w:sz w:val="24"/>
          <w:lang w:val="es-ES_tradnl"/>
        </w:rPr>
        <w:t xml:space="preserve">, mayo de 2016, volumen 91, pp. 130-140, </w:t>
      </w:r>
      <w:hyperlink r:id="rId23" w:history="1">
        <w:r w:rsidRPr="00E23513">
          <w:rPr>
            <w:rStyle w:val="Hyperlink"/>
            <w:sz w:val="24"/>
            <w:lang w:val="es-ES_tradnl"/>
          </w:rPr>
          <w:t>https://doi.org/10.1016/j.fct.2016.03.009</w:t>
        </w:r>
      </w:hyperlink>
      <w:r w:rsidRPr="00E23513">
        <w:rPr>
          <w:sz w:val="24"/>
          <w:lang w:val="es-ES_tradnl"/>
        </w:rPr>
        <w:t>.</w:t>
      </w:r>
    </w:p>
  </w:footnote>
  <w:footnote w:id="13">
    <w:p w14:paraId="17C267CC" w14:textId="27C0E761"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proofErr w:type="spellStart"/>
      <w:r w:rsidRPr="00E23513">
        <w:rPr>
          <w:sz w:val="24"/>
          <w:lang w:val="es-ES_tradnl"/>
        </w:rPr>
        <w:t>Trtikova</w:t>
      </w:r>
      <w:proofErr w:type="spellEnd"/>
      <w:r w:rsidRPr="00E23513">
        <w:rPr>
          <w:sz w:val="24"/>
          <w:lang w:val="es-ES_tradnl"/>
        </w:rPr>
        <w:t xml:space="preserve">, M., </w:t>
      </w:r>
      <w:proofErr w:type="spellStart"/>
      <w:r w:rsidRPr="00E23513">
        <w:rPr>
          <w:sz w:val="24"/>
          <w:lang w:val="es-ES_tradnl"/>
        </w:rPr>
        <w:t>Lohn</w:t>
      </w:r>
      <w:proofErr w:type="spellEnd"/>
      <w:r w:rsidRPr="00E23513">
        <w:rPr>
          <w:sz w:val="24"/>
          <w:lang w:val="es-ES_tradnl"/>
        </w:rPr>
        <w:t xml:space="preserve">, A., </w:t>
      </w:r>
      <w:proofErr w:type="spellStart"/>
      <w:r w:rsidRPr="00E23513">
        <w:rPr>
          <w:sz w:val="24"/>
          <w:lang w:val="es-ES_tradnl"/>
        </w:rPr>
        <w:t>Binimelis</w:t>
      </w:r>
      <w:proofErr w:type="spellEnd"/>
      <w:r w:rsidRPr="00E23513">
        <w:rPr>
          <w:sz w:val="24"/>
          <w:lang w:val="es-ES_tradnl"/>
        </w:rPr>
        <w:t xml:space="preserve">, R., Chapela, I., </w:t>
      </w:r>
      <w:proofErr w:type="spellStart"/>
      <w:r w:rsidRPr="00E23513">
        <w:rPr>
          <w:sz w:val="24"/>
          <w:lang w:val="es-ES_tradnl"/>
        </w:rPr>
        <w:t>Oehen</w:t>
      </w:r>
      <w:proofErr w:type="spellEnd"/>
      <w:r w:rsidRPr="00E23513">
        <w:rPr>
          <w:sz w:val="24"/>
          <w:lang w:val="es-ES_tradnl"/>
        </w:rPr>
        <w:t>, </w:t>
      </w:r>
      <w:proofErr w:type="gramStart"/>
      <w:r w:rsidRPr="00E23513">
        <w:rPr>
          <w:sz w:val="24"/>
          <w:lang w:val="es-ES_tradnl"/>
        </w:rPr>
        <w:t>B.,</w:t>
      </w:r>
      <w:proofErr w:type="spellStart"/>
      <w:r w:rsidRPr="00E23513">
        <w:rPr>
          <w:sz w:val="24"/>
          <w:lang w:val="es-ES_tradnl"/>
        </w:rPr>
        <w:t>Zemp</w:t>
      </w:r>
      <w:proofErr w:type="spellEnd"/>
      <w:proofErr w:type="gramEnd"/>
      <w:r w:rsidRPr="00E23513">
        <w:rPr>
          <w:sz w:val="24"/>
          <w:lang w:val="es-ES_tradnl"/>
        </w:rPr>
        <w:t xml:space="preserve">, N., Widmer, A., </w:t>
      </w:r>
      <w:proofErr w:type="spellStart"/>
      <w:r w:rsidRPr="00E23513">
        <w:rPr>
          <w:sz w:val="24"/>
          <w:lang w:val="es-ES_tradnl"/>
        </w:rPr>
        <w:t>Hilbeck</w:t>
      </w:r>
      <w:proofErr w:type="spellEnd"/>
      <w:r w:rsidRPr="00E23513">
        <w:rPr>
          <w:sz w:val="24"/>
          <w:lang w:val="es-ES_tradnl"/>
        </w:rPr>
        <w:t xml:space="preserve">, A. (2017), «Teosinte in </w:t>
      </w:r>
      <w:proofErr w:type="spellStart"/>
      <w:r w:rsidRPr="00E23513">
        <w:rPr>
          <w:sz w:val="24"/>
          <w:lang w:val="es-ES_tradnl"/>
        </w:rPr>
        <w:t>Europe</w:t>
      </w:r>
      <w:proofErr w:type="spellEnd"/>
      <w:r w:rsidRPr="00E23513">
        <w:rPr>
          <w:sz w:val="24"/>
          <w:lang w:val="es-ES_tradnl"/>
        </w:rPr>
        <w:t xml:space="preserve"> — </w:t>
      </w:r>
      <w:proofErr w:type="spellStart"/>
      <w:r w:rsidRPr="00E23513">
        <w:rPr>
          <w:sz w:val="24"/>
          <w:lang w:val="es-ES_tradnl"/>
        </w:rPr>
        <w:t>Searching</w:t>
      </w:r>
      <w:proofErr w:type="spellEnd"/>
      <w:r w:rsidRPr="00E23513">
        <w:rPr>
          <w:sz w:val="24"/>
          <w:lang w:val="es-ES_tradnl"/>
        </w:rPr>
        <w:t xml:space="preserve"> </w:t>
      </w:r>
      <w:proofErr w:type="spellStart"/>
      <w:r w:rsidRPr="00E23513">
        <w:rPr>
          <w:sz w:val="24"/>
          <w:lang w:val="es-ES_tradnl"/>
        </w:rPr>
        <w:t>for</w:t>
      </w:r>
      <w:proofErr w:type="spellEnd"/>
      <w:r w:rsidRPr="00E23513">
        <w:rPr>
          <w:sz w:val="24"/>
          <w:lang w:val="es-ES_tradnl"/>
        </w:rPr>
        <w:t xml:space="preserve"> </w:t>
      </w:r>
      <w:proofErr w:type="spellStart"/>
      <w:r w:rsidRPr="00E23513">
        <w:rPr>
          <w:sz w:val="24"/>
          <w:lang w:val="es-ES_tradnl"/>
        </w:rPr>
        <w:t>the</w:t>
      </w:r>
      <w:proofErr w:type="spellEnd"/>
      <w:r w:rsidRPr="00E23513">
        <w:rPr>
          <w:sz w:val="24"/>
          <w:lang w:val="es-ES_tradnl"/>
        </w:rPr>
        <w:t xml:space="preserve"> </w:t>
      </w:r>
      <w:proofErr w:type="spellStart"/>
      <w:r w:rsidRPr="00E23513">
        <w:rPr>
          <w:sz w:val="24"/>
          <w:lang w:val="es-ES_tradnl"/>
        </w:rPr>
        <w:t>origin</w:t>
      </w:r>
      <w:proofErr w:type="spellEnd"/>
      <w:r w:rsidRPr="00E23513">
        <w:rPr>
          <w:sz w:val="24"/>
          <w:lang w:val="es-ES_tradnl"/>
        </w:rPr>
        <w:t xml:space="preserve"> </w:t>
      </w:r>
      <w:proofErr w:type="spellStart"/>
      <w:r w:rsidRPr="00E23513">
        <w:rPr>
          <w:sz w:val="24"/>
          <w:lang w:val="es-ES_tradnl"/>
        </w:rPr>
        <w:t>of</w:t>
      </w:r>
      <w:proofErr w:type="spellEnd"/>
      <w:r w:rsidRPr="00E23513">
        <w:rPr>
          <w:sz w:val="24"/>
          <w:lang w:val="es-ES_tradnl"/>
        </w:rPr>
        <w:t xml:space="preserve"> a Novel </w:t>
      </w:r>
      <w:proofErr w:type="spellStart"/>
      <w:r w:rsidRPr="00E23513">
        <w:rPr>
          <w:sz w:val="24"/>
          <w:lang w:val="es-ES_tradnl"/>
        </w:rPr>
        <w:t>Weed</w:t>
      </w:r>
      <w:proofErr w:type="spellEnd"/>
      <w:r w:rsidRPr="00E23513">
        <w:rPr>
          <w:sz w:val="24"/>
          <w:lang w:val="es-ES_tradnl"/>
        </w:rPr>
        <w:t xml:space="preserve">» (El teosinte en Europa: en busca del origen de una nueva mala hierba), </w:t>
      </w:r>
      <w:proofErr w:type="spellStart"/>
      <w:r w:rsidRPr="00E23513">
        <w:rPr>
          <w:sz w:val="24"/>
          <w:lang w:val="es-ES_tradnl"/>
        </w:rPr>
        <w:t>Scientific</w:t>
      </w:r>
      <w:proofErr w:type="spellEnd"/>
      <w:r w:rsidRPr="00E23513">
        <w:rPr>
          <w:sz w:val="24"/>
          <w:lang w:val="es-ES_tradnl"/>
        </w:rPr>
        <w:t xml:space="preserve"> </w:t>
      </w:r>
      <w:proofErr w:type="spellStart"/>
      <w:r w:rsidRPr="00E23513">
        <w:rPr>
          <w:sz w:val="24"/>
          <w:lang w:val="es-ES_tradnl"/>
        </w:rPr>
        <w:t>Reports</w:t>
      </w:r>
      <w:proofErr w:type="spellEnd"/>
      <w:r w:rsidRPr="00E23513">
        <w:rPr>
          <w:sz w:val="24"/>
          <w:lang w:val="es-ES_tradnl"/>
        </w:rPr>
        <w:t xml:space="preserve">, 7: 1560, </w:t>
      </w:r>
      <w:hyperlink r:id="rId24" w:history="1">
        <w:r w:rsidRPr="00E23513">
          <w:rPr>
            <w:rStyle w:val="Hyperlink"/>
            <w:sz w:val="24"/>
            <w:lang w:val="es-ES_tradnl"/>
          </w:rPr>
          <w:t>https://doi.org/10.1038/s41598-017-01478-w</w:t>
        </w:r>
      </w:hyperlink>
      <w:r w:rsidRPr="00E23513">
        <w:rPr>
          <w:sz w:val="24"/>
          <w:lang w:val="es-ES_tradnl"/>
        </w:rPr>
        <w:t>.</w:t>
      </w:r>
    </w:p>
  </w:footnote>
  <w:footnote w:id="14">
    <w:p w14:paraId="1814AC9E" w14:textId="10836A38"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r w:rsidRPr="00E23513">
        <w:rPr>
          <w:sz w:val="24"/>
          <w:lang w:val="es-ES_tradnl"/>
        </w:rPr>
        <w:t>«</w:t>
      </w:r>
      <w:proofErr w:type="spellStart"/>
      <w:r w:rsidRPr="00E23513">
        <w:rPr>
          <w:sz w:val="24"/>
          <w:lang w:val="es-ES_tradnl"/>
        </w:rPr>
        <w:t>Strategic</w:t>
      </w:r>
      <w:proofErr w:type="spellEnd"/>
      <w:r w:rsidRPr="00E23513">
        <w:rPr>
          <w:sz w:val="24"/>
          <w:lang w:val="es-ES_tradnl"/>
        </w:rPr>
        <w:t xml:space="preserve"> Dialogue </w:t>
      </w:r>
      <w:proofErr w:type="spellStart"/>
      <w:r w:rsidRPr="00E23513">
        <w:rPr>
          <w:sz w:val="24"/>
          <w:lang w:val="es-ES_tradnl"/>
        </w:rPr>
        <w:t>on</w:t>
      </w:r>
      <w:proofErr w:type="spellEnd"/>
      <w:r w:rsidRPr="00E23513">
        <w:rPr>
          <w:sz w:val="24"/>
          <w:lang w:val="es-ES_tradnl"/>
        </w:rPr>
        <w:t xml:space="preserve"> </w:t>
      </w:r>
      <w:proofErr w:type="spellStart"/>
      <w:r w:rsidRPr="00E23513">
        <w:rPr>
          <w:sz w:val="24"/>
          <w:lang w:val="es-ES_tradnl"/>
        </w:rPr>
        <w:t>the</w:t>
      </w:r>
      <w:proofErr w:type="spellEnd"/>
      <w:r w:rsidRPr="00E23513">
        <w:rPr>
          <w:sz w:val="24"/>
          <w:lang w:val="es-ES_tradnl"/>
        </w:rPr>
        <w:t xml:space="preserve"> Future </w:t>
      </w:r>
      <w:proofErr w:type="spellStart"/>
      <w:r w:rsidRPr="00E23513">
        <w:rPr>
          <w:sz w:val="24"/>
          <w:lang w:val="es-ES_tradnl"/>
        </w:rPr>
        <w:t>of</w:t>
      </w:r>
      <w:proofErr w:type="spellEnd"/>
      <w:r w:rsidRPr="00E23513">
        <w:rPr>
          <w:sz w:val="24"/>
          <w:lang w:val="es-ES_tradnl"/>
        </w:rPr>
        <w:t xml:space="preserve"> EU </w:t>
      </w:r>
      <w:proofErr w:type="spellStart"/>
      <w:r w:rsidRPr="00E23513">
        <w:rPr>
          <w:sz w:val="24"/>
          <w:lang w:val="es-ES_tradnl"/>
        </w:rPr>
        <w:t>Agriculture</w:t>
      </w:r>
      <w:proofErr w:type="spellEnd"/>
      <w:r w:rsidRPr="00E23513">
        <w:rPr>
          <w:sz w:val="24"/>
          <w:lang w:val="es-ES_tradnl"/>
        </w:rPr>
        <w:t xml:space="preserve"> — A </w:t>
      </w:r>
      <w:proofErr w:type="spellStart"/>
      <w:r w:rsidRPr="00E23513">
        <w:rPr>
          <w:sz w:val="24"/>
          <w:lang w:val="es-ES_tradnl"/>
        </w:rPr>
        <w:t>shared</w:t>
      </w:r>
      <w:proofErr w:type="spellEnd"/>
      <w:r w:rsidRPr="00E23513">
        <w:rPr>
          <w:sz w:val="24"/>
          <w:lang w:val="es-ES_tradnl"/>
        </w:rPr>
        <w:t xml:space="preserve"> </w:t>
      </w:r>
      <w:proofErr w:type="spellStart"/>
      <w:r w:rsidRPr="00E23513">
        <w:rPr>
          <w:sz w:val="24"/>
          <w:lang w:val="es-ES_tradnl"/>
        </w:rPr>
        <w:t>perspective</w:t>
      </w:r>
      <w:proofErr w:type="spellEnd"/>
      <w:r w:rsidRPr="00E23513">
        <w:rPr>
          <w:sz w:val="24"/>
          <w:lang w:val="es-ES_tradnl"/>
        </w:rPr>
        <w:t xml:space="preserve"> </w:t>
      </w:r>
      <w:proofErr w:type="spellStart"/>
      <w:r w:rsidRPr="00E23513">
        <w:rPr>
          <w:sz w:val="24"/>
          <w:lang w:val="es-ES_tradnl"/>
        </w:rPr>
        <w:t>for</w:t>
      </w:r>
      <w:proofErr w:type="spellEnd"/>
      <w:r w:rsidRPr="00E23513">
        <w:rPr>
          <w:sz w:val="24"/>
          <w:lang w:val="es-ES_tradnl"/>
        </w:rPr>
        <w:t xml:space="preserve"> </w:t>
      </w:r>
      <w:proofErr w:type="spellStart"/>
      <w:r w:rsidRPr="00E23513">
        <w:rPr>
          <w:sz w:val="24"/>
          <w:lang w:val="es-ES_tradnl"/>
        </w:rPr>
        <w:t>farming</w:t>
      </w:r>
      <w:proofErr w:type="spellEnd"/>
      <w:r w:rsidRPr="00E23513">
        <w:rPr>
          <w:sz w:val="24"/>
          <w:lang w:val="es-ES_tradnl"/>
        </w:rPr>
        <w:t xml:space="preserve"> and </w:t>
      </w:r>
      <w:proofErr w:type="spellStart"/>
      <w:r w:rsidRPr="00E23513">
        <w:rPr>
          <w:sz w:val="24"/>
          <w:lang w:val="es-ES_tradnl"/>
        </w:rPr>
        <w:t>food</w:t>
      </w:r>
      <w:proofErr w:type="spellEnd"/>
      <w:r w:rsidRPr="00E23513">
        <w:rPr>
          <w:sz w:val="24"/>
          <w:lang w:val="es-ES_tradnl"/>
        </w:rPr>
        <w:t xml:space="preserve"> in </w:t>
      </w:r>
      <w:proofErr w:type="spellStart"/>
      <w:r w:rsidRPr="00E23513">
        <w:rPr>
          <w:sz w:val="24"/>
          <w:lang w:val="es-ES_tradnl"/>
        </w:rPr>
        <w:t>Europe</w:t>
      </w:r>
      <w:proofErr w:type="spellEnd"/>
      <w:r w:rsidRPr="00E23513">
        <w:rPr>
          <w:sz w:val="24"/>
          <w:lang w:val="es-ES_tradnl"/>
        </w:rPr>
        <w:t xml:space="preserve">» (Diálogo estratégico sobre el futuro de la agricultura en la UE: una perspectiva compartida para la agricultura y la alimentación en Europa), septiembre de 2024, </w:t>
      </w:r>
      <w:hyperlink r:id="rId25" w:history="1">
        <w:r w:rsidRPr="00E23513">
          <w:rPr>
            <w:rStyle w:val="Hyperlink"/>
            <w:sz w:val="24"/>
            <w:lang w:val="es-ES_tradnl"/>
          </w:rPr>
          <w:t>https://agriculture.ec.europa.eu/document/download/171329ff-0f50-4fa5-946f-aea11032172e_en?filename=strategic-dialogue-report-2024_en.pdf</w:t>
        </w:r>
      </w:hyperlink>
      <w:r w:rsidRPr="00E23513">
        <w:rPr>
          <w:sz w:val="24"/>
          <w:lang w:val="es-ES_tradnl"/>
        </w:rPr>
        <w:t xml:space="preserve">. </w:t>
      </w:r>
    </w:p>
  </w:footnote>
  <w:footnote w:id="15">
    <w:p w14:paraId="6C2EE304" w14:textId="3D26D5B5"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hyperlink r:id="rId26" w:history="1">
        <w:r w:rsidRPr="00E23513">
          <w:rPr>
            <w:rStyle w:val="Hyperlink"/>
            <w:sz w:val="24"/>
            <w:lang w:val="es-ES_tradnl"/>
          </w:rPr>
          <w:t>https://documents.un.org/doc/undoc/gen/g17/017/90/pdf/g1701790.pdf</w:t>
        </w:r>
      </w:hyperlink>
      <w:r w:rsidRPr="00E23513">
        <w:rPr>
          <w:sz w:val="24"/>
          <w:lang w:val="es-ES_tradnl"/>
        </w:rPr>
        <w:t xml:space="preserve">. </w:t>
      </w:r>
    </w:p>
  </w:footnote>
  <w:footnote w:id="16">
    <w:p w14:paraId="5DC80471" w14:textId="3684CDD9"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hyperlink r:id="rId27" w:history="1">
        <w:r w:rsidRPr="00E23513">
          <w:rPr>
            <w:rStyle w:val="Hyperlink"/>
            <w:sz w:val="24"/>
            <w:lang w:val="es-ES_tradnl"/>
          </w:rPr>
          <w:t>https://www.un.org/sustainabledevelopment/es/health/</w:t>
        </w:r>
      </w:hyperlink>
      <w:r w:rsidRPr="00E23513">
        <w:rPr>
          <w:sz w:val="24"/>
          <w:lang w:val="es-ES_tradnl"/>
        </w:rPr>
        <w:t xml:space="preserve">. </w:t>
      </w:r>
    </w:p>
  </w:footnote>
  <w:footnote w:id="17">
    <w:p w14:paraId="5D5F43C8" w14:textId="012073DD"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hyperlink r:id="rId28" w:history="1">
        <w:r w:rsidRPr="00E23513">
          <w:rPr>
            <w:rStyle w:val="Hyperlink"/>
            <w:sz w:val="24"/>
            <w:lang w:val="es-ES_tradnl"/>
          </w:rPr>
          <w:t>https://ec.europa.eu/commission/presscorner/detail/es/ip_22_7834</w:t>
        </w:r>
      </w:hyperlink>
      <w:r w:rsidRPr="00E23513">
        <w:rPr>
          <w:sz w:val="24"/>
          <w:lang w:val="es-ES_tradnl"/>
        </w:rPr>
        <w:t xml:space="preserve">. </w:t>
      </w:r>
    </w:p>
  </w:footnote>
  <w:footnote w:id="18">
    <w:p w14:paraId="2AB83C9B" w14:textId="02824C16"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hyperlink r:id="rId29" w:history="1">
        <w:r w:rsidRPr="00E23513">
          <w:rPr>
            <w:rStyle w:val="Hyperlink"/>
            <w:sz w:val="24"/>
            <w:lang w:val="es-ES_tradnl"/>
          </w:rPr>
          <w:t>https://commission.europa.eu/document/2c64e540-c07a-4376-a1da-368d289f4afe_en</w:t>
        </w:r>
      </w:hyperlink>
      <w:r w:rsidRPr="00E23513">
        <w:rPr>
          <w:sz w:val="24"/>
          <w:lang w:val="es-ES_tradnl"/>
        </w:rPr>
        <w:t>.</w:t>
      </w:r>
    </w:p>
  </w:footnote>
  <w:footnote w:id="19">
    <w:p w14:paraId="78F9BDD4" w14:textId="23DC19DB"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r w:rsidRPr="00E23513">
        <w:rPr>
          <w:sz w:val="24"/>
          <w:lang w:val="es-ES_tradnl"/>
        </w:rPr>
        <w:t>De conformidad con el artículo 6, apartado 3, del Reglamento (UE) n.º 182/2011, la Comisión no «adoptará», sino que «podrá adoptar» una autorización si no existe una mayoría cualificada de Estados miembros a favor en el comité de apelación.</w:t>
      </w:r>
    </w:p>
  </w:footnote>
  <w:footnote w:id="20">
    <w:p w14:paraId="1FF45EB6" w14:textId="19A330E2"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hyperlink r:id="rId30" w:history="1">
        <w:r w:rsidRPr="00E23513">
          <w:rPr>
            <w:rStyle w:val="Hyperlink"/>
            <w:sz w:val="24"/>
            <w:lang w:val="es-ES_tradnl"/>
          </w:rPr>
          <w:t>https://food.ec.europa.eu/document/download/ee1a5aed-5303-4c32-bb59-813143a1df47_en?filename=sc_modif-genet_20250613_sum.pdf</w:t>
        </w:r>
      </w:hyperlink>
      <w:r w:rsidRPr="00E23513">
        <w:rPr>
          <w:sz w:val="24"/>
          <w:lang w:val="es-ES_tradnl"/>
        </w:rPr>
        <w:t>.</w:t>
      </w:r>
    </w:p>
  </w:footnote>
  <w:footnote w:id="21">
    <w:p w14:paraId="7CE226C8" w14:textId="7FDF36BA"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r w:rsidRPr="00E23513">
        <w:rPr>
          <w:sz w:val="24"/>
          <w:lang w:val="es-ES_tradnl"/>
        </w:rPr>
        <w:t xml:space="preserve">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31" w:history="1">
        <w:r w:rsidRPr="00E23513">
          <w:rPr>
            <w:rStyle w:val="Hyperlink"/>
            <w:sz w:val="24"/>
            <w:lang w:val="es-ES_tradnl"/>
          </w:rPr>
          <w:t>http://data.europa.eu/eli/reg/2002/178/oj</w:t>
        </w:r>
      </w:hyperlink>
      <w:r w:rsidRPr="00E23513">
        <w:rPr>
          <w:sz w:val="24"/>
          <w:lang w:val="es-ES_tradnl"/>
        </w:rPr>
        <w:t>).</w:t>
      </w:r>
    </w:p>
  </w:footnote>
  <w:footnote w:id="22">
    <w:p w14:paraId="0AF6CF7B" w14:textId="0AC1B15C"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r w:rsidRPr="00E23513">
        <w:rPr>
          <w:sz w:val="24"/>
          <w:lang w:val="es-ES_tradnl"/>
        </w:rPr>
        <w:t xml:space="preserve">Tal como se indica en el anexo de la Comunicación de la Comisión, de 14 de octubre de 2020, titulada «Estrategia de sostenibilidad para las sustancias químicas. Hacia un entorno sin sustancias tóxicas», </w:t>
      </w:r>
      <w:proofErr w:type="gramStart"/>
      <w:r w:rsidRPr="00E23513">
        <w:rPr>
          <w:sz w:val="24"/>
          <w:lang w:val="es-ES_tradnl"/>
        </w:rPr>
        <w:t>COM(</w:t>
      </w:r>
      <w:proofErr w:type="gramEnd"/>
      <w:r w:rsidRPr="00E23513">
        <w:rPr>
          <w:sz w:val="24"/>
          <w:lang w:val="es-ES_tradnl"/>
        </w:rPr>
        <w:t xml:space="preserve">2020)0667, </w:t>
      </w:r>
      <w:hyperlink r:id="rId32" w:anchor="document2" w:history="1">
        <w:r w:rsidRPr="00E23513">
          <w:rPr>
            <w:rStyle w:val="Hyperlink"/>
            <w:sz w:val="24"/>
            <w:lang w:val="es-ES_tradnl"/>
          </w:rPr>
          <w:t>https://eur-lex.europa.eu/legal-content/ES/TXT/?uri=CELEX:52020DC0667</w:t>
        </w:r>
      </w:hyperlink>
      <w:r w:rsidRPr="00E23513">
        <w:rPr>
          <w:sz w:val="24"/>
          <w:lang w:val="es-ES_tradnl"/>
        </w:rPr>
        <w:t>.</w:t>
      </w:r>
    </w:p>
  </w:footnote>
  <w:footnote w:id="23">
    <w:p w14:paraId="398248DF" w14:textId="601A4235"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hyperlink r:id="rId33" w:history="1">
        <w:r w:rsidRPr="00E23513">
          <w:rPr>
            <w:rStyle w:val="Hyperlink"/>
            <w:sz w:val="24"/>
            <w:lang w:val="es-ES_tradnl"/>
          </w:rPr>
          <w:t>https://tillymetz.lu/wp-content/uploads/2020/09/Co-signed-letter-MEP-Metz.pdf</w:t>
        </w:r>
      </w:hyperlink>
      <w:r w:rsidRPr="00E23513">
        <w:rPr>
          <w:sz w:val="24"/>
          <w:lang w:val="es-ES_tradnl"/>
        </w:rPr>
        <w:t xml:space="preserve">. </w:t>
      </w:r>
    </w:p>
  </w:footnote>
  <w:footnote w:id="24">
    <w:p w14:paraId="56326CC6" w14:textId="0E44986F" w:rsidR="006163AB" w:rsidRPr="00E23513" w:rsidRDefault="006163AB" w:rsidP="00E23513">
      <w:pPr>
        <w:pStyle w:val="FootnoteText"/>
        <w:ind w:left="567" w:hanging="567"/>
        <w:rPr>
          <w:sz w:val="24"/>
          <w:lang w:val="es-ES_tradnl"/>
        </w:rPr>
      </w:pPr>
      <w:r w:rsidRPr="00E23513">
        <w:rPr>
          <w:rStyle w:val="FootnoteReference"/>
          <w:sz w:val="24"/>
          <w:lang w:val="es-ES_tradnl"/>
        </w:rPr>
        <w:footnoteRef/>
      </w:r>
      <w:r w:rsidR="00E23513" w:rsidRPr="00E23513">
        <w:rPr>
          <w:sz w:val="24"/>
          <w:lang w:val="es-ES_tradnl"/>
        </w:rPr>
        <w:t xml:space="preserve"> </w:t>
      </w:r>
      <w:r w:rsidR="00E23513" w:rsidRPr="00E23513">
        <w:rPr>
          <w:sz w:val="24"/>
          <w:lang w:val="es-ES_tradnl"/>
        </w:rPr>
        <w:tab/>
      </w:r>
      <w:r w:rsidRPr="00E23513">
        <w:rPr>
          <w:sz w:val="24"/>
          <w:lang w:val="es-ES_tradnl"/>
        </w:rPr>
        <w:t>Resolución del Parlamento Europeo, de 15 de enero de 2020, sobre el Pacto Verde Europeo (DO C 270 de 7.7.2021, p. 2), apartado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F999B" w14:textId="77777777" w:rsidR="00064002" w:rsidRPr="00E235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226A" w14:textId="77777777" w:rsidR="00064002" w:rsidRPr="00E235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B5043" w14:textId="77777777" w:rsidR="00064002" w:rsidRPr="00E235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1759721">
    <w:abstractNumId w:val="9"/>
  </w:num>
  <w:num w:numId="2" w16cid:durableId="1285690802">
    <w:abstractNumId w:val="9"/>
  </w:num>
  <w:num w:numId="3" w16cid:durableId="1506825240">
    <w:abstractNumId w:val="7"/>
  </w:num>
  <w:num w:numId="4" w16cid:durableId="1077243936">
    <w:abstractNumId w:val="7"/>
  </w:num>
  <w:num w:numId="5" w16cid:durableId="1751534675">
    <w:abstractNumId w:val="6"/>
  </w:num>
  <w:num w:numId="6" w16cid:durableId="525369020">
    <w:abstractNumId w:val="6"/>
  </w:num>
  <w:num w:numId="7" w16cid:durableId="1535264369">
    <w:abstractNumId w:val="5"/>
  </w:num>
  <w:num w:numId="8" w16cid:durableId="79639911">
    <w:abstractNumId w:val="5"/>
  </w:num>
  <w:num w:numId="9" w16cid:durableId="1058893061">
    <w:abstractNumId w:val="4"/>
  </w:num>
  <w:num w:numId="10" w16cid:durableId="46032860">
    <w:abstractNumId w:val="4"/>
  </w:num>
  <w:num w:numId="11" w16cid:durableId="1889608305">
    <w:abstractNumId w:val="8"/>
  </w:num>
  <w:num w:numId="12" w16cid:durableId="1350982884">
    <w:abstractNumId w:val="8"/>
  </w:num>
  <w:num w:numId="13" w16cid:durableId="576865438">
    <w:abstractNumId w:val="3"/>
  </w:num>
  <w:num w:numId="14" w16cid:durableId="1996182272">
    <w:abstractNumId w:val="3"/>
  </w:num>
  <w:num w:numId="15" w16cid:durableId="1008943554">
    <w:abstractNumId w:val="2"/>
  </w:num>
  <w:num w:numId="16" w16cid:durableId="1941601896">
    <w:abstractNumId w:val="2"/>
  </w:num>
  <w:num w:numId="17" w16cid:durableId="1015882435">
    <w:abstractNumId w:val="1"/>
  </w:num>
  <w:num w:numId="18" w16cid:durableId="885726006">
    <w:abstractNumId w:val="1"/>
  </w:num>
  <w:num w:numId="19" w16cid:durableId="1852916789">
    <w:abstractNumId w:val="0"/>
  </w:num>
  <w:num w:numId="20" w16cid:durableId="2130395904">
    <w:abstractNumId w:val="0"/>
  </w:num>
  <w:num w:numId="21" w16cid:durableId="1748183317">
    <w:abstractNumId w:val="9"/>
  </w:num>
  <w:num w:numId="22" w16cid:durableId="119154562">
    <w:abstractNumId w:val="7"/>
  </w:num>
  <w:num w:numId="23" w16cid:durableId="1024328882">
    <w:abstractNumId w:val="6"/>
  </w:num>
  <w:num w:numId="24" w16cid:durableId="1819346380">
    <w:abstractNumId w:val="5"/>
  </w:num>
  <w:num w:numId="25" w16cid:durableId="67584129">
    <w:abstractNumId w:val="4"/>
  </w:num>
  <w:num w:numId="26" w16cid:durableId="2089306621">
    <w:abstractNumId w:val="8"/>
  </w:num>
  <w:num w:numId="27" w16cid:durableId="1371763252">
    <w:abstractNumId w:val="3"/>
  </w:num>
  <w:num w:numId="28" w16cid:durableId="1532573265">
    <w:abstractNumId w:val="2"/>
  </w:num>
  <w:num w:numId="29" w16cid:durableId="388580618">
    <w:abstractNumId w:val="1"/>
  </w:num>
  <w:num w:numId="30" w16cid:durableId="1729184341">
    <w:abstractNumId w:val="0"/>
  </w:num>
  <w:num w:numId="31" w16cid:durableId="2056924091">
    <w:abstractNumId w:val="9"/>
  </w:num>
  <w:num w:numId="32" w16cid:durableId="2047216395">
    <w:abstractNumId w:val="7"/>
  </w:num>
  <w:num w:numId="33" w16cid:durableId="1216888578">
    <w:abstractNumId w:val="6"/>
  </w:num>
  <w:num w:numId="34" w16cid:durableId="409616226">
    <w:abstractNumId w:val="5"/>
  </w:num>
  <w:num w:numId="35" w16cid:durableId="68233981">
    <w:abstractNumId w:val="4"/>
  </w:num>
  <w:num w:numId="36" w16cid:durableId="1897542615">
    <w:abstractNumId w:val="8"/>
  </w:num>
  <w:num w:numId="37" w16cid:durableId="1982345786">
    <w:abstractNumId w:val="3"/>
  </w:num>
  <w:num w:numId="38" w16cid:durableId="448353337">
    <w:abstractNumId w:val="2"/>
  </w:num>
  <w:num w:numId="39" w16cid:durableId="905796449">
    <w:abstractNumId w:val="1"/>
  </w:num>
  <w:num w:numId="40" w16cid:durableId="2107651495">
    <w:abstractNumId w:val="0"/>
  </w:num>
  <w:num w:numId="41" w16cid:durableId="464080802">
    <w:abstractNumId w:val="10"/>
  </w:num>
  <w:num w:numId="42" w16cid:durableId="75323769">
    <w:abstractNumId w:val="10"/>
  </w:num>
  <w:num w:numId="43" w16cid:durableId="854462813">
    <w:abstractNumId w:val="10"/>
  </w:num>
  <w:num w:numId="44" w16cid:durableId="555823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ES"/>
    <w:docVar w:name="dvnumam" w:val="0"/>
    <w:docVar w:name="dvpe" w:val="775.588"/>
    <w:docVar w:name="dvtitre" w:val="Resolución del Parlamento Europeo, de x de octubre de 2025, sobre el proyecto de Decisión de Ejecución de la Comisión por la que se autoriza la comercialización de productos que contengan o estén compuestos por el maíz modificado genéticamente DP51291 o se hayan producido a partir de él, con arreglo al Reglamento (CE) n.º 1829/2003 del Parlamento Europeo y del Consejo(D108064/03 – 2025/2807(RSP))"/>
  </w:docVars>
  <w:rsids>
    <w:rsidRoot w:val="00187116"/>
    <w:rsid w:val="000013E6"/>
    <w:rsid w:val="00002272"/>
    <w:rsid w:val="00064002"/>
    <w:rsid w:val="000677B9"/>
    <w:rsid w:val="000831BA"/>
    <w:rsid w:val="000A42CC"/>
    <w:rsid w:val="000E7DD9"/>
    <w:rsid w:val="0010095E"/>
    <w:rsid w:val="00125B37"/>
    <w:rsid w:val="00160AC1"/>
    <w:rsid w:val="0018711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C23"/>
    <w:rsid w:val="0050519A"/>
    <w:rsid w:val="005072A1"/>
    <w:rsid w:val="00514517"/>
    <w:rsid w:val="00545827"/>
    <w:rsid w:val="00560270"/>
    <w:rsid w:val="00582C56"/>
    <w:rsid w:val="005C2568"/>
    <w:rsid w:val="005F1B17"/>
    <w:rsid w:val="006037C0"/>
    <w:rsid w:val="006163AB"/>
    <w:rsid w:val="006631B6"/>
    <w:rsid w:val="00680577"/>
    <w:rsid w:val="006F3129"/>
    <w:rsid w:val="006F74FA"/>
    <w:rsid w:val="00731ADD"/>
    <w:rsid w:val="00734777"/>
    <w:rsid w:val="00747932"/>
    <w:rsid w:val="00751A4A"/>
    <w:rsid w:val="00756632"/>
    <w:rsid w:val="00762C74"/>
    <w:rsid w:val="00786EC0"/>
    <w:rsid w:val="007B360F"/>
    <w:rsid w:val="007D1690"/>
    <w:rsid w:val="007E22AD"/>
    <w:rsid w:val="00817416"/>
    <w:rsid w:val="00830253"/>
    <w:rsid w:val="00842779"/>
    <w:rsid w:val="00865F67"/>
    <w:rsid w:val="00881A7B"/>
    <w:rsid w:val="008840E5"/>
    <w:rsid w:val="00887B3E"/>
    <w:rsid w:val="008C2AC6"/>
    <w:rsid w:val="00930C23"/>
    <w:rsid w:val="0093193B"/>
    <w:rsid w:val="009509D8"/>
    <w:rsid w:val="00950B64"/>
    <w:rsid w:val="00981893"/>
    <w:rsid w:val="00A1687D"/>
    <w:rsid w:val="00A43E52"/>
    <w:rsid w:val="00A45FC7"/>
    <w:rsid w:val="00A4678D"/>
    <w:rsid w:val="00A778C7"/>
    <w:rsid w:val="00AB441E"/>
    <w:rsid w:val="00AB6293"/>
    <w:rsid w:val="00AE0928"/>
    <w:rsid w:val="00AF3B82"/>
    <w:rsid w:val="00B12E95"/>
    <w:rsid w:val="00B22876"/>
    <w:rsid w:val="00B558F0"/>
    <w:rsid w:val="00B95F49"/>
    <w:rsid w:val="00BD48FE"/>
    <w:rsid w:val="00BD7BD8"/>
    <w:rsid w:val="00BE6ADC"/>
    <w:rsid w:val="00C012A6"/>
    <w:rsid w:val="00C05BFE"/>
    <w:rsid w:val="00C23CD4"/>
    <w:rsid w:val="00C61C0C"/>
    <w:rsid w:val="00C941CB"/>
    <w:rsid w:val="00CC2357"/>
    <w:rsid w:val="00CF071A"/>
    <w:rsid w:val="00D058B8"/>
    <w:rsid w:val="00D56C11"/>
    <w:rsid w:val="00D834A0"/>
    <w:rsid w:val="00D872DF"/>
    <w:rsid w:val="00D91E21"/>
    <w:rsid w:val="00DA7FCD"/>
    <w:rsid w:val="00E2351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758B3"/>
  <w15:chartTrackingRefBased/>
  <w15:docId w15:val="{10114E1D-79B6-40DB-84CA-55B79CF5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63AB"/>
    <w:pPr>
      <w:spacing w:before="480" w:after="240"/>
    </w:pPr>
  </w:style>
  <w:style w:type="paragraph" w:customStyle="1" w:styleId="NormalHanging12a">
    <w:name w:val="NormalHanging12a"/>
    <w:basedOn w:val="Normal"/>
    <w:rsid w:val="006163AB"/>
    <w:pPr>
      <w:spacing w:after="240"/>
      <w:ind w:left="567" w:hanging="567"/>
    </w:pPr>
  </w:style>
  <w:style w:type="paragraph" w:customStyle="1" w:styleId="NormalBold">
    <w:name w:val="NormalBold"/>
    <w:basedOn w:val="Normal"/>
    <w:rsid w:val="006163AB"/>
    <w:rPr>
      <w:b/>
    </w:rPr>
  </w:style>
  <w:style w:type="character" w:styleId="Hyperlink">
    <w:name w:val="Hyperlink"/>
    <w:basedOn w:val="DefaultParagraphFont"/>
    <w:uiPriority w:val="99"/>
    <w:rsid w:val="006163AB"/>
    <w:rPr>
      <w:color w:val="0563C1" w:themeColor="hyperlink"/>
      <w:u w:val="single"/>
    </w:rPr>
  </w:style>
  <w:style w:type="character" w:customStyle="1" w:styleId="Funotenzeichen">
    <w:name w:val="Fußnotenzeichen"/>
    <w:qFormat/>
    <w:rsid w:val="006163AB"/>
    <w:rPr>
      <w:vertAlign w:val="superscript"/>
    </w:rPr>
  </w:style>
  <w:style w:type="paragraph" w:styleId="Revision">
    <w:name w:val="Revision"/>
    <w:hidden/>
    <w:uiPriority w:val="99"/>
    <w:semiHidden/>
    <w:rsid w:val="00160AC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documents.un.org/doc/undoc/gen/g17/017/90/pdf/g1701790.pdf"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ES/TXT/?uri=CELEX:52020DC0667"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es/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es/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2917</Words>
  <Characters>15678</Characters>
  <Application>Microsoft Office Word</Application>
  <DocSecurity>0</DocSecurity>
  <Lines>130</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Fernan Rodriguez</cp:lastModifiedBy>
  <cp:revision>2</cp:revision>
  <cp:lastPrinted>2004-11-19T15:42:00Z</cp:lastPrinted>
  <dcterms:created xsi:type="dcterms:W3CDTF">2025-10-08T14:04:00Z</dcterms:created>
  <dcterms:modified xsi:type="dcterms:W3CDTF">2025-10-08T14:04:00Z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B10-0407/2025</vt:lpwstr>
  </property>
  <property fmtid="{D5CDD505-2E9C-101B-9397-08002B2CF9AE}" pid="4" name="&lt;Type&gt;">
    <vt:lpwstr>RR</vt:lpwstr>
  </property>
</Properties>
</file>