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5EE9" w14:paraId="70081A08" w14:textId="77777777" w:rsidTr="0010095E">
        <w:trPr>
          <w:trHeight w:hRule="exact" w:val="1418"/>
        </w:trPr>
        <w:tc>
          <w:tcPr>
            <w:tcW w:w="6804" w:type="dxa"/>
            <w:shd w:val="clear" w:color="auto" w:fill="auto"/>
            <w:vAlign w:val="center"/>
          </w:tcPr>
          <w:p w14:paraId="7C22470B" w14:textId="77777777" w:rsidR="00751A4A" w:rsidRPr="009D5EE9" w:rsidRDefault="00E101C6" w:rsidP="0010095E">
            <w:pPr>
              <w:pStyle w:val="EPName"/>
            </w:pPr>
            <w:r w:rsidRPr="009D5EE9">
              <w:t>Euroopa Parlament</w:t>
            </w:r>
          </w:p>
          <w:p w14:paraId="4A0C6D9A" w14:textId="77777777" w:rsidR="00751A4A" w:rsidRPr="009D5EE9" w:rsidRDefault="005F1B17" w:rsidP="005F1B17">
            <w:pPr>
              <w:pStyle w:val="EPTerm"/>
              <w:rPr>
                <w:rStyle w:val="HideTWBExt"/>
                <w:noProof w:val="0"/>
                <w:vanish w:val="0"/>
                <w:color w:val="auto"/>
              </w:rPr>
            </w:pPr>
            <w:r w:rsidRPr="009D5EE9">
              <w:t>2024</w:t>
            </w:r>
            <w:r w:rsidR="00817416" w:rsidRPr="009D5EE9">
              <w:t>-202</w:t>
            </w:r>
            <w:r w:rsidRPr="009D5EE9">
              <w:t>9</w:t>
            </w:r>
          </w:p>
        </w:tc>
        <w:tc>
          <w:tcPr>
            <w:tcW w:w="2268" w:type="dxa"/>
            <w:shd w:val="clear" w:color="auto" w:fill="auto"/>
          </w:tcPr>
          <w:p w14:paraId="59D5897B" w14:textId="77777777" w:rsidR="00751A4A" w:rsidRPr="009D5EE9" w:rsidRDefault="00187494" w:rsidP="0010095E">
            <w:pPr>
              <w:pStyle w:val="EPLogo"/>
            </w:pPr>
            <w:r w:rsidRPr="009D5EE9">
              <w:rPr>
                <w:noProof/>
                <w:lang w:eastAsia="ja-JP"/>
              </w:rPr>
              <w:drawing>
                <wp:inline distT="0" distB="0" distL="0" distR="0" wp14:anchorId="17B61843" wp14:editId="3FCD90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DBA9C2" w14:textId="77777777" w:rsidR="00D058B8" w:rsidRPr="009D5EE9" w:rsidRDefault="00D058B8" w:rsidP="004C5D52">
      <w:pPr>
        <w:pStyle w:val="LineTop"/>
      </w:pPr>
    </w:p>
    <w:p w14:paraId="630C2CE6" w14:textId="77777777" w:rsidR="00680577" w:rsidRPr="009D5EE9" w:rsidRDefault="00E101C6" w:rsidP="00680577">
      <w:pPr>
        <w:pStyle w:val="EPBodyTA1"/>
      </w:pPr>
      <w:r w:rsidRPr="009D5EE9">
        <w:t>VASTUVÕETUD TEKSTID</w:t>
      </w:r>
    </w:p>
    <w:p w14:paraId="652360F3" w14:textId="77777777" w:rsidR="00D058B8" w:rsidRPr="009D5EE9" w:rsidRDefault="00D058B8" w:rsidP="00D058B8">
      <w:pPr>
        <w:pStyle w:val="LineBottom"/>
      </w:pPr>
    </w:p>
    <w:p w14:paraId="194B429D" w14:textId="11408296" w:rsidR="00E101C6" w:rsidRPr="009D5EE9" w:rsidRDefault="00E101C6" w:rsidP="00E101C6">
      <w:pPr>
        <w:pStyle w:val="ATHeading1"/>
      </w:pPr>
      <w:bookmarkStart w:id="0" w:name="TANumber"/>
      <w:r w:rsidRPr="009D5EE9">
        <w:t>P10_TA(2025)0</w:t>
      </w:r>
      <w:r w:rsidR="006C7808" w:rsidRPr="009D5EE9">
        <w:t>222</w:t>
      </w:r>
      <w:bookmarkEnd w:id="0"/>
    </w:p>
    <w:p w14:paraId="77474FEE" w14:textId="593AECF1" w:rsidR="00E101C6" w:rsidRPr="009D5EE9" w:rsidRDefault="008F35A3" w:rsidP="00E101C6">
      <w:pPr>
        <w:pStyle w:val="ATHeading2"/>
      </w:pPr>
      <w:bookmarkStart w:id="1" w:name="title"/>
      <w:r w:rsidRPr="009D5EE9">
        <w:t>G</w:t>
      </w:r>
      <w:r w:rsidR="00E101C6" w:rsidRPr="009D5EE9">
        <w:t>eneetiliselt muundatud mais DP51291</w:t>
      </w:r>
      <w:bookmarkEnd w:id="1"/>
    </w:p>
    <w:p w14:paraId="05D267EF" w14:textId="77777777" w:rsidR="00E101C6" w:rsidRPr="009D5EE9" w:rsidRDefault="00E101C6" w:rsidP="00E101C6">
      <w:pPr>
        <w:rPr>
          <w:i/>
          <w:vanish/>
        </w:rPr>
      </w:pPr>
      <w:r w:rsidRPr="009D5EE9">
        <w:rPr>
          <w:i/>
        </w:rPr>
        <w:fldChar w:fldCharType="begin"/>
      </w:r>
      <w:r w:rsidRPr="009D5EE9">
        <w:rPr>
          <w:i/>
        </w:rPr>
        <w:instrText xml:space="preserve"> TC"(</w:instrText>
      </w:r>
      <w:bookmarkStart w:id="2" w:name="DocNumber"/>
      <w:r w:rsidRPr="009D5EE9">
        <w:rPr>
          <w:i/>
        </w:rPr>
        <w:instrText>B10-0407/2025</w:instrText>
      </w:r>
      <w:bookmarkEnd w:id="2"/>
      <w:r w:rsidRPr="009D5EE9">
        <w:rPr>
          <w:i/>
        </w:rPr>
        <w:instrText xml:space="preserve">)"\l3 \n&gt; \* MERGEFORMAT </w:instrText>
      </w:r>
      <w:r w:rsidRPr="009D5EE9">
        <w:rPr>
          <w:i/>
        </w:rPr>
        <w:fldChar w:fldCharType="end"/>
      </w:r>
    </w:p>
    <w:p w14:paraId="73E9E2B6" w14:textId="77777777" w:rsidR="00E101C6" w:rsidRPr="009D5EE9" w:rsidRDefault="00E101C6" w:rsidP="00E101C6">
      <w:pPr>
        <w:rPr>
          <w:vanish/>
        </w:rPr>
      </w:pPr>
      <w:bookmarkStart w:id="3" w:name="PE"/>
      <w:r w:rsidRPr="009D5EE9">
        <w:rPr>
          <w:vanish/>
        </w:rPr>
        <w:t>PE775.588</w:t>
      </w:r>
      <w:bookmarkEnd w:id="3"/>
    </w:p>
    <w:p w14:paraId="3B6ACBDA" w14:textId="7F6AFECA" w:rsidR="00E101C6" w:rsidRPr="009D5EE9" w:rsidRDefault="00E101C6" w:rsidP="008F35A3">
      <w:pPr>
        <w:pStyle w:val="ATHeading3"/>
      </w:pPr>
      <w:bookmarkStart w:id="4" w:name="Sujet"/>
      <w:r w:rsidRPr="009D5EE9">
        <w:t xml:space="preserve">Euroopa Parlamendi </w:t>
      </w:r>
      <w:r w:rsidR="008F35A3" w:rsidRPr="009D5EE9">
        <w:t>8</w:t>
      </w:r>
      <w:r w:rsidRPr="009D5EE9">
        <w:t>.</w:t>
      </w:r>
      <w:r w:rsidR="008F35A3" w:rsidRPr="009D5EE9">
        <w:t> oktoobri</w:t>
      </w:r>
      <w:r w:rsidRPr="009D5EE9">
        <w:t xml:space="preserve"> 2025.</w:t>
      </w:r>
      <w:r w:rsidR="008F35A3" w:rsidRPr="009D5EE9">
        <w:t> </w:t>
      </w:r>
      <w:r w:rsidRPr="009D5EE9">
        <w:t xml:space="preserve">aasta resolutsioon komisjoni </w:t>
      </w:r>
      <w:r w:rsidR="008F35A3" w:rsidRPr="009D5EE9">
        <w:t xml:space="preserve">22. septembri 2025. aasta </w:t>
      </w:r>
      <w:r w:rsidRPr="009D5EE9">
        <w:t>rakendusotsuse</w:t>
      </w:r>
      <w:r w:rsidR="008F35A3" w:rsidRPr="009D5EE9">
        <w:t xml:space="preserve"> (EL) 2025/1898</w:t>
      </w:r>
      <w:r w:rsidRPr="009D5EE9">
        <w:t xml:space="preserve"> kohta, millega lubatakse turule lasta geneetiliselt muundatud maisi DP51291 sisaldavaid, sellest koosnevaid või sellest valmistatud tooteid vastavalt Euroopa Parlamendi ja nõukogu määrusele (EÜ) nr 1829/2003</w:t>
      </w:r>
      <w:bookmarkEnd w:id="4"/>
      <w:r w:rsidRPr="009D5EE9">
        <w:t xml:space="preserve"> </w:t>
      </w:r>
      <w:bookmarkStart w:id="5" w:name="References"/>
      <w:r w:rsidRPr="009D5EE9">
        <w:t>(2025/2807(RSP))</w:t>
      </w:r>
      <w:bookmarkEnd w:id="5"/>
    </w:p>
    <w:p w14:paraId="63946F7B" w14:textId="77777777" w:rsidR="00092622" w:rsidRPr="009D5EE9" w:rsidRDefault="00092622" w:rsidP="00092622">
      <w:pPr>
        <w:pStyle w:val="EPComma"/>
        <w:jc w:val="both"/>
      </w:pPr>
      <w:bookmarkStart w:id="6" w:name="TextBodyBegin"/>
      <w:bookmarkEnd w:id="6"/>
      <w:r w:rsidRPr="009D5EE9">
        <w:rPr>
          <w:i/>
          <w:iCs/>
        </w:rPr>
        <w:t>Euroopa Parlament</w:t>
      </w:r>
      <w:r w:rsidRPr="009D5EE9">
        <w:t>,</w:t>
      </w:r>
    </w:p>
    <w:p w14:paraId="50859D8C" w14:textId="7891284C" w:rsidR="00092622" w:rsidRPr="009D5EE9" w:rsidRDefault="00092622" w:rsidP="00092622">
      <w:pPr>
        <w:pStyle w:val="NormalHanging12a"/>
        <w:widowControl/>
        <w:rPr>
          <w:szCs w:val="24"/>
        </w:rPr>
      </w:pPr>
      <w:r w:rsidRPr="009D5EE9">
        <w:t>–</w:t>
      </w:r>
      <w:r w:rsidRPr="009D5EE9">
        <w:tab/>
        <w:t xml:space="preserve">võttes arvesse komisjoni </w:t>
      </w:r>
      <w:r w:rsidR="008F35A3" w:rsidRPr="009D5EE9">
        <w:t xml:space="preserve">22. septembri 2025. aasta </w:t>
      </w:r>
      <w:r w:rsidRPr="009D5EE9">
        <w:t>rakendusotsus</w:t>
      </w:r>
      <w:r w:rsidR="008F35A3" w:rsidRPr="009D5EE9">
        <w:t>t (EL) 2025/1898</w:t>
      </w:r>
      <w:r w:rsidRPr="009D5EE9">
        <w:t>, millega lubatakse turule lasta geneetiliselt muundatud maisi DP51291 sisaldavaid, sellest koosnevaid või sellest toodetud tooteid vastavalt Euroopa Parlamendi ja nõukogu määrusele (EÜ) nr 1829/2003</w:t>
      </w:r>
      <w:r w:rsidR="008F35A3" w:rsidRPr="009D5EE9">
        <w:rPr>
          <w:rStyle w:val="FootnoteReference"/>
        </w:rPr>
        <w:footnoteReference w:id="1"/>
      </w:r>
      <w:r w:rsidRPr="009D5EE9">
        <w:t>,</w:t>
      </w:r>
    </w:p>
    <w:p w14:paraId="30F9D1DC" w14:textId="77777777" w:rsidR="00092622" w:rsidRPr="009D5EE9" w:rsidRDefault="00092622" w:rsidP="00092622">
      <w:pPr>
        <w:pStyle w:val="NormalHanging12a"/>
        <w:widowControl/>
        <w:rPr>
          <w:szCs w:val="24"/>
        </w:rPr>
      </w:pPr>
      <w:r w:rsidRPr="009D5EE9">
        <w:t>–</w:t>
      </w:r>
      <w:r w:rsidRPr="009D5EE9">
        <w:tab/>
        <w:t>võttes arvesse Euroopa Parlamendi ja nõukogu 22. septembri 2003. aasta määrust (EÜ) nr 1829/2003 geneetiliselt muundatud toidu ja sööda kohta</w:t>
      </w:r>
      <w:r w:rsidRPr="009D5EE9">
        <w:rPr>
          <w:rStyle w:val="FootnoteReference"/>
          <w:szCs w:val="24"/>
        </w:rPr>
        <w:footnoteReference w:id="2"/>
      </w:r>
      <w:r w:rsidRPr="009D5EE9">
        <w:t>, eriti selle artikli 7 lõiget 3 ja artikli 19 lõiget 3,</w:t>
      </w:r>
    </w:p>
    <w:p w14:paraId="7AF4C221" w14:textId="77777777" w:rsidR="00092622" w:rsidRPr="009D5EE9" w:rsidRDefault="00092622" w:rsidP="00092622">
      <w:pPr>
        <w:pStyle w:val="NormalHanging12a"/>
        <w:widowControl/>
        <w:rPr>
          <w:szCs w:val="24"/>
        </w:rPr>
      </w:pPr>
      <w:r w:rsidRPr="009D5EE9">
        <w:t>–</w:t>
      </w:r>
      <w:r w:rsidRPr="009D5EE9">
        <w:tab/>
        <w:t>võttes arvesse määruse (EÜ) nr 1829/2003 artiklis 35 osutatud alalises taime-, looma-, toidu- ja söödakomitees 13. juunil 2025 toimunud hääletust, mille tulemusel arvamust ei esitatud, ning 15. juulil 2025 apellatsioonikomitees toimunud hääletust, mille tulemusel samuti arvamust ei esitatud,</w:t>
      </w:r>
    </w:p>
    <w:p w14:paraId="1AC86AB2" w14:textId="77777777" w:rsidR="00092622" w:rsidRPr="009D5EE9" w:rsidRDefault="00092622" w:rsidP="00092622">
      <w:pPr>
        <w:pStyle w:val="NormalHanging12a"/>
        <w:widowControl/>
        <w:rPr>
          <w:szCs w:val="24"/>
        </w:rPr>
      </w:pPr>
      <w:r w:rsidRPr="009D5EE9">
        <w:t>–</w:t>
      </w:r>
      <w:r w:rsidRPr="009D5EE9">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w:t>
      </w:r>
      <w:r w:rsidRPr="009D5EE9">
        <w:rPr>
          <w:rStyle w:val="FootnoteReference"/>
          <w:szCs w:val="24"/>
        </w:rPr>
        <w:footnoteReference w:id="3"/>
      </w:r>
      <w:r w:rsidRPr="009D5EE9">
        <w:t xml:space="preserve"> artiklit 11,</w:t>
      </w:r>
    </w:p>
    <w:p w14:paraId="15B1E823" w14:textId="77777777" w:rsidR="00092622" w:rsidRPr="009D5EE9" w:rsidRDefault="00092622" w:rsidP="00092622">
      <w:pPr>
        <w:pStyle w:val="NormalHanging12a"/>
        <w:widowControl/>
        <w:rPr>
          <w:szCs w:val="24"/>
        </w:rPr>
      </w:pPr>
      <w:r w:rsidRPr="009D5EE9">
        <w:t>–</w:t>
      </w:r>
      <w:r w:rsidRPr="009D5EE9">
        <w:tab/>
        <w:t>võttes arvesse Euroopa Toiduohutusameti (EFSA) 2. oktoobril 2024. aastal vastu võetud ja 11. novembril 2024. aastal avaldatud arvamust</w:t>
      </w:r>
      <w:r w:rsidRPr="009D5EE9">
        <w:rPr>
          <w:rStyle w:val="FootnoteReference"/>
          <w:szCs w:val="24"/>
        </w:rPr>
        <w:footnoteReference w:id="4"/>
      </w:r>
      <w:r w:rsidRPr="009D5EE9">
        <w:t>,</w:t>
      </w:r>
    </w:p>
    <w:p w14:paraId="65234667" w14:textId="77777777" w:rsidR="00092622" w:rsidRPr="009D5EE9" w:rsidRDefault="00092622" w:rsidP="00092622">
      <w:pPr>
        <w:pStyle w:val="NormalHanging12a"/>
        <w:widowControl/>
        <w:rPr>
          <w:szCs w:val="24"/>
          <w:shd w:val="clear" w:color="auto" w:fill="FFFFFF"/>
        </w:rPr>
      </w:pPr>
      <w:r w:rsidRPr="009D5EE9">
        <w:lastRenderedPageBreak/>
        <w:t>–</w:t>
      </w:r>
      <w:r w:rsidRPr="009D5EE9">
        <w:tab/>
      </w:r>
      <w:r w:rsidRPr="009D5EE9">
        <w:rPr>
          <w:shd w:val="clear" w:color="auto" w:fill="FFFFFF"/>
        </w:rPr>
        <w:t>võttes arvesse oma varasemaid resolutsioone, milles esitatakse vastuväiteid geneetiliselt muundatud organismide (</w:t>
      </w:r>
      <w:proofErr w:type="spellStart"/>
      <w:r w:rsidRPr="009D5EE9">
        <w:rPr>
          <w:shd w:val="clear" w:color="auto" w:fill="FFFFFF"/>
        </w:rPr>
        <w:t>GMOd</w:t>
      </w:r>
      <w:proofErr w:type="spellEnd"/>
      <w:r w:rsidRPr="009D5EE9">
        <w:rPr>
          <w:shd w:val="clear" w:color="auto" w:fill="FFFFFF"/>
        </w:rPr>
        <w:t>) kasutamiseks lubade andmisele</w:t>
      </w:r>
      <w:r w:rsidRPr="009D5EE9">
        <w:rPr>
          <w:rStyle w:val="FootnoteReference"/>
          <w:szCs w:val="24"/>
          <w:shd w:val="clear" w:color="auto" w:fill="FFFFFF"/>
        </w:rPr>
        <w:footnoteReference w:id="5"/>
      </w:r>
      <w:r w:rsidRPr="009D5EE9">
        <w:rPr>
          <w:shd w:val="clear" w:color="auto" w:fill="FFFFFF"/>
        </w:rPr>
        <w:t>,</w:t>
      </w:r>
    </w:p>
    <w:p w14:paraId="1550C665" w14:textId="77777777" w:rsidR="00092622" w:rsidRPr="009D5EE9" w:rsidRDefault="00092622" w:rsidP="00092622">
      <w:pPr>
        <w:pStyle w:val="NormalHanging12a"/>
        <w:widowControl/>
        <w:rPr>
          <w:szCs w:val="24"/>
        </w:rPr>
      </w:pPr>
      <w:r w:rsidRPr="009D5EE9">
        <w:lastRenderedPageBreak/>
        <w:t>–</w:t>
      </w:r>
      <w:r w:rsidRPr="009D5EE9">
        <w:tab/>
        <w:t>võttes arvesse kodukorra artikli 115 lõikeid 2 ja 3,</w:t>
      </w:r>
    </w:p>
    <w:p w14:paraId="56D7D686" w14:textId="77777777" w:rsidR="00092622" w:rsidRPr="009D5EE9" w:rsidRDefault="00092622" w:rsidP="00092622">
      <w:pPr>
        <w:pStyle w:val="NormalHanging12a"/>
        <w:widowControl/>
        <w:rPr>
          <w:szCs w:val="24"/>
        </w:rPr>
      </w:pPr>
      <w:r w:rsidRPr="009D5EE9">
        <w:t>–</w:t>
      </w:r>
      <w:r w:rsidRPr="009D5EE9">
        <w:tab/>
        <w:t>võttes arvesse keskkonna-, kliima- ja toiduohutuse komisjoni resolutsiooni ettepanekut,</w:t>
      </w:r>
    </w:p>
    <w:p w14:paraId="314DB79C" w14:textId="77777777" w:rsidR="00092622" w:rsidRPr="009D5EE9" w:rsidRDefault="00092622" w:rsidP="00092622">
      <w:pPr>
        <w:pStyle w:val="NormalHanging12a"/>
        <w:widowControl/>
        <w:rPr>
          <w:szCs w:val="24"/>
        </w:rPr>
      </w:pPr>
      <w:r w:rsidRPr="009D5EE9">
        <w:t>A.</w:t>
      </w:r>
      <w:r w:rsidRPr="009D5EE9">
        <w:tab/>
        <w:t xml:space="preserve">arvestades, et 27. jaanuaril 2023 esitas Belgias asuv äriühing </w:t>
      </w:r>
      <w:proofErr w:type="spellStart"/>
      <w:r w:rsidRPr="009D5EE9">
        <w:t>Corteva</w:t>
      </w:r>
      <w:proofErr w:type="spellEnd"/>
      <w:r w:rsidRPr="009D5EE9">
        <w:t xml:space="preserve"> </w:t>
      </w:r>
      <w:proofErr w:type="spellStart"/>
      <w:r w:rsidRPr="009D5EE9">
        <w:t>Agriscience</w:t>
      </w:r>
      <w:proofErr w:type="spellEnd"/>
      <w:r w:rsidRPr="009D5EE9">
        <w:t xml:space="preserve"> </w:t>
      </w:r>
      <w:proofErr w:type="spellStart"/>
      <w:r w:rsidRPr="009D5EE9">
        <w:t>Belgium</w:t>
      </w:r>
      <w:proofErr w:type="spellEnd"/>
      <w:r w:rsidRPr="009D5EE9">
        <w:t xml:space="preserve"> B.V. Ameerika Ühendriikides asuva äriühingu </w:t>
      </w:r>
      <w:proofErr w:type="spellStart"/>
      <w:r w:rsidRPr="009D5EE9">
        <w:t>Corteva</w:t>
      </w:r>
      <w:proofErr w:type="spellEnd"/>
      <w:r w:rsidRPr="009D5EE9">
        <w:t xml:space="preserve"> </w:t>
      </w:r>
      <w:proofErr w:type="spellStart"/>
      <w:r w:rsidRPr="009D5EE9">
        <w:t>Agriscience</w:t>
      </w:r>
      <w:proofErr w:type="spellEnd"/>
      <w:r w:rsidRPr="009D5EE9">
        <w:t xml:space="preserve"> LLC nimel Madalmaade pädevale asutusele taotluse geneetiliselt muundatud maisi DP51291 (edaspidi „geneetiliselt muundatud mais“) sisaldavate, sellest koosnevate või sellest toodetud toidu, toidu koostisosade ja sööda turule laskmiseks;</w:t>
      </w:r>
    </w:p>
    <w:p w14:paraId="0D89A8DA" w14:textId="77777777" w:rsidR="00092622" w:rsidRPr="009D5EE9" w:rsidRDefault="00092622" w:rsidP="00092622">
      <w:pPr>
        <w:pStyle w:val="NormalHanging12a"/>
        <w:widowControl/>
        <w:rPr>
          <w:szCs w:val="24"/>
        </w:rPr>
      </w:pPr>
      <w:r w:rsidRPr="009D5EE9">
        <w:t>B.</w:t>
      </w:r>
      <w:r w:rsidRPr="009D5EE9">
        <w:tab/>
        <w:t xml:space="preserve">arvestades, et geneetiliselt muundatud mais toodab toksiini IPD072Aa, mis kaitseb maisi juureussi eest, </w:t>
      </w:r>
      <w:proofErr w:type="spellStart"/>
      <w:r w:rsidRPr="009D5EE9">
        <w:t>fosfinotritsiinatsetüültransferaasi</w:t>
      </w:r>
      <w:proofErr w:type="spellEnd"/>
      <w:r w:rsidRPr="009D5EE9">
        <w:t xml:space="preserve"> (PAT) valku, mis annab vastupidavuse </w:t>
      </w:r>
      <w:proofErr w:type="spellStart"/>
      <w:r w:rsidRPr="009D5EE9">
        <w:t>glufosinaati</w:t>
      </w:r>
      <w:proofErr w:type="spellEnd"/>
      <w:r w:rsidRPr="009D5EE9">
        <w:t xml:space="preserve"> sisaldavate herbitsiidide suhtes ja PMI-valku kui valitavat markerit;</w:t>
      </w:r>
    </w:p>
    <w:p w14:paraId="751F6A1D" w14:textId="77777777" w:rsidR="00092622" w:rsidRPr="009D5EE9" w:rsidRDefault="00092622" w:rsidP="00092622">
      <w:pPr>
        <w:pStyle w:val="NormalHanging12a"/>
        <w:widowControl/>
        <w:rPr>
          <w:szCs w:val="24"/>
        </w:rPr>
      </w:pPr>
      <w:r w:rsidRPr="009D5EE9">
        <w:t>C.</w:t>
      </w:r>
      <w:r w:rsidRPr="009D5EE9">
        <w:tab/>
        <w:t xml:space="preserve">arvestades, et </w:t>
      </w:r>
      <w:proofErr w:type="spellStart"/>
      <w:r w:rsidRPr="009D5EE9">
        <w:t>glufosinaat</w:t>
      </w:r>
      <w:proofErr w:type="spellEnd"/>
      <w:r w:rsidRPr="009D5EE9">
        <w:t>, mida käsitatakse täiendava herbitsiidina, on klassifitseeritud 1B kategooria reproduktiivtoksiliseks aineks ja seetõttu kehtivad selle suhtes Euroopa Parlamendi ja nõukogu määruses (EÜ) nr 1107/2009</w:t>
      </w:r>
      <w:r w:rsidRPr="009D5EE9">
        <w:rPr>
          <w:rStyle w:val="FootnoteReference"/>
          <w:szCs w:val="24"/>
        </w:rPr>
        <w:footnoteReference w:id="6"/>
      </w:r>
      <w:r w:rsidRPr="009D5EE9">
        <w:t xml:space="preserve"> sätestatud piirkriteeriumid; arvestades, et </w:t>
      </w:r>
      <w:proofErr w:type="spellStart"/>
      <w:r w:rsidRPr="009D5EE9">
        <w:t>glufosinaat</w:t>
      </w:r>
      <w:proofErr w:type="spellEnd"/>
      <w:r w:rsidRPr="009D5EE9">
        <w:t xml:space="preserve"> oli liidus kasutamiseks heaks kiidetud ajavahemikuks, mis lõppes 31. juulil 2018;</w:t>
      </w:r>
    </w:p>
    <w:p w14:paraId="5136E035" w14:textId="0A4550AC" w:rsidR="00092622" w:rsidRPr="009D5EE9" w:rsidRDefault="00092622" w:rsidP="00092622">
      <w:pPr>
        <w:pStyle w:val="NormalHanging12a"/>
        <w:widowControl/>
        <w:rPr>
          <w:szCs w:val="24"/>
        </w:rPr>
      </w:pPr>
      <w:r w:rsidRPr="009D5EE9">
        <w:t>D.</w:t>
      </w:r>
      <w:r w:rsidRPr="009D5EE9">
        <w:tab/>
        <w:t xml:space="preserve">arvestades, et IPD072Aa on </w:t>
      </w:r>
      <w:proofErr w:type="spellStart"/>
      <w:r w:rsidRPr="009D5EE9">
        <w:t>insektitsiidne</w:t>
      </w:r>
      <w:proofErr w:type="spellEnd"/>
      <w:r w:rsidRPr="009D5EE9">
        <w:t xml:space="preserve"> toksiin, mis on toodetud bakteri </w:t>
      </w:r>
      <w:proofErr w:type="spellStart"/>
      <w:r w:rsidRPr="009D5EE9">
        <w:rPr>
          <w:i/>
          <w:iCs/>
        </w:rPr>
        <w:t>Pseudomonas</w:t>
      </w:r>
      <w:proofErr w:type="spellEnd"/>
      <w:r w:rsidRPr="009D5EE9">
        <w:rPr>
          <w:i/>
          <w:iCs/>
        </w:rPr>
        <w:t xml:space="preserve"> </w:t>
      </w:r>
      <w:proofErr w:type="spellStart"/>
      <w:r w:rsidRPr="009D5EE9">
        <w:rPr>
          <w:i/>
          <w:iCs/>
        </w:rPr>
        <w:t>chlororaphis</w:t>
      </w:r>
      <w:proofErr w:type="spellEnd"/>
      <w:r w:rsidRPr="009D5EE9">
        <w:t xml:space="preserve"> abil ja mille kavandatud eesmärk on võidelda maisi juureussi vastu;</w:t>
      </w:r>
    </w:p>
    <w:p w14:paraId="41442CE4" w14:textId="77777777" w:rsidR="00092622" w:rsidRPr="009D5EE9" w:rsidRDefault="00092622" w:rsidP="00092622">
      <w:pPr>
        <w:pStyle w:val="NormalHanging12a"/>
        <w:widowControl/>
        <w:rPr>
          <w:b/>
          <w:i/>
          <w:iCs/>
          <w:szCs w:val="24"/>
        </w:rPr>
      </w:pPr>
      <w:r w:rsidRPr="009D5EE9">
        <w:rPr>
          <w:b/>
          <w:i/>
        </w:rPr>
        <w:t>Kompleksne geenitehnoloogia</w:t>
      </w:r>
    </w:p>
    <w:p w14:paraId="6F7B0649" w14:textId="77777777" w:rsidR="00092622" w:rsidRPr="009D5EE9" w:rsidRDefault="00092622" w:rsidP="00092622">
      <w:pPr>
        <w:pStyle w:val="NormalHanging12a"/>
        <w:widowControl/>
        <w:rPr>
          <w:szCs w:val="24"/>
        </w:rPr>
      </w:pPr>
      <w:r w:rsidRPr="009D5EE9">
        <w:t>E.</w:t>
      </w:r>
      <w:r w:rsidRPr="009D5EE9">
        <w:tab/>
        <w:t xml:space="preserve">arvestades, et mais DP51291 töötati välja kompleksse ja </w:t>
      </w:r>
      <w:proofErr w:type="spellStart"/>
      <w:r w:rsidRPr="009D5EE9">
        <w:t>mitmeastmelise</w:t>
      </w:r>
      <w:proofErr w:type="spellEnd"/>
      <w:r w:rsidRPr="009D5EE9">
        <w:t xml:space="preserve"> geenitehnoloogia abil, mis hõlmas </w:t>
      </w:r>
      <w:proofErr w:type="spellStart"/>
      <w:r w:rsidRPr="009D5EE9">
        <w:t>genoomilise</w:t>
      </w:r>
      <w:proofErr w:type="spellEnd"/>
      <w:r w:rsidRPr="009D5EE9">
        <w:t xml:space="preserve"> n-ö maandumispinna loomist, millele järgnes mikroraketiga pommitamine viie </w:t>
      </w:r>
      <w:proofErr w:type="spellStart"/>
      <w:r w:rsidRPr="009D5EE9">
        <w:t>plasmiidi</w:t>
      </w:r>
      <w:proofErr w:type="spellEnd"/>
      <w:r w:rsidRPr="009D5EE9">
        <w:t xml:space="preserve"> abil ning seejärel </w:t>
      </w:r>
      <w:proofErr w:type="spellStart"/>
      <w:r w:rsidRPr="009D5EE9">
        <w:rPr>
          <w:i/>
          <w:iCs/>
        </w:rPr>
        <w:t>Agrobacterium</w:t>
      </w:r>
      <w:proofErr w:type="spellEnd"/>
      <w:r w:rsidRPr="009D5EE9">
        <w:rPr>
          <w:i/>
          <w:iCs/>
        </w:rPr>
        <w:t xml:space="preserve"> </w:t>
      </w:r>
      <w:proofErr w:type="spellStart"/>
      <w:r w:rsidRPr="009D5EE9">
        <w:rPr>
          <w:i/>
          <w:iCs/>
        </w:rPr>
        <w:t>tumefaciens</w:t>
      </w:r>
      <w:r w:rsidRPr="009D5EE9">
        <w:t>`i</w:t>
      </w:r>
      <w:proofErr w:type="spellEnd"/>
      <w:r w:rsidRPr="009D5EE9">
        <w:t xml:space="preserve"> vahendatud ekspressioonikassettide sisestamine maandumispinnale;</w:t>
      </w:r>
    </w:p>
    <w:p w14:paraId="5DAD0818" w14:textId="0677E65F" w:rsidR="00092622" w:rsidRPr="009D5EE9" w:rsidRDefault="00092622" w:rsidP="00092622">
      <w:pPr>
        <w:pStyle w:val="NormalHanging12a"/>
        <w:widowControl/>
        <w:rPr>
          <w:szCs w:val="24"/>
        </w:rPr>
      </w:pPr>
      <w:r w:rsidRPr="009D5EE9">
        <w:lastRenderedPageBreak/>
        <w:t>F.</w:t>
      </w:r>
      <w:r w:rsidRPr="009D5EE9">
        <w:tab/>
        <w:t xml:space="preserve">arvestades, et see geneetilise muundamise protsess tõi kaasa 113 maisi genoomse DNA baaspaari eemaldamise, mis ilmnes </w:t>
      </w:r>
      <w:proofErr w:type="spellStart"/>
      <w:r w:rsidRPr="009D5EE9">
        <w:t>bioinformaatika</w:t>
      </w:r>
      <w:proofErr w:type="spellEnd"/>
      <w:r w:rsidRPr="009D5EE9">
        <w:t xml:space="preserve"> analüüsist, ning selle tulemusena tekkis mitu uudset avatud lugemisraami, mis osutavad muundamismenetlusest tulenevatele võimalikele </w:t>
      </w:r>
      <w:proofErr w:type="spellStart"/>
      <w:r w:rsidRPr="009D5EE9">
        <w:t>genoomilistele</w:t>
      </w:r>
      <w:proofErr w:type="spellEnd"/>
      <w:r w:rsidRPr="009D5EE9">
        <w:t xml:space="preserve"> häiretele; arvestades, et viiel neist avatud lugemisraamist oli tuntud allergeenide järjestus üle 35 %, mis ületas </w:t>
      </w:r>
      <w:proofErr w:type="spellStart"/>
      <w:r w:rsidRPr="009D5EE9">
        <w:t>allergeensuse</w:t>
      </w:r>
      <w:proofErr w:type="spellEnd"/>
      <w:r w:rsidRPr="009D5EE9">
        <w:t xml:space="preserve"> hindamisel tavaliselt kasutatavat künnist</w:t>
      </w:r>
      <w:r w:rsidRPr="009D5EE9">
        <w:rPr>
          <w:rStyle w:val="FootnoteReference"/>
          <w:szCs w:val="24"/>
        </w:rPr>
        <w:footnoteReference w:id="7"/>
      </w:r>
      <w:r w:rsidRPr="009D5EE9">
        <w:t>;</w:t>
      </w:r>
    </w:p>
    <w:p w14:paraId="521C5802" w14:textId="77777777" w:rsidR="00092622" w:rsidRPr="009D5EE9" w:rsidRDefault="00092622" w:rsidP="00092622">
      <w:pPr>
        <w:pStyle w:val="NormalHanging12a"/>
        <w:widowControl/>
        <w:rPr>
          <w:b/>
          <w:i/>
          <w:iCs/>
          <w:szCs w:val="24"/>
        </w:rPr>
      </w:pPr>
      <w:r w:rsidRPr="009D5EE9">
        <w:rPr>
          <w:b/>
          <w:i/>
        </w:rPr>
        <w:t>Põllumajandustavasid ja keskkonnategureid käsitlevate andmete puudumine</w:t>
      </w:r>
    </w:p>
    <w:p w14:paraId="24693605" w14:textId="77777777" w:rsidR="00092622" w:rsidRPr="009D5EE9" w:rsidRDefault="00092622" w:rsidP="00092622">
      <w:pPr>
        <w:pStyle w:val="NormalHanging12a"/>
        <w:widowControl/>
        <w:rPr>
          <w:szCs w:val="24"/>
        </w:rPr>
      </w:pPr>
      <w:r w:rsidRPr="009D5EE9">
        <w:t>G.</w:t>
      </w:r>
      <w:r w:rsidRPr="009D5EE9">
        <w:tab/>
        <w:t>arvestades, et komisjoni rakendusmääruse (EL) nr 503/2013</w:t>
      </w:r>
      <w:r w:rsidRPr="009D5EE9">
        <w:rPr>
          <w:rStyle w:val="FootnoteReference"/>
          <w:szCs w:val="24"/>
        </w:rPr>
        <w:footnoteReference w:id="8"/>
      </w:r>
      <w:r w:rsidRPr="009D5EE9">
        <w:t xml:space="preserve"> kohaselt tuleb hinnata, kas eeldatavad põllumajandustavad mõjutavad uuritud lõpp-produktide tulemust; arvestades, et rakendusmääruse kohaselt on see eriti oluline herbitsiiditolerantsete taimede puhul;</w:t>
      </w:r>
    </w:p>
    <w:p w14:paraId="734A29DE" w14:textId="40CD773F" w:rsidR="00092622" w:rsidRPr="009D5EE9" w:rsidRDefault="00092622" w:rsidP="00092622">
      <w:pPr>
        <w:pStyle w:val="NormalHanging12a"/>
        <w:widowControl/>
        <w:rPr>
          <w:szCs w:val="24"/>
        </w:rPr>
      </w:pPr>
      <w:r w:rsidRPr="009D5EE9">
        <w:t>H.</w:t>
      </w:r>
      <w:r w:rsidRPr="009D5EE9">
        <w:tab/>
        <w:t>arvestades, et keskkonna stressitegurid, nagu põud või äärmuslikud temperatuurid, võivad uutes DNA järjestustes põhjustada ootamatuid geenide avaldumise mustreid</w:t>
      </w:r>
      <w:r w:rsidRPr="009D5EE9">
        <w:rPr>
          <w:rStyle w:val="FootnoteReference"/>
          <w:szCs w:val="24"/>
        </w:rPr>
        <w:footnoteReference w:id="9"/>
      </w:r>
      <w:r w:rsidRPr="009D5EE9">
        <w:t>;</w:t>
      </w:r>
    </w:p>
    <w:p w14:paraId="7F35117F" w14:textId="77777777" w:rsidR="00092622" w:rsidRPr="009D5EE9" w:rsidRDefault="00092622" w:rsidP="00092622">
      <w:pPr>
        <w:pStyle w:val="NormalHanging12a"/>
        <w:widowControl/>
        <w:rPr>
          <w:szCs w:val="24"/>
        </w:rPr>
      </w:pPr>
      <w:r w:rsidRPr="009D5EE9">
        <w:t>I.</w:t>
      </w:r>
      <w:r w:rsidRPr="009D5EE9">
        <w:tab/>
        <w:t xml:space="preserve">arvestades, et geneetiliselt muundatud maisi koostise ja </w:t>
      </w:r>
      <w:proofErr w:type="spellStart"/>
      <w:r w:rsidRPr="009D5EE9">
        <w:t>fenotüübilise</w:t>
      </w:r>
      <w:proofErr w:type="spellEnd"/>
      <w:r w:rsidRPr="009D5EE9">
        <w:t xml:space="preserve"> analüüsi toetamiseks kasutatud välikatsed viidi läbi ühel kasvuperioodil (2021. aastal) Ameerika Ühendriikides ja Kanadas ilmastikutingimustes, mis ei kajasta piisavalt maisikasvatuspiirkondade mitmekesisust, eelkõige sellistes riikides nagu Brasiilia;</w:t>
      </w:r>
    </w:p>
    <w:p w14:paraId="31ED2C0D" w14:textId="77777777" w:rsidR="00092622" w:rsidRPr="009D5EE9" w:rsidRDefault="00092622" w:rsidP="00092622">
      <w:pPr>
        <w:pStyle w:val="NormalHanging12a"/>
        <w:widowControl/>
        <w:rPr>
          <w:szCs w:val="24"/>
        </w:rPr>
      </w:pPr>
      <w:r w:rsidRPr="009D5EE9">
        <w:t>J.</w:t>
      </w:r>
      <w:r w:rsidRPr="009D5EE9">
        <w:tab/>
        <w:t>arvestades, et mõnes katsekohas teatati äärmuslikest ilmastikunähtustest; arvestades, et käimasolevatest kliimamuutustest mõjutatud tulevaste tingimuste hindamiseks ei ole läbi viidud eriuurimisi;</w:t>
      </w:r>
    </w:p>
    <w:p w14:paraId="72BFAC63" w14:textId="77777777" w:rsidR="00092622" w:rsidRPr="009D5EE9" w:rsidRDefault="00092622" w:rsidP="00092622">
      <w:pPr>
        <w:pStyle w:val="NormalHanging12a"/>
        <w:widowControl/>
        <w:rPr>
          <w:szCs w:val="24"/>
        </w:rPr>
      </w:pPr>
      <w:r w:rsidRPr="009D5EE9">
        <w:t>K.</w:t>
      </w:r>
      <w:r w:rsidRPr="009D5EE9">
        <w:tab/>
        <w:t xml:space="preserve">arvestades, et vastavalt EFSA soovitustele külvati </w:t>
      </w:r>
      <w:proofErr w:type="spellStart"/>
      <w:r w:rsidRPr="009D5EE9">
        <w:t>glufosinaati</w:t>
      </w:r>
      <w:proofErr w:type="spellEnd"/>
      <w:r w:rsidRPr="009D5EE9">
        <w:t xml:space="preserve"> välikatsete ajal ainult üks kord; arvestades, et tegelikes põllumajandustavades on herbitsiidide kasutamise määrad ja sagedus sageli piirkonniti väga erinevad ning võivad hõlmata suuremat või korduvat kasutamist, mis tähendab, et välikatsete andmed ei pruugi piisavalt kajastada kõiki keskkonna- ja põllumajandustingimusi, milles geneetiliselt muundatud maisi tõenäoliselt kasvatatakse või imporditakse;</w:t>
      </w:r>
    </w:p>
    <w:p w14:paraId="3E453E9C" w14:textId="25647039" w:rsidR="00092622" w:rsidRPr="009D5EE9" w:rsidRDefault="00092622" w:rsidP="00092622">
      <w:pPr>
        <w:pStyle w:val="NormalHanging12a"/>
        <w:widowControl/>
        <w:rPr>
          <w:b/>
          <w:i/>
          <w:iCs/>
          <w:szCs w:val="24"/>
        </w:rPr>
      </w:pPr>
      <w:proofErr w:type="spellStart"/>
      <w:r w:rsidRPr="009D5EE9">
        <w:rPr>
          <w:b/>
          <w:i/>
        </w:rPr>
        <w:t>Glufosinaadi</w:t>
      </w:r>
      <w:proofErr w:type="spellEnd"/>
      <w:r w:rsidRPr="009D5EE9">
        <w:rPr>
          <w:b/>
          <w:i/>
        </w:rPr>
        <w:t xml:space="preserve"> hindamise puudumine</w:t>
      </w:r>
    </w:p>
    <w:p w14:paraId="017FCF33" w14:textId="77777777" w:rsidR="00092622" w:rsidRPr="009D5EE9" w:rsidRDefault="00092622" w:rsidP="00092622">
      <w:pPr>
        <w:pStyle w:val="NormalHanging12a"/>
        <w:widowControl/>
        <w:rPr>
          <w:szCs w:val="24"/>
        </w:rPr>
      </w:pPr>
      <w:r w:rsidRPr="009D5EE9">
        <w:t>L.</w:t>
      </w:r>
      <w:r w:rsidRPr="009D5EE9">
        <w:tab/>
        <w:t xml:space="preserve">arvestades, et </w:t>
      </w:r>
      <w:proofErr w:type="spellStart"/>
      <w:r w:rsidRPr="009D5EE9">
        <w:t>glufosinaati</w:t>
      </w:r>
      <w:proofErr w:type="spellEnd"/>
      <w:r w:rsidRPr="009D5EE9">
        <w:t xml:space="preserve"> seostatakse märkimisväärsete ohtudega bioloogilisele mitmekesisusele, toksilisusele ja ökosüsteemi pikaajalisele tervisele;</w:t>
      </w:r>
    </w:p>
    <w:p w14:paraId="1F3C99EB" w14:textId="77777777" w:rsidR="00092622" w:rsidRPr="009D5EE9" w:rsidRDefault="00092622" w:rsidP="00092622">
      <w:pPr>
        <w:pStyle w:val="NormalHanging12a"/>
        <w:widowControl/>
        <w:rPr>
          <w:szCs w:val="24"/>
        </w:rPr>
      </w:pPr>
      <w:r w:rsidRPr="009D5EE9">
        <w:t>M.</w:t>
      </w:r>
      <w:r w:rsidRPr="009D5EE9">
        <w:tab/>
        <w:t xml:space="preserve">arvestades, et valdavat osa geneetiliselt muundatud kultuuridest on geneetiliselt muundatud nii, et need on tolerantsed vähemalt veel ühe herbitsiidi suhtes, mida saab </w:t>
      </w:r>
      <w:r w:rsidRPr="009D5EE9">
        <w:lastRenderedPageBreak/>
        <w:t>kasutada kogu geneetiliselt muundatud kultuuri kasvatamise ajal, ilma et taimed sureks, nagu juhtuks herbitsiidide suhtes mittetolerantsete kultuuride puhul; arvestades, et mitu uuringut näitab, et herbitsiiditolerantsete geneetiliselt muundatud kultuuride kasvatamise tõttu hakatakse rohkem kasutama lisaherbitsiide, seda peamiselt herbitsiiditolerantse umbrohu tekke tõttu</w:t>
      </w:r>
      <w:r w:rsidRPr="009D5EE9">
        <w:rPr>
          <w:rStyle w:val="FootnoteReference"/>
          <w:szCs w:val="24"/>
        </w:rPr>
        <w:footnoteReference w:id="10"/>
      </w:r>
      <w:r w:rsidRPr="009D5EE9">
        <w:t>;</w:t>
      </w:r>
    </w:p>
    <w:p w14:paraId="72E97D4C" w14:textId="77777777" w:rsidR="00092622" w:rsidRPr="009D5EE9" w:rsidRDefault="00092622" w:rsidP="00092622">
      <w:pPr>
        <w:pStyle w:val="NormalHanging12a"/>
        <w:widowControl/>
        <w:rPr>
          <w:szCs w:val="24"/>
        </w:rPr>
      </w:pPr>
      <w:r w:rsidRPr="009D5EE9">
        <w:t>N.</w:t>
      </w:r>
      <w:r w:rsidRPr="009D5EE9">
        <w:tab/>
        <w:t>arvestades, et herbitsiiditolerantsete geneetiliselt muundatud kultuuride puhul sõltuvad põllumajandustootjad umbrohutõrjesüsteemist, mis põhineb suures osas või täielikult herbitsiididel, nõudes neilt geneetiliselt muundatud seemnete eest lisatasu, mis on õigustatud ainult siis, kui selliseid seemneid ostvad põllumajandustootjad kasutavad ka lisaherbitsiide; arvestades, et geneetiliselt muundatud kultuure kasvatavate põllumajandusettevõtjate suurem sõltuvus lisaherbitsiididest kiirendab nende herbitsiidide suhtes resistentse umbrohu teket ja levikut ning suurendab seega veelgi vajadust herbitsiidide kasutamise järele, tekitades nõiaringi, kus nendest loobuda on keeruline;</w:t>
      </w:r>
    </w:p>
    <w:p w14:paraId="0278C968" w14:textId="77777777" w:rsidR="00092622" w:rsidRPr="009D5EE9" w:rsidRDefault="00092622" w:rsidP="00092622">
      <w:pPr>
        <w:pStyle w:val="NormalHanging12a"/>
        <w:widowControl/>
        <w:rPr>
          <w:szCs w:val="24"/>
        </w:rPr>
      </w:pPr>
      <w:r w:rsidRPr="009D5EE9">
        <w:t>O.</w:t>
      </w:r>
      <w:r w:rsidRPr="009D5EE9">
        <w:tab/>
        <w:t>arvestades, et seega suureneb herbitsiidide liigsest kasutamisest tingitud kahjulik mõju mulla seisundile, vee kvaliteedile ning maapealsele ja -alusele elurikkusele, samuti suureneb inimeste ja loomade kokkupuude nendega, võimalik et ka toidus ja söödas leiduvate herbitsiidijääkide suurenemise tõttu;</w:t>
      </w:r>
    </w:p>
    <w:p w14:paraId="6ED34F27" w14:textId="77777777" w:rsidR="00092622" w:rsidRPr="009D5EE9" w:rsidRDefault="00092622" w:rsidP="00092622">
      <w:pPr>
        <w:pStyle w:val="NormalHanging12a"/>
        <w:widowControl/>
        <w:rPr>
          <w:szCs w:val="24"/>
        </w:rPr>
      </w:pPr>
      <w:r w:rsidRPr="009D5EE9">
        <w:t>P.</w:t>
      </w:r>
      <w:r w:rsidRPr="009D5EE9">
        <w:tab/>
        <w:t xml:space="preserve">arvestades, et geneetiliselt muundatud taimede herbitsiidijääkide ja neis leitud metaboliitide hindamist ei loeta EFSA geneetiliselt muundatud organismide komisjoni (edaspidi „EFSA GMO komisjon“) pädevusse kuuluvaks ning seetõttu ei ole seda </w:t>
      </w:r>
      <w:proofErr w:type="spellStart"/>
      <w:r w:rsidRPr="009D5EE9">
        <w:t>GMOde</w:t>
      </w:r>
      <w:proofErr w:type="spellEnd"/>
      <w:r w:rsidRPr="009D5EE9">
        <w:t xml:space="preserve"> loamenetluse osana ette võetud;</w:t>
      </w:r>
    </w:p>
    <w:p w14:paraId="3B908A19" w14:textId="77777777" w:rsidR="00092622" w:rsidRPr="009D5EE9" w:rsidRDefault="00092622" w:rsidP="00092622">
      <w:pPr>
        <w:pStyle w:val="NormalHanging12a"/>
        <w:widowControl/>
        <w:rPr>
          <w:b/>
          <w:i/>
          <w:iCs/>
          <w:szCs w:val="24"/>
        </w:rPr>
      </w:pPr>
      <w:r w:rsidRPr="009D5EE9">
        <w:rPr>
          <w:b/>
          <w:i/>
        </w:rPr>
        <w:t>Lahendamata küsimused toksiini IPD072Aa kohta</w:t>
      </w:r>
    </w:p>
    <w:p w14:paraId="330EC676" w14:textId="77777777" w:rsidR="00092622" w:rsidRPr="009D5EE9" w:rsidRDefault="00092622" w:rsidP="00092622">
      <w:pPr>
        <w:pStyle w:val="NormalHanging12a"/>
        <w:widowControl/>
        <w:rPr>
          <w:szCs w:val="24"/>
        </w:rPr>
      </w:pPr>
      <w:r w:rsidRPr="009D5EE9">
        <w:t>Q.</w:t>
      </w:r>
      <w:r w:rsidRPr="009D5EE9">
        <w:tab/>
        <w:t>arvestades, et rakendusmääruses (EL) nr 503/2013 nõutakse toksikoloogilist hindamist, et tõendada, et geneetilise muundamise kavandatud mõju ei avalda kahjulikku mõju inimeste ja loomade tervisele;</w:t>
      </w:r>
    </w:p>
    <w:p w14:paraId="58E06D7D" w14:textId="70E0AEBB" w:rsidR="00092622" w:rsidRPr="009D5EE9" w:rsidRDefault="00092622" w:rsidP="00092622">
      <w:pPr>
        <w:pStyle w:val="NormalHanging12a"/>
        <w:widowControl/>
        <w:rPr>
          <w:szCs w:val="24"/>
        </w:rPr>
      </w:pPr>
      <w:r w:rsidRPr="009D5EE9">
        <w:t>R.</w:t>
      </w:r>
      <w:r w:rsidRPr="009D5EE9">
        <w:tab/>
        <w:t>arvestades, et IPD072Aa on uus valk, mis tähendab, et selle kasutamine põllumajanduses ja toiduahelasse toomine ei saa täielikult tugineda varem saadud kogemustele;</w:t>
      </w:r>
    </w:p>
    <w:p w14:paraId="34D53F55" w14:textId="77777777" w:rsidR="00092622" w:rsidRPr="009D5EE9" w:rsidRDefault="00092622" w:rsidP="00092622">
      <w:pPr>
        <w:pStyle w:val="NormalHanging12a"/>
        <w:widowControl/>
        <w:rPr>
          <w:szCs w:val="24"/>
        </w:rPr>
      </w:pPr>
      <w:r w:rsidRPr="009D5EE9">
        <w:t>S.</w:t>
      </w:r>
      <w:r w:rsidRPr="009D5EE9">
        <w:tab/>
        <w:t xml:space="preserve">arvestades, et erinevustest hoolimata näitavad IPD072Aa ja Bt-toksiinide vahelised sarnasused vajadust neid riskihindamise protsessis hoolikalt kaaluda; arvestades, et mitmed uuringud on näidanud, et Bt-toksiinid võivad põhjustada immuunsusega seotud </w:t>
      </w:r>
      <w:proofErr w:type="spellStart"/>
      <w:r w:rsidRPr="009D5EE9">
        <w:lastRenderedPageBreak/>
        <w:t>kõrvalnähte</w:t>
      </w:r>
      <w:proofErr w:type="spellEnd"/>
      <w:r w:rsidRPr="009D5EE9">
        <w:t xml:space="preserve">, sealhulgas võimalikke </w:t>
      </w:r>
      <w:proofErr w:type="spellStart"/>
      <w:r w:rsidRPr="009D5EE9">
        <w:t>adjuvandi</w:t>
      </w:r>
      <w:proofErr w:type="spellEnd"/>
      <w:r w:rsidRPr="009D5EE9">
        <w:t xml:space="preserve"> omadusi</w:t>
      </w:r>
      <w:r w:rsidRPr="009D5EE9">
        <w:rPr>
          <w:rStyle w:val="FootnoteReference"/>
          <w:szCs w:val="24"/>
        </w:rPr>
        <w:footnoteReference w:id="11"/>
      </w:r>
      <w:r w:rsidRPr="009D5EE9">
        <w:t xml:space="preserve">, mis tähendab, et need võivad suurendada teiste valkude </w:t>
      </w:r>
      <w:proofErr w:type="spellStart"/>
      <w:r w:rsidRPr="009D5EE9">
        <w:t>allergeensust</w:t>
      </w:r>
      <w:proofErr w:type="spellEnd"/>
      <w:r w:rsidRPr="009D5EE9">
        <w:t>, millega nad kokku puutuvad;</w:t>
      </w:r>
    </w:p>
    <w:p w14:paraId="73EB816F" w14:textId="77777777" w:rsidR="00092622" w:rsidRPr="009D5EE9" w:rsidRDefault="00092622" w:rsidP="00092622">
      <w:pPr>
        <w:pStyle w:val="NormalHanging12a"/>
        <w:widowControl/>
        <w:rPr>
          <w:szCs w:val="24"/>
        </w:rPr>
      </w:pPr>
      <w:r w:rsidRPr="009D5EE9">
        <w:t>T.</w:t>
      </w:r>
      <w:r w:rsidRPr="009D5EE9">
        <w:tab/>
        <w:t>arvestades, et ühes teadusuuringus leiti, et Bt-toksiinide toksilisust võib suurendada ka koostoime herbitsiidide pihustamise jääkidega ning et on vaja lisauuringuid nn mitmekordse transformatsiooni kombineeritud mõju kohta (geneetiliselt muundatud põllukultuurid, mis on muudetud herbitsiiditaluvaks ja Bt-toksiinide näol insektitsiide tekitavaks)</w:t>
      </w:r>
      <w:r w:rsidRPr="009D5EE9">
        <w:rPr>
          <w:rStyle w:val="FootnoteReference"/>
          <w:szCs w:val="24"/>
        </w:rPr>
        <w:footnoteReference w:id="12"/>
      </w:r>
      <w:r w:rsidRPr="009D5EE9">
        <w:t>; arvestades, et herbitsiidijääkide ja nende metaboliitide ning Bt-toksiinide võimaliku koostoime hindamist ei peeta siiski EFSA GMO-komisjoni pädevusse kuuluvaks ning seetõttu seda riskihindamise raames ei hinnata;</w:t>
      </w:r>
    </w:p>
    <w:p w14:paraId="2CD16C32" w14:textId="77777777" w:rsidR="00092622" w:rsidRPr="009D5EE9" w:rsidRDefault="00092622" w:rsidP="00092622">
      <w:pPr>
        <w:pStyle w:val="NormalHanging12a"/>
        <w:widowControl/>
        <w:rPr>
          <w:szCs w:val="24"/>
        </w:rPr>
      </w:pPr>
      <w:r w:rsidRPr="009D5EE9">
        <w:t>U.</w:t>
      </w:r>
      <w:r w:rsidRPr="009D5EE9">
        <w:tab/>
        <w:t>arvestades, et IPD072Aa toksilisuse hindamisel ei võeta arvesse võimalikku sünergilist või kumulatiivset mõju, mis tuleneb koostoimest taimsete metaboliitide või herbitsiidijääkidega;</w:t>
      </w:r>
    </w:p>
    <w:p w14:paraId="79309127" w14:textId="77777777" w:rsidR="00092622" w:rsidRPr="009D5EE9" w:rsidRDefault="00092622" w:rsidP="00092622">
      <w:pPr>
        <w:pStyle w:val="NormalHanging12a"/>
        <w:widowControl/>
        <w:rPr>
          <w:szCs w:val="24"/>
        </w:rPr>
      </w:pPr>
      <w:r w:rsidRPr="009D5EE9">
        <w:t>V.</w:t>
      </w:r>
      <w:r w:rsidRPr="009D5EE9">
        <w:tab/>
        <w:t>arvestades, et ei ole esitatud andmeid IPD072Aa akumuleerumise kohta toiduvõrgustikes, selle leviku kohta keskkonnas, eelkõige reovee ja sõnniku kaudu pinnasesse ja veeökosüsteemidesse, ega selle mõju kohta mittesihtorganismidele;</w:t>
      </w:r>
    </w:p>
    <w:p w14:paraId="573D80F3" w14:textId="77777777" w:rsidR="00092622" w:rsidRPr="009D5EE9" w:rsidRDefault="00092622" w:rsidP="00092622">
      <w:pPr>
        <w:pStyle w:val="NormalHanging12a"/>
        <w:widowControl/>
        <w:rPr>
          <w:szCs w:val="24"/>
        </w:rPr>
      </w:pPr>
      <w:r w:rsidRPr="009D5EE9">
        <w:t>W.</w:t>
      </w:r>
      <w:r w:rsidRPr="009D5EE9">
        <w:tab/>
        <w:t xml:space="preserve">arvestades, et Hispaanias ja Prantsusmaal teatatud võimalik geenivool looduslikele sugulasliikidele, nagu </w:t>
      </w:r>
      <w:proofErr w:type="spellStart"/>
      <w:r w:rsidRPr="009D5EE9">
        <w:t>teosinte</w:t>
      </w:r>
      <w:proofErr w:type="spellEnd"/>
      <w:r w:rsidRPr="009D5EE9">
        <w:t xml:space="preserve">, tekitab muret </w:t>
      </w:r>
      <w:proofErr w:type="spellStart"/>
      <w:r w:rsidRPr="009D5EE9">
        <w:t>transgeeni</w:t>
      </w:r>
      <w:proofErr w:type="spellEnd"/>
      <w:r w:rsidRPr="009D5EE9">
        <w:t xml:space="preserve"> püsimise pärast keskkonnas ja selle võimalike ökoloogiliste tagajärgede pärast</w:t>
      </w:r>
      <w:r w:rsidRPr="009D5EE9">
        <w:rPr>
          <w:rStyle w:val="FootnoteReference"/>
          <w:szCs w:val="24"/>
        </w:rPr>
        <w:footnoteReference w:id="13"/>
      </w:r>
      <w:r w:rsidRPr="009D5EE9">
        <w:t>;</w:t>
      </w:r>
    </w:p>
    <w:p w14:paraId="6D88C6D0" w14:textId="77777777" w:rsidR="00092622" w:rsidRPr="009D5EE9" w:rsidRDefault="00092622" w:rsidP="00092622">
      <w:pPr>
        <w:pStyle w:val="NormalHanging12a"/>
        <w:widowControl/>
        <w:rPr>
          <w:szCs w:val="24"/>
        </w:rPr>
      </w:pPr>
      <w:r w:rsidRPr="009D5EE9">
        <w:t>X.</w:t>
      </w:r>
      <w:r w:rsidRPr="009D5EE9">
        <w:tab/>
        <w:t xml:space="preserve">arvestades, et rakendusmääruses (EL) nr 503/2013 sätestatud seirenõudeid ei ole piisavalt jõustatud ning </w:t>
      </w:r>
      <w:proofErr w:type="spellStart"/>
      <w:r w:rsidRPr="009D5EE9">
        <w:t>Corteva</w:t>
      </w:r>
      <w:proofErr w:type="spellEnd"/>
      <w:r w:rsidRPr="009D5EE9">
        <w:t xml:space="preserve"> </w:t>
      </w:r>
      <w:proofErr w:type="spellStart"/>
      <w:r w:rsidRPr="009D5EE9">
        <w:t>Agriscience</w:t>
      </w:r>
      <w:proofErr w:type="spellEnd"/>
      <w:r w:rsidRPr="009D5EE9">
        <w:t xml:space="preserve"> LLC esitatud andmeid ei ole sõltumatult kontrollitud;</w:t>
      </w:r>
    </w:p>
    <w:p w14:paraId="333FFFEA" w14:textId="77777777" w:rsidR="00092622" w:rsidRPr="009D5EE9" w:rsidRDefault="00092622" w:rsidP="00092622">
      <w:pPr>
        <w:pStyle w:val="NormalHanging12a"/>
        <w:widowControl/>
        <w:rPr>
          <w:b/>
          <w:i/>
          <w:iCs/>
          <w:szCs w:val="24"/>
        </w:rPr>
      </w:pPr>
      <w:r w:rsidRPr="009D5EE9">
        <w:rPr>
          <w:b/>
          <w:i/>
        </w:rPr>
        <w:t>Võrdsete võimaluste tagamine kogu maailmas ja liidu rahvusvaheliste kohustuste täitmine</w:t>
      </w:r>
    </w:p>
    <w:p w14:paraId="394992A5" w14:textId="585892E0" w:rsidR="00092622" w:rsidRPr="009D5EE9" w:rsidRDefault="00092622" w:rsidP="00092622">
      <w:pPr>
        <w:pStyle w:val="NormalHanging12a"/>
        <w:widowControl/>
        <w:rPr>
          <w:b/>
          <w:szCs w:val="24"/>
        </w:rPr>
      </w:pPr>
      <w:r w:rsidRPr="009D5EE9">
        <w:t>Y.</w:t>
      </w:r>
      <w:r w:rsidRPr="009D5EE9">
        <w:rPr>
          <w:b/>
        </w:rPr>
        <w:tab/>
      </w:r>
      <w:r w:rsidRPr="009D5EE9">
        <w:t xml:space="preserve">arvestades, et geneetiliselt muundatud maisi ei ole liidus lubatud kasvatada; arvestades, et komisjoni </w:t>
      </w:r>
      <w:r w:rsidR="008F35A3" w:rsidRPr="009D5EE9">
        <w:t>rakendus</w:t>
      </w:r>
      <w:r w:rsidRPr="009D5EE9">
        <w:t>otsuse</w:t>
      </w:r>
      <w:r w:rsidR="008F35A3" w:rsidRPr="009D5EE9">
        <w:t xml:space="preserve"> (EL) 2025/1898</w:t>
      </w:r>
      <w:r w:rsidRPr="009D5EE9">
        <w:t xml:space="preserve"> vastuvõtmine võimalda</w:t>
      </w:r>
      <w:r w:rsidR="008F35A3" w:rsidRPr="009D5EE9">
        <w:t>b</w:t>
      </w:r>
      <w:r w:rsidRPr="009D5EE9">
        <w:t xml:space="preserve"> liitu importimist, mis ei vasta liidu põllumajandustootjate järgitavatele standarditele, seades nad seeläbi ebasoodsasse konkurentsiolukorda;</w:t>
      </w:r>
    </w:p>
    <w:p w14:paraId="568B873A" w14:textId="77777777" w:rsidR="00092622" w:rsidRPr="009D5EE9" w:rsidRDefault="00092622" w:rsidP="00092622">
      <w:pPr>
        <w:pStyle w:val="NormalHanging12a"/>
        <w:widowControl/>
        <w:rPr>
          <w:b/>
          <w:szCs w:val="24"/>
        </w:rPr>
      </w:pPr>
      <w:r w:rsidRPr="009D5EE9">
        <w:t>Z.</w:t>
      </w:r>
      <w:r w:rsidRPr="009D5EE9">
        <w:tab/>
        <w:t>arvestades, et ELi põllumajanduse tulevikku käsitleva strateegilise dialoogi</w:t>
      </w:r>
      <w:r w:rsidRPr="009D5EE9">
        <w:rPr>
          <w:rStyle w:val="FootnoteReference"/>
        </w:rPr>
        <w:footnoteReference w:id="14"/>
      </w:r>
      <w:r w:rsidRPr="009D5EE9">
        <w:t xml:space="preserve"> järeldustes kutsutakse komisjoni üles uuesti hindama oma lähenemisviisi põllumajanduslike toiduainete impordi ja ekspordi </w:t>
      </w:r>
      <w:proofErr w:type="spellStart"/>
      <w:r w:rsidRPr="009D5EE9">
        <w:t>turulepääsule</w:t>
      </w:r>
      <w:proofErr w:type="spellEnd"/>
      <w:r w:rsidRPr="009D5EE9">
        <w:t xml:space="preserve">, võttes arvesse liidu ja selle </w:t>
      </w:r>
      <w:r w:rsidRPr="009D5EE9">
        <w:lastRenderedPageBreak/>
        <w:t>kaubanduspartnerite lahknevate standardite probleemi; arvestades, et ülemaailmselt õiglasemad kaubandussuhted, mis on kooskõlas tervisliku keskkonna eesmärkidega, olid 2023. ja 2024. aasta meeleavaldustel üks põllumajandustootjate peamisi nõudmisi;</w:t>
      </w:r>
    </w:p>
    <w:p w14:paraId="41CF9A41" w14:textId="77777777" w:rsidR="00092622" w:rsidRPr="009D5EE9" w:rsidRDefault="00092622" w:rsidP="00092622">
      <w:pPr>
        <w:pStyle w:val="NormalHanging12a"/>
        <w:widowControl/>
        <w:rPr>
          <w:szCs w:val="24"/>
        </w:rPr>
      </w:pPr>
      <w:r w:rsidRPr="009D5EE9">
        <w:t>AA.</w:t>
      </w:r>
      <w:r w:rsidRPr="009D5EE9">
        <w:tab/>
        <w:t>arvestades, et Ühinenud Rahvaste Organisatsiooni (ÜRO) õigusega toidule tegeleva eriraportööri 2017. aasta aruandes leiti, et eelkõige arengumaades on ohtlikel pestitsiididel tervisele laastav mõju</w:t>
      </w:r>
      <w:r w:rsidRPr="009D5EE9">
        <w:rPr>
          <w:rStyle w:val="FootnoteReference"/>
          <w:szCs w:val="24"/>
        </w:rPr>
        <w:footnoteReference w:id="15"/>
      </w:r>
      <w:r w:rsidRPr="009D5EE9">
        <w:t>; arvestades, et ÜRO kestliku arengu eesmärgi 3.9 abil soovitakse 2030. aastaks oluliselt vähendada surmade ja haiguste arvu, mille on põhjustanud ohtlikud kemikaalid ning õhu, vee ja pinnase reostus ja saastumine</w:t>
      </w:r>
      <w:r w:rsidRPr="009D5EE9">
        <w:rPr>
          <w:rStyle w:val="FootnoteReference"/>
          <w:szCs w:val="24"/>
        </w:rPr>
        <w:footnoteReference w:id="16"/>
      </w:r>
      <w:r w:rsidRPr="009D5EE9">
        <w:t>;</w:t>
      </w:r>
    </w:p>
    <w:p w14:paraId="545D95D1" w14:textId="025F0032" w:rsidR="00092622" w:rsidRPr="009D5EE9" w:rsidRDefault="00092622" w:rsidP="00092622">
      <w:pPr>
        <w:pStyle w:val="NormalHanging12a"/>
        <w:widowControl/>
        <w:rPr>
          <w:szCs w:val="24"/>
        </w:rPr>
      </w:pPr>
      <w:r w:rsidRPr="009D5EE9">
        <w:t>AB.</w:t>
      </w:r>
      <w:r w:rsidRPr="009D5EE9">
        <w:tab/>
        <w:t xml:space="preserve">arvestades, et 2022. aasta detsembris lepiti ÜRO bioloogilise mitmekesisuse konventsiooni osaliste konverentsi 15. istungjärgul kokku </w:t>
      </w:r>
      <w:proofErr w:type="spellStart"/>
      <w:r w:rsidRPr="009D5EE9">
        <w:t>Kunmingi</w:t>
      </w:r>
      <w:proofErr w:type="spellEnd"/>
      <w:r w:rsidRPr="009D5EE9">
        <w:t>-Montreali üleilmses elurikkuse raamistikus, mis sisaldab üleilmset eesmärki vähendada taimekaitsevahenditest tulenevaid ohte 2030. aastaks vähemalt 50</w:t>
      </w:r>
      <w:r w:rsidR="00416847" w:rsidRPr="009D5EE9">
        <w:t> </w:t>
      </w:r>
      <w:r w:rsidRPr="009D5EE9">
        <w:t>%</w:t>
      </w:r>
      <w:r w:rsidRPr="009D5EE9">
        <w:rPr>
          <w:rStyle w:val="FootnoteReference"/>
          <w:szCs w:val="24"/>
        </w:rPr>
        <w:footnoteReference w:id="17"/>
      </w:r>
      <w:r w:rsidRPr="009D5EE9">
        <w:t>;</w:t>
      </w:r>
    </w:p>
    <w:p w14:paraId="2549437A" w14:textId="77777777" w:rsidR="00092622" w:rsidRPr="009D5EE9" w:rsidRDefault="00092622" w:rsidP="00092622">
      <w:pPr>
        <w:pStyle w:val="NormalHanging12a"/>
        <w:widowControl/>
        <w:rPr>
          <w:szCs w:val="24"/>
        </w:rPr>
      </w:pPr>
      <w:r w:rsidRPr="009D5EE9">
        <w:t>AC.</w:t>
      </w:r>
      <w:r w:rsidRPr="009D5EE9">
        <w:tab/>
        <w:t>arvestades, et määruses (EÜ) nr 1829/2003 on sätestatud, et geneetiliselt muundatud toit ega sööt ei tohi avaldada kahjulikku mõju inimeste või loomade tervisele ega keskkonnale, ning nõutakse, et komisjon võtaks oma otsuse koostamisel arvesse kõiki liidu õigusaktide asjakohaseid sätteid ning teisi kõnealuse küsimusega seotud õiguspäraseid tegureid; arvestades, et sellised õiguspärased tegurid peaksid hõlmama liidu kohustusi, mis tulenevad ÜRO kestliku arengu eesmärkidest ja ÜRO bioloogilise mitmekesisuse konventsioonist;</w:t>
      </w:r>
    </w:p>
    <w:p w14:paraId="06AE5CEA" w14:textId="77777777" w:rsidR="00092622" w:rsidRPr="009D5EE9" w:rsidRDefault="00092622" w:rsidP="00092622">
      <w:pPr>
        <w:pStyle w:val="NormalHanging12a"/>
        <w:widowControl/>
        <w:rPr>
          <w:b/>
          <w:i/>
          <w:iCs/>
          <w:szCs w:val="24"/>
        </w:rPr>
      </w:pPr>
      <w:r w:rsidRPr="009D5EE9">
        <w:rPr>
          <w:b/>
          <w:i/>
        </w:rPr>
        <w:t>Imporditud söödast sõltuvuse vähendamine</w:t>
      </w:r>
    </w:p>
    <w:p w14:paraId="6A2F3C52" w14:textId="77777777" w:rsidR="00092622" w:rsidRPr="009D5EE9" w:rsidRDefault="00092622" w:rsidP="00092622">
      <w:pPr>
        <w:pStyle w:val="NormalHanging12a"/>
        <w:widowControl/>
        <w:rPr>
          <w:szCs w:val="24"/>
        </w:rPr>
      </w:pPr>
      <w:r w:rsidRPr="009D5EE9">
        <w:t>AD.</w:t>
      </w:r>
      <w:r w:rsidRPr="009D5EE9">
        <w:tab/>
        <w:t xml:space="preserve">arvestades, et üks COVID-19 kriisist ja Ukrainas ikka veel jätkuvast sõjast saadud õppetund on, et liit peab lõpetama sõltuvuse mõnest kriitilise tähtsusega materjalist; arvestades, et missioonikirjas volinikukandidaadile </w:t>
      </w:r>
      <w:proofErr w:type="spellStart"/>
      <w:r w:rsidRPr="009D5EE9">
        <w:t>Christophe</w:t>
      </w:r>
      <w:proofErr w:type="spellEnd"/>
      <w:r w:rsidRPr="009D5EE9">
        <w:t xml:space="preserve"> Hansenile palub komisjoni president Ursula </w:t>
      </w:r>
      <w:proofErr w:type="spellStart"/>
      <w:r w:rsidRPr="009D5EE9">
        <w:t>von</w:t>
      </w:r>
      <w:proofErr w:type="spellEnd"/>
      <w:r w:rsidRPr="009D5EE9">
        <w:t xml:space="preserve"> der </w:t>
      </w:r>
      <w:proofErr w:type="spellStart"/>
      <w:r w:rsidRPr="009D5EE9">
        <w:t>Leyen</w:t>
      </w:r>
      <w:proofErr w:type="spellEnd"/>
      <w:r w:rsidRPr="009D5EE9">
        <w:t xml:space="preserve"> tal uurida võimalusi kriitilise tähtsusega kaupade impordi vähendamiseks</w:t>
      </w:r>
      <w:r w:rsidRPr="009D5EE9">
        <w:rPr>
          <w:rStyle w:val="FootnoteReference"/>
          <w:szCs w:val="24"/>
        </w:rPr>
        <w:footnoteReference w:id="18"/>
      </w:r>
      <w:r w:rsidRPr="009D5EE9">
        <w:t>;</w:t>
      </w:r>
    </w:p>
    <w:p w14:paraId="312A0249" w14:textId="77777777" w:rsidR="00092622" w:rsidRPr="009D5EE9" w:rsidRDefault="00092622" w:rsidP="00092622">
      <w:pPr>
        <w:pStyle w:val="NormalHanging12a"/>
        <w:widowControl/>
        <w:rPr>
          <w:b/>
          <w:i/>
          <w:iCs/>
          <w:szCs w:val="24"/>
        </w:rPr>
      </w:pPr>
      <w:r w:rsidRPr="009D5EE9">
        <w:rPr>
          <w:b/>
          <w:i/>
        </w:rPr>
        <w:t>Ebademokraatlik otsustamine</w:t>
      </w:r>
    </w:p>
    <w:p w14:paraId="33A684F6" w14:textId="77777777" w:rsidR="00092622" w:rsidRPr="009D5EE9" w:rsidRDefault="00092622" w:rsidP="00092622">
      <w:pPr>
        <w:pStyle w:val="NormalHanging12a"/>
        <w:widowControl/>
        <w:rPr>
          <w:szCs w:val="24"/>
        </w:rPr>
      </w:pPr>
      <w:r w:rsidRPr="009D5EE9">
        <w:t>AE.</w:t>
      </w:r>
      <w:r w:rsidRPr="009D5EE9">
        <w:tab/>
        <w:t xml:space="preserve">arvestades, et Euroopa Parlament võttis oma kaheksandal ametiajal vastu 36 resolutsiooni, milles väljendatakse vastuseisu toiduks ja söödaks mõeldud </w:t>
      </w:r>
      <w:proofErr w:type="spellStart"/>
      <w:r w:rsidRPr="009D5EE9">
        <w:t>GMOde</w:t>
      </w:r>
      <w:proofErr w:type="spellEnd"/>
      <w:r w:rsidRPr="009D5EE9">
        <w:t xml:space="preserve"> turule laskmisele (33 resolutsiooni) ning </w:t>
      </w:r>
      <w:proofErr w:type="spellStart"/>
      <w:r w:rsidRPr="009D5EE9">
        <w:t>GMOde</w:t>
      </w:r>
      <w:proofErr w:type="spellEnd"/>
      <w:r w:rsidRPr="009D5EE9">
        <w:t xml:space="preserve"> kasvatamisele liidus (kolm resolutsiooni); arvestades, et üheksandal ametiajal võttis Euroopa Parlament vastu 38 resolutsiooni </w:t>
      </w:r>
      <w:proofErr w:type="spellStart"/>
      <w:r w:rsidRPr="009D5EE9">
        <w:t>GMOde</w:t>
      </w:r>
      <w:proofErr w:type="spellEnd"/>
      <w:r w:rsidRPr="009D5EE9">
        <w:t xml:space="preserve"> </w:t>
      </w:r>
      <w:proofErr w:type="spellStart"/>
      <w:r w:rsidRPr="009D5EE9">
        <w:t>turuleviimise</w:t>
      </w:r>
      <w:proofErr w:type="spellEnd"/>
      <w:r w:rsidRPr="009D5EE9">
        <w:t xml:space="preserve"> vastu ning oma praegusel, kümnendal ametiajal on ta juba võtnud vastu 11 resolutsiooni, milles väljendatakse vastuseisu </w:t>
      </w:r>
      <w:proofErr w:type="spellStart"/>
      <w:r w:rsidRPr="009D5EE9">
        <w:t>GMOde</w:t>
      </w:r>
      <w:proofErr w:type="spellEnd"/>
      <w:r w:rsidRPr="009D5EE9">
        <w:t xml:space="preserve"> </w:t>
      </w:r>
      <w:proofErr w:type="spellStart"/>
      <w:r w:rsidRPr="009D5EE9">
        <w:t>turuleviimisele</w:t>
      </w:r>
      <w:proofErr w:type="spellEnd"/>
      <w:r w:rsidRPr="009D5EE9">
        <w:t>;</w:t>
      </w:r>
    </w:p>
    <w:p w14:paraId="16478E10" w14:textId="77777777" w:rsidR="00092622" w:rsidRPr="009D5EE9" w:rsidRDefault="00092622" w:rsidP="00092622">
      <w:pPr>
        <w:pStyle w:val="NormalHanging12a"/>
        <w:widowControl/>
        <w:rPr>
          <w:szCs w:val="24"/>
        </w:rPr>
      </w:pPr>
      <w:r w:rsidRPr="009D5EE9">
        <w:t>AF.</w:t>
      </w:r>
      <w:r w:rsidRPr="009D5EE9">
        <w:tab/>
        <w:t xml:space="preserve">arvestades, et kuigi komisjon tunnistab puudujääke demokraatlikus protsessis, liikmesriikide toetuse puudumist ja Euroopa Parlamendi vastuväiteid, jätkab ta siiski </w:t>
      </w:r>
      <w:proofErr w:type="spellStart"/>
      <w:r w:rsidRPr="009D5EE9">
        <w:t>GMOdele</w:t>
      </w:r>
      <w:proofErr w:type="spellEnd"/>
      <w:r w:rsidRPr="009D5EE9">
        <w:t xml:space="preserve"> lubade andmist;</w:t>
      </w:r>
    </w:p>
    <w:p w14:paraId="5221B43C" w14:textId="77777777" w:rsidR="00092622" w:rsidRPr="009D5EE9" w:rsidRDefault="00092622" w:rsidP="00092622">
      <w:pPr>
        <w:pStyle w:val="NormalHanging12a"/>
        <w:widowControl/>
        <w:rPr>
          <w:szCs w:val="24"/>
        </w:rPr>
      </w:pPr>
      <w:r w:rsidRPr="009D5EE9">
        <w:lastRenderedPageBreak/>
        <w:t>AG.</w:t>
      </w:r>
      <w:r w:rsidRPr="009D5EE9">
        <w:tab/>
        <w:t xml:space="preserve">arvestades, et selleks, et komisjon saaks keelduda </w:t>
      </w:r>
      <w:proofErr w:type="spellStart"/>
      <w:r w:rsidRPr="009D5EE9">
        <w:t>GMOdele</w:t>
      </w:r>
      <w:proofErr w:type="spellEnd"/>
      <w:r w:rsidRPr="009D5EE9">
        <w:t xml:space="preserve"> loa andmisest, kui apellatsioonikomitees ei ole saavutatud selle toetuseks liikmesriikide kvalifitseeritud häälteenamust, ei ole vaja õigusakte muuta</w:t>
      </w:r>
      <w:r w:rsidRPr="009D5EE9">
        <w:rPr>
          <w:rStyle w:val="FootnoteReference"/>
          <w:szCs w:val="24"/>
        </w:rPr>
        <w:footnoteReference w:id="19"/>
      </w:r>
      <w:r w:rsidRPr="009D5EE9">
        <w:t>;</w:t>
      </w:r>
    </w:p>
    <w:p w14:paraId="720C3304" w14:textId="4128D412" w:rsidR="00092622" w:rsidRPr="009D5EE9" w:rsidRDefault="00092622" w:rsidP="00092622">
      <w:pPr>
        <w:pStyle w:val="NormalHanging12a"/>
        <w:widowControl/>
        <w:rPr>
          <w:szCs w:val="24"/>
        </w:rPr>
      </w:pPr>
      <w:r w:rsidRPr="009D5EE9">
        <w:t>AH.</w:t>
      </w:r>
      <w:r w:rsidRPr="009D5EE9">
        <w:tab/>
        <w:t xml:space="preserve">arvestades, et määruse (EÜ) nr 1829/2003 artiklis 35 osutatud alalises taime-, looma-, toidu- ja söödakomitees </w:t>
      </w:r>
      <w:r w:rsidR="000B0858">
        <w:t>13</w:t>
      </w:r>
      <w:r w:rsidRPr="009D5EE9">
        <w:t>. juu</w:t>
      </w:r>
      <w:r w:rsidR="000B0858">
        <w:t>n</w:t>
      </w:r>
      <w:r w:rsidRPr="009D5EE9">
        <w:t>il 202</w:t>
      </w:r>
      <w:r w:rsidR="000B0858">
        <w:t>5</w:t>
      </w:r>
      <w:r w:rsidRPr="009D5EE9">
        <w:t xml:space="preserve"> toimunud hääletuse tulemusel arvamust ei esitatud, mis tähendab seda, et loa andmise ettepanek ei saanud liikmesriikide kvalifitseeritud häälteenamust</w:t>
      </w:r>
      <w:r w:rsidRPr="009D5EE9">
        <w:rPr>
          <w:rStyle w:val="FootnoteReference"/>
          <w:szCs w:val="24"/>
        </w:rPr>
        <w:footnoteReference w:id="20"/>
      </w:r>
      <w:r w:rsidRPr="009D5EE9">
        <w:t xml:space="preserve">; </w:t>
      </w:r>
      <w:r w:rsidRPr="009D5EE9">
        <w:rPr>
          <w:shd w:val="clear" w:color="auto" w:fill="FFFFFF"/>
        </w:rPr>
        <w:t>arvestades, et arvamust ei esitatud ka 15.</w:t>
      </w:r>
      <w:r w:rsidR="00416847" w:rsidRPr="009D5EE9">
        <w:rPr>
          <w:shd w:val="clear" w:color="auto" w:fill="FFFFFF"/>
        </w:rPr>
        <w:t> </w:t>
      </w:r>
      <w:r w:rsidRPr="009D5EE9">
        <w:rPr>
          <w:shd w:val="clear" w:color="auto" w:fill="FFFFFF"/>
        </w:rPr>
        <w:t>juulil 2025 apellatsioonikomitees toimunud hääletuse tulemusel;</w:t>
      </w:r>
    </w:p>
    <w:p w14:paraId="590E1CC2" w14:textId="10421879" w:rsidR="00092622" w:rsidRPr="009D5EE9" w:rsidRDefault="00092622" w:rsidP="00092622">
      <w:pPr>
        <w:pStyle w:val="NormalBold"/>
        <w:widowControl/>
        <w:spacing w:after="240"/>
        <w:ind w:left="567" w:hanging="567"/>
        <w:rPr>
          <w:b w:val="0"/>
          <w:szCs w:val="24"/>
        </w:rPr>
      </w:pPr>
      <w:r w:rsidRPr="009D5EE9">
        <w:rPr>
          <w:b w:val="0"/>
        </w:rPr>
        <w:t>1.</w:t>
      </w:r>
      <w:r w:rsidRPr="009D5EE9">
        <w:rPr>
          <w:b w:val="0"/>
        </w:rPr>
        <w:tab/>
        <w:t>on seisukohal, et komisjoni rakendusotsus</w:t>
      </w:r>
      <w:r w:rsidR="008F35A3" w:rsidRPr="009D5EE9">
        <w:rPr>
          <w:b w:val="0"/>
        </w:rPr>
        <w:t xml:space="preserve"> (EL) 2025/1898</w:t>
      </w:r>
      <w:r w:rsidRPr="009D5EE9">
        <w:rPr>
          <w:b w:val="0"/>
        </w:rPr>
        <w:t xml:space="preserve"> ületab määruses (EÜ) nr 1829/2003 sätestatud rakendamisvolitusi;</w:t>
      </w:r>
    </w:p>
    <w:p w14:paraId="0D722582" w14:textId="1171739B" w:rsidR="00092622" w:rsidRPr="009D5EE9" w:rsidRDefault="00092622" w:rsidP="00092622">
      <w:pPr>
        <w:pStyle w:val="NormalBold"/>
        <w:widowControl/>
        <w:spacing w:after="240"/>
        <w:ind w:left="567" w:hanging="567"/>
        <w:rPr>
          <w:b w:val="0"/>
          <w:szCs w:val="24"/>
        </w:rPr>
      </w:pPr>
      <w:r w:rsidRPr="009D5EE9">
        <w:rPr>
          <w:b w:val="0"/>
        </w:rPr>
        <w:t>2.</w:t>
      </w:r>
      <w:r w:rsidRPr="009D5EE9">
        <w:rPr>
          <w:b w:val="0"/>
        </w:rPr>
        <w:tab/>
        <w:t>on seisukohal, et komisjoni rakendusotsus</w:t>
      </w:r>
      <w:r w:rsidR="008F35A3" w:rsidRPr="009D5EE9">
        <w:rPr>
          <w:b w:val="0"/>
        </w:rPr>
        <w:t xml:space="preserve"> (EL) 2025/1898</w:t>
      </w:r>
      <w:r w:rsidRPr="009D5EE9">
        <w:rPr>
          <w:b w:val="0"/>
        </w:rPr>
        <w:t xml:space="preserve"> on vastuolus liidu õigusega, sest see ei ole kooskõlas määruse (EÜ) nr 1829/2003 eesmärgiga, milleks Euroopa Parlamendi ja nõukogu määruses (EÜ) nr 178/2002</w:t>
      </w:r>
      <w:r w:rsidRPr="009D5EE9">
        <w:rPr>
          <w:rStyle w:val="FootnoteReference"/>
          <w:b w:val="0"/>
          <w:szCs w:val="24"/>
        </w:rPr>
        <w:footnoteReference w:id="21"/>
      </w:r>
      <w:r w:rsidRPr="009D5EE9">
        <w:rPr>
          <w:b w:val="0"/>
        </w:rPr>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w:t>
      </w:r>
      <w:r w:rsidR="00AD7B7E" w:rsidRPr="009D5EE9">
        <w:rPr>
          <w:b w:val="0"/>
        </w:rPr>
        <w:t>tõrgeteta</w:t>
      </w:r>
      <w:r w:rsidRPr="009D5EE9">
        <w:rPr>
          <w:b w:val="0"/>
        </w:rPr>
        <w:t xml:space="preserve"> toimimine;</w:t>
      </w:r>
    </w:p>
    <w:p w14:paraId="6F159655" w14:textId="486CBC94" w:rsidR="00092622" w:rsidRPr="009D5EE9" w:rsidRDefault="00092622" w:rsidP="00092622">
      <w:pPr>
        <w:pStyle w:val="NormalBold"/>
        <w:widowControl/>
        <w:spacing w:after="240"/>
        <w:ind w:left="567" w:hanging="567"/>
        <w:rPr>
          <w:b w:val="0"/>
          <w:szCs w:val="24"/>
        </w:rPr>
      </w:pPr>
      <w:r w:rsidRPr="009D5EE9">
        <w:rPr>
          <w:b w:val="0"/>
        </w:rPr>
        <w:t>3.</w:t>
      </w:r>
      <w:r w:rsidRPr="009D5EE9">
        <w:rPr>
          <w:b w:val="0"/>
        </w:rPr>
        <w:tab/>
        <w:t>palub komisjonil oma rakendusotsus</w:t>
      </w:r>
      <w:r w:rsidR="008F35A3" w:rsidRPr="009D5EE9">
        <w:rPr>
          <w:b w:val="0"/>
        </w:rPr>
        <w:t xml:space="preserve"> (EL) 2025/1898 kehtetuks tunnistada</w:t>
      </w:r>
      <w:r w:rsidRPr="009D5EE9">
        <w:rPr>
          <w:b w:val="0"/>
        </w:rPr>
        <w:t xml:space="preserve"> ja esitada komiteele uue eelnõu;</w:t>
      </w:r>
    </w:p>
    <w:p w14:paraId="2A353E3B" w14:textId="77777777" w:rsidR="00092622" w:rsidRPr="009D5EE9" w:rsidRDefault="00092622" w:rsidP="00092622">
      <w:pPr>
        <w:pStyle w:val="NormalBold"/>
        <w:widowControl/>
        <w:spacing w:after="240"/>
        <w:ind w:left="567" w:hanging="567"/>
        <w:rPr>
          <w:b w:val="0"/>
          <w:szCs w:val="24"/>
        </w:rPr>
      </w:pPr>
      <w:r w:rsidRPr="009D5EE9">
        <w:rPr>
          <w:b w:val="0"/>
        </w:rPr>
        <w:t>4.</w:t>
      </w:r>
      <w:r w:rsidRPr="009D5EE9">
        <w:rPr>
          <w:b w:val="0"/>
        </w:rPr>
        <w:tab/>
        <w:t>kutsub komisjoni üles tagama vabakaubanduslepingute üle peetavatel läbirääkimistel liidu ja tema partnerite standardite lähendamine, et järgida liidu ohutusstandardeid;</w:t>
      </w:r>
    </w:p>
    <w:p w14:paraId="57A120F1" w14:textId="77777777" w:rsidR="00092622" w:rsidRPr="009D5EE9" w:rsidRDefault="00092622" w:rsidP="00092622">
      <w:pPr>
        <w:pStyle w:val="NormalBold"/>
        <w:widowControl/>
        <w:spacing w:after="240"/>
        <w:ind w:left="567" w:hanging="567"/>
        <w:rPr>
          <w:b w:val="0"/>
          <w:szCs w:val="24"/>
        </w:rPr>
      </w:pPr>
      <w:r w:rsidRPr="009D5EE9">
        <w:rPr>
          <w:b w:val="0"/>
        </w:rPr>
        <w:t>5.</w:t>
      </w:r>
      <w:r w:rsidRPr="009D5EE9">
        <w:rPr>
          <w:b w:val="0"/>
        </w:rPr>
        <w:tab/>
        <w:t>kutsub komisjoni üles terviseühtsuse põhimõtte kohaselt keelduma geneetiliselt muundatud maisile luba andmast, kuna see suurendab ohtu bioloogilisele mitmekesisusele, toiduohutusele ja töötajate tervisele;</w:t>
      </w:r>
    </w:p>
    <w:p w14:paraId="5B79B0A4" w14:textId="77777777" w:rsidR="00092622" w:rsidRPr="009D5EE9" w:rsidRDefault="00092622" w:rsidP="00092622">
      <w:pPr>
        <w:pStyle w:val="NormalBold"/>
        <w:widowControl/>
        <w:spacing w:after="240"/>
        <w:ind w:left="567" w:hanging="567"/>
        <w:rPr>
          <w:b w:val="0"/>
          <w:szCs w:val="24"/>
        </w:rPr>
      </w:pPr>
      <w:r w:rsidRPr="009D5EE9">
        <w:rPr>
          <w:b w:val="0"/>
        </w:rPr>
        <w:t>6.</w:t>
      </w:r>
      <w:r w:rsidRPr="009D5EE9">
        <w:rPr>
          <w:b w:val="0"/>
        </w:rPr>
        <w:tab/>
        <w:t>eeldab, et komisjon täidab kiiremas korras oma kohustuse</w:t>
      </w:r>
      <w:r w:rsidRPr="009D5EE9">
        <w:rPr>
          <w:rStyle w:val="FootnoteReference"/>
          <w:b w:val="0"/>
          <w:szCs w:val="24"/>
        </w:rPr>
        <w:footnoteReference w:id="22"/>
      </w:r>
      <w:r w:rsidRPr="009D5EE9">
        <w:rPr>
          <w:b w:val="0"/>
        </w:rPr>
        <w:t xml:space="preserve"> esitada ettepanek tagamaks, et liidus keelatud ohtlikke kemikaale ei toodeta ekspordiks;</w:t>
      </w:r>
    </w:p>
    <w:p w14:paraId="667A5D6A" w14:textId="77777777" w:rsidR="00092622" w:rsidRPr="009D5EE9" w:rsidRDefault="00092622" w:rsidP="00092622">
      <w:pPr>
        <w:pStyle w:val="NormalBold"/>
        <w:widowControl/>
        <w:spacing w:after="240"/>
        <w:ind w:left="567" w:hanging="567"/>
        <w:rPr>
          <w:b w:val="0"/>
          <w:szCs w:val="24"/>
        </w:rPr>
      </w:pPr>
      <w:r w:rsidRPr="009D5EE9">
        <w:rPr>
          <w:b w:val="0"/>
        </w:rPr>
        <w:t>7.</w:t>
      </w:r>
      <w:r w:rsidRPr="009D5EE9">
        <w:rPr>
          <w:b w:val="0"/>
        </w:rPr>
        <w:tab/>
        <w:t xml:space="preserve">väljendab heameelt selle üle, et komisjon tunnistas lõpuks oma 11. septembri 2020. aasta kirjas parlamendiliikmetele, et </w:t>
      </w:r>
      <w:proofErr w:type="spellStart"/>
      <w:r w:rsidRPr="009D5EE9">
        <w:rPr>
          <w:b w:val="0"/>
        </w:rPr>
        <w:t>GMOde</w:t>
      </w:r>
      <w:proofErr w:type="spellEnd"/>
      <w:r w:rsidRPr="009D5EE9">
        <w:rPr>
          <w:b w:val="0"/>
        </w:rPr>
        <w:t xml:space="preserve"> lubamise otsuste tegemisel on vaja arvesse võtta kestlikkust</w:t>
      </w:r>
      <w:r w:rsidRPr="009D5EE9">
        <w:rPr>
          <w:rStyle w:val="FootnoteReference"/>
          <w:b w:val="0"/>
          <w:szCs w:val="24"/>
        </w:rPr>
        <w:footnoteReference w:id="23"/>
      </w:r>
      <w:r w:rsidRPr="009D5EE9">
        <w:rPr>
          <w:b w:val="0"/>
        </w:rPr>
        <w:t xml:space="preserve">; väljendab siiski sügavat pettumust, et komisjon on pärast seda jätkanud </w:t>
      </w:r>
      <w:proofErr w:type="spellStart"/>
      <w:r w:rsidRPr="009D5EE9">
        <w:rPr>
          <w:b w:val="0"/>
        </w:rPr>
        <w:t>GMOde</w:t>
      </w:r>
      <w:proofErr w:type="spellEnd"/>
      <w:r w:rsidRPr="009D5EE9">
        <w:rPr>
          <w:b w:val="0"/>
        </w:rPr>
        <w:t xml:space="preserve"> liitu importimiseks lubade andmist, hoolimata Euroopa </w:t>
      </w:r>
      <w:r w:rsidRPr="009D5EE9">
        <w:rPr>
          <w:b w:val="0"/>
        </w:rPr>
        <w:lastRenderedPageBreak/>
        <w:t>Parlamendi püsivast vastuseisust ja asjaolust, et enamik liikmesriike hääletab selle vastu;</w:t>
      </w:r>
    </w:p>
    <w:p w14:paraId="7F5EA38A" w14:textId="77777777" w:rsidR="00092622" w:rsidRPr="009D5EE9" w:rsidRDefault="00092622" w:rsidP="00092622">
      <w:pPr>
        <w:pStyle w:val="NormalBold"/>
        <w:widowControl/>
        <w:spacing w:after="240"/>
        <w:ind w:left="567" w:hanging="567"/>
        <w:rPr>
          <w:b w:val="0"/>
          <w:szCs w:val="24"/>
        </w:rPr>
      </w:pPr>
      <w:r w:rsidRPr="009D5EE9">
        <w:rPr>
          <w:b w:val="0"/>
        </w:rPr>
        <w:t>8.</w:t>
      </w:r>
      <w:r w:rsidRPr="009D5EE9">
        <w:rPr>
          <w:b w:val="0"/>
        </w:rPr>
        <w:tab/>
        <w:t>nõuab veel kord tungivalt, et komisjon võtaks arvesse liidu kohustusi, mis tulenevad sellistest 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sidRPr="009D5EE9">
        <w:rPr>
          <w:rStyle w:val="FootnoteReference"/>
          <w:b w:val="0"/>
          <w:szCs w:val="24"/>
        </w:rPr>
        <w:footnoteReference w:id="24"/>
      </w:r>
      <w:r w:rsidRPr="009D5EE9">
        <w:rPr>
          <w:b w:val="0"/>
        </w:rPr>
        <w:t>;</w:t>
      </w:r>
    </w:p>
    <w:p w14:paraId="2CBB0539" w14:textId="6046A8C3" w:rsidR="00E365E1" w:rsidRPr="009D5EE9" w:rsidRDefault="00092622" w:rsidP="008F35A3">
      <w:pPr>
        <w:pStyle w:val="NormalBold"/>
        <w:widowControl/>
        <w:spacing w:after="240"/>
        <w:ind w:left="567" w:hanging="567"/>
      </w:pPr>
      <w:r w:rsidRPr="009D5EE9">
        <w:rPr>
          <w:b w:val="0"/>
        </w:rPr>
        <w:t>9.</w:t>
      </w:r>
      <w:r w:rsidRPr="009D5EE9">
        <w:rPr>
          <w:b w:val="0"/>
        </w:rPr>
        <w:tab/>
        <w:t>teeb presidendile ülesandeks edastada käesolev resolutsioon nõukogule ja komisjonile ning liikmesriikide valitsustele ja parlamentidele.</w:t>
      </w:r>
    </w:p>
    <w:sectPr w:rsidR="00E365E1" w:rsidRPr="009D5EE9" w:rsidSect="00AB13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5CFDE" w14:textId="77777777" w:rsidR="00E101C6" w:rsidRPr="00AB131E" w:rsidRDefault="00E101C6">
      <w:r w:rsidRPr="00AB131E">
        <w:separator/>
      </w:r>
    </w:p>
  </w:endnote>
  <w:endnote w:type="continuationSeparator" w:id="0">
    <w:p w14:paraId="15B247E8" w14:textId="77777777" w:rsidR="00E101C6" w:rsidRPr="00AB131E" w:rsidRDefault="00E101C6">
      <w:r w:rsidRPr="00AB13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5D4" w14:textId="77777777" w:rsidR="00064002" w:rsidRPr="00AB13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D3F2C" w14:textId="77777777" w:rsidR="00064002" w:rsidRPr="00AB13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FCFAA" w14:textId="77777777" w:rsidR="00064002" w:rsidRPr="00AB13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B8A98" w14:textId="77777777" w:rsidR="00E101C6" w:rsidRPr="00AB131E" w:rsidRDefault="00E101C6">
      <w:r w:rsidRPr="00AB131E">
        <w:separator/>
      </w:r>
    </w:p>
  </w:footnote>
  <w:footnote w:type="continuationSeparator" w:id="0">
    <w:p w14:paraId="329FDFD8" w14:textId="77777777" w:rsidR="00E101C6" w:rsidRPr="00AB131E" w:rsidRDefault="00E101C6">
      <w:r w:rsidRPr="00AB131E">
        <w:continuationSeparator/>
      </w:r>
    </w:p>
  </w:footnote>
  <w:footnote w:id="1">
    <w:p w14:paraId="758675E5" w14:textId="20E11FB6" w:rsidR="008F35A3" w:rsidRPr="008F35A3" w:rsidRDefault="008F35A3" w:rsidP="008F35A3">
      <w:pPr>
        <w:pStyle w:val="FootnoteText"/>
        <w:ind w:left="567" w:hanging="567"/>
        <w:rPr>
          <w:sz w:val="24"/>
          <w:szCs w:val="24"/>
          <w:lang w:val="et-EE"/>
        </w:rPr>
      </w:pPr>
      <w:r w:rsidRPr="008F35A3">
        <w:rPr>
          <w:rStyle w:val="FootnoteReference"/>
          <w:sz w:val="24"/>
          <w:szCs w:val="24"/>
          <w:lang w:val="et-EE"/>
        </w:rPr>
        <w:footnoteRef/>
      </w:r>
      <w:r w:rsidRPr="008F35A3">
        <w:rPr>
          <w:sz w:val="24"/>
          <w:szCs w:val="24"/>
          <w:lang w:val="et-EE"/>
        </w:rPr>
        <w:t xml:space="preserve"> </w:t>
      </w:r>
      <w:r w:rsidRPr="008F35A3">
        <w:rPr>
          <w:sz w:val="24"/>
          <w:szCs w:val="24"/>
          <w:lang w:val="et-EE"/>
        </w:rPr>
        <w:tab/>
      </w:r>
      <w:r>
        <w:rPr>
          <w:sz w:val="24"/>
          <w:szCs w:val="24"/>
          <w:lang w:val="et-EE"/>
        </w:rPr>
        <w:t>ELT</w:t>
      </w:r>
      <w:r w:rsidRPr="008F35A3">
        <w:rPr>
          <w:sz w:val="24"/>
          <w:szCs w:val="24"/>
          <w:lang w:val="et-EE"/>
        </w:rPr>
        <w:t xml:space="preserve"> L, 2025/1898, 23.9.2025, ELI: </w:t>
      </w:r>
      <w:hyperlink r:id="rId1" w:history="1">
        <w:r w:rsidRPr="008F35A3">
          <w:rPr>
            <w:rStyle w:val="Hyperlink"/>
            <w:sz w:val="24"/>
            <w:szCs w:val="24"/>
            <w:lang w:val="et-EE"/>
          </w:rPr>
          <w:t>http://data.europa.eu/eli/dec_impl/2025/1898/oj</w:t>
        </w:r>
      </w:hyperlink>
      <w:r w:rsidRPr="008F35A3">
        <w:rPr>
          <w:sz w:val="24"/>
          <w:szCs w:val="24"/>
          <w:lang w:val="et-EE"/>
        </w:rPr>
        <w:t>.</w:t>
      </w:r>
    </w:p>
  </w:footnote>
  <w:footnote w:id="2">
    <w:p w14:paraId="72BDA6C3" w14:textId="093B0A1C" w:rsidR="00092622" w:rsidRPr="008F35A3" w:rsidRDefault="00092622" w:rsidP="008F35A3">
      <w:pPr>
        <w:pStyle w:val="FootnoteText"/>
        <w:ind w:left="567" w:hanging="567"/>
        <w:rPr>
          <w:b/>
          <w:bCs/>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ELT L 268, 18.10.2003, lk 1, ELI: </w:t>
      </w:r>
      <w:hyperlink r:id="rId2" w:history="1">
        <w:r w:rsidRPr="008F35A3">
          <w:rPr>
            <w:rStyle w:val="Hyperlink"/>
            <w:sz w:val="24"/>
            <w:szCs w:val="24"/>
            <w:lang w:val="et-EE"/>
          </w:rPr>
          <w:t>http://data.europa.eu/eli/reg/2003/1829/oj</w:t>
        </w:r>
      </w:hyperlink>
      <w:r w:rsidRPr="008F35A3">
        <w:rPr>
          <w:sz w:val="24"/>
          <w:szCs w:val="24"/>
          <w:u w:val="single"/>
          <w:lang w:val="et-EE"/>
        </w:rPr>
        <w:t>.</w:t>
      </w:r>
    </w:p>
  </w:footnote>
  <w:footnote w:id="3">
    <w:p w14:paraId="70B37FFF" w14:textId="3CD5EA8E"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 xml:space="preserve">ELT L 55, 28.2.2011, lk 13, ELI: </w:t>
      </w:r>
      <w:hyperlink r:id="rId3" w:history="1">
        <w:r w:rsidRPr="008F35A3">
          <w:rPr>
            <w:rStyle w:val="Hyperlink"/>
            <w:sz w:val="24"/>
            <w:szCs w:val="24"/>
            <w:lang w:val="et-EE"/>
          </w:rPr>
          <w:t>http://data.europa.eu/eli/reg/2011/182/oj</w:t>
        </w:r>
      </w:hyperlink>
      <w:r w:rsidRPr="008F35A3">
        <w:rPr>
          <w:sz w:val="24"/>
          <w:szCs w:val="24"/>
          <w:lang w:val="et-EE"/>
        </w:rPr>
        <w:t>.</w:t>
      </w:r>
    </w:p>
  </w:footnote>
  <w:footnote w:id="4">
    <w:p w14:paraId="31424EE7" w14:textId="77DD7900" w:rsidR="00092622" w:rsidRPr="008F35A3" w:rsidRDefault="00092622" w:rsidP="008F35A3">
      <w:pPr>
        <w:pStyle w:val="FootnoteText"/>
        <w:ind w:left="567" w:hanging="567"/>
        <w:rPr>
          <w:sz w:val="24"/>
          <w:szCs w:val="24"/>
          <w:lang w:val="et-EE"/>
        </w:rPr>
      </w:pPr>
      <w:r w:rsidRPr="008F35A3">
        <w:rPr>
          <w:rStyle w:val="Funotenzeichen"/>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 xml:space="preserve">EFSA geneetiliselt muundatud organismide komisjoni teaduslik arvamus geneetiliselt muundatud maisi DP51291 hindamise kohta (taotlus GMFF-2021-0071). </w:t>
      </w:r>
      <w:r w:rsidRPr="008F35A3">
        <w:rPr>
          <w:sz w:val="24"/>
          <w:szCs w:val="24"/>
          <w:lang w:val="et-EE"/>
        </w:rPr>
        <w:t xml:space="preserve">EFSA </w:t>
      </w:r>
      <w:proofErr w:type="spellStart"/>
      <w:r w:rsidRPr="008F35A3">
        <w:rPr>
          <w:sz w:val="24"/>
          <w:szCs w:val="24"/>
          <w:lang w:val="et-EE"/>
        </w:rPr>
        <w:t>Journal</w:t>
      </w:r>
      <w:proofErr w:type="spellEnd"/>
      <w:r w:rsidRPr="008F35A3">
        <w:rPr>
          <w:sz w:val="24"/>
          <w:szCs w:val="24"/>
          <w:lang w:val="et-EE"/>
        </w:rPr>
        <w:t xml:space="preserve"> 2024;22(11):9059; </w:t>
      </w:r>
      <w:hyperlink r:id="rId4" w:history="1">
        <w:r w:rsidRPr="008F35A3">
          <w:rPr>
            <w:rStyle w:val="Hyperlink"/>
            <w:sz w:val="24"/>
            <w:szCs w:val="24"/>
            <w:lang w:val="et-EE"/>
          </w:rPr>
          <w:t>https://doi.org/10.2903/j.efsa.2024.9059</w:t>
        </w:r>
      </w:hyperlink>
      <w:r w:rsidRPr="008F35A3">
        <w:rPr>
          <w:sz w:val="24"/>
          <w:szCs w:val="24"/>
          <w:lang w:val="et-EE"/>
        </w:rPr>
        <w:t>.</w:t>
      </w:r>
    </w:p>
  </w:footnote>
  <w:footnote w:id="5">
    <w:p w14:paraId="57D9B1BC" w14:textId="05FE36B9" w:rsidR="00092622" w:rsidRPr="008F35A3" w:rsidRDefault="00092622" w:rsidP="008F35A3">
      <w:pPr>
        <w:pStyle w:val="FootnoteText"/>
        <w:ind w:left="567" w:hanging="567"/>
        <w:rPr>
          <w:color w:val="000000" w:themeColor="text1"/>
          <w:sz w:val="24"/>
          <w:szCs w:val="24"/>
          <w:vertAlign w:val="superscript"/>
          <w:lang w:val="et-EE"/>
        </w:rPr>
      </w:pPr>
      <w:r w:rsidRPr="008F35A3">
        <w:rPr>
          <w:rStyle w:val="FootnoteReference"/>
          <w:sz w:val="24"/>
          <w:szCs w:val="24"/>
          <w:lang w:val="et-EE"/>
        </w:rPr>
        <w:footnoteRef/>
      </w:r>
      <w:r w:rsidR="00AB131E" w:rsidRPr="008F35A3">
        <w:rPr>
          <w:color w:val="000000" w:themeColor="text1"/>
          <w:sz w:val="24"/>
          <w:szCs w:val="24"/>
          <w:lang w:val="et-EE"/>
        </w:rPr>
        <w:t xml:space="preserve"> </w:t>
      </w:r>
      <w:r w:rsidR="00AB131E" w:rsidRPr="008F35A3">
        <w:rPr>
          <w:color w:val="000000" w:themeColor="text1"/>
          <w:sz w:val="24"/>
          <w:szCs w:val="24"/>
          <w:lang w:val="et-EE"/>
        </w:rPr>
        <w:tab/>
      </w:r>
      <w:r w:rsidRPr="008F35A3">
        <w:rPr>
          <w:color w:val="000000" w:themeColor="text1"/>
          <w:sz w:val="24"/>
          <w:szCs w:val="24"/>
          <w:lang w:val="et-EE"/>
        </w:rPr>
        <w:t xml:space="preserve">Parlament võttis kaheksandal ametiajal vastu 36 resolutsiooni ja üheksandal ametiajal 38 resolutsiooni, milles vaidlustati </w:t>
      </w:r>
      <w:proofErr w:type="spellStart"/>
      <w:r w:rsidRPr="008F35A3">
        <w:rPr>
          <w:color w:val="000000" w:themeColor="text1"/>
          <w:sz w:val="24"/>
          <w:szCs w:val="24"/>
          <w:lang w:val="et-EE"/>
        </w:rPr>
        <w:t>GMOde</w:t>
      </w:r>
      <w:proofErr w:type="spellEnd"/>
      <w:r w:rsidRPr="008F35A3">
        <w:rPr>
          <w:color w:val="000000" w:themeColor="text1"/>
          <w:sz w:val="24"/>
          <w:szCs w:val="24"/>
          <w:lang w:val="et-EE"/>
        </w:rPr>
        <w:t xml:space="preserve"> kasutamiseks lubade andmine. Lisaks sellele on </w:t>
      </w:r>
      <w:r w:rsidR="00F571F8">
        <w:rPr>
          <w:color w:val="000000" w:themeColor="text1"/>
          <w:sz w:val="24"/>
          <w:szCs w:val="24"/>
          <w:lang w:val="et-EE"/>
        </w:rPr>
        <w:t>Euroopa P</w:t>
      </w:r>
      <w:r w:rsidRPr="008F35A3">
        <w:rPr>
          <w:color w:val="000000" w:themeColor="text1"/>
          <w:sz w:val="24"/>
          <w:szCs w:val="24"/>
          <w:lang w:val="et-EE"/>
        </w:rPr>
        <w:t>arlament kümnendal ametiajal vastu võtnud järgmised resolutsioonid:</w:t>
      </w:r>
    </w:p>
    <w:p w14:paraId="55844D84" w14:textId="04A0EB61" w:rsidR="00092622" w:rsidRPr="008F35A3" w:rsidRDefault="00AB131E" w:rsidP="008F35A3">
      <w:pPr>
        <w:pStyle w:val="FootnoteText"/>
        <w:ind w:left="567" w:hanging="567"/>
        <w:rPr>
          <w:color w:val="000000" w:themeColor="text1"/>
          <w:sz w:val="24"/>
          <w:szCs w:val="24"/>
          <w:vertAlign w:val="superscript"/>
          <w:lang w:val="et-EE"/>
        </w:rPr>
      </w:pPr>
      <w:r w:rsidRPr="008F35A3">
        <w:rPr>
          <w:color w:val="000000" w:themeColor="text1"/>
          <w:sz w:val="24"/>
          <w:szCs w:val="24"/>
          <w:lang w:val="et-EE"/>
        </w:rPr>
        <w:t xml:space="preserve"> </w:t>
      </w:r>
      <w:r w:rsidRPr="008F35A3">
        <w:rPr>
          <w:color w:val="000000" w:themeColor="text1"/>
          <w:sz w:val="24"/>
          <w:szCs w:val="24"/>
          <w:lang w:val="et-EE"/>
        </w:rPr>
        <w:tab/>
      </w:r>
      <w:r w:rsidR="00092622" w:rsidRPr="008F35A3">
        <w:rPr>
          <w:color w:val="000000" w:themeColor="text1"/>
          <w:sz w:val="24"/>
          <w:szCs w:val="24"/>
          <w:lang w:val="et-EE"/>
        </w:rPr>
        <w:t>–</w:t>
      </w:r>
      <w:r w:rsidR="00092622" w:rsidRPr="008F35A3">
        <w:rPr>
          <w:color w:val="000000" w:themeColor="text1"/>
          <w:sz w:val="24"/>
          <w:szCs w:val="24"/>
          <w:lang w:val="et-EE"/>
        </w:rPr>
        <w:tab/>
        <w:t xml:space="preserve">Euroopa Parlamendi 26. novembri 2024. </w:t>
      </w:r>
      <w:r w:rsidR="00092622" w:rsidRPr="008F35A3">
        <w:rPr>
          <w:color w:val="000000" w:themeColor="text1"/>
          <w:sz w:val="24"/>
          <w:szCs w:val="24"/>
          <w:lang w:val="et-EE"/>
        </w:rPr>
        <w:t xml:space="preserve">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5" w:history="1">
        <w:r w:rsidR="00092622" w:rsidRPr="008F35A3">
          <w:rPr>
            <w:rStyle w:val="Hyperlink"/>
            <w:sz w:val="24"/>
            <w:szCs w:val="24"/>
            <w:lang w:val="et-EE"/>
          </w:rPr>
          <w:t>http://data.europa.eu/eli/C/2025/1797/oj</w:t>
        </w:r>
      </w:hyperlink>
      <w:r w:rsidR="00092622" w:rsidRPr="008F35A3">
        <w:rPr>
          <w:color w:val="000000" w:themeColor="text1"/>
          <w:sz w:val="24"/>
          <w:szCs w:val="24"/>
          <w:lang w:val="et-EE"/>
        </w:rPr>
        <w:t>).</w:t>
      </w:r>
    </w:p>
    <w:p w14:paraId="4F9EA116" w14:textId="2C729A4B" w:rsidR="00092622" w:rsidRPr="008F35A3" w:rsidRDefault="00AB131E" w:rsidP="008F35A3">
      <w:pPr>
        <w:pStyle w:val="FootnoteText"/>
        <w:ind w:left="567" w:hanging="567"/>
        <w:rPr>
          <w:color w:val="000000" w:themeColor="text1"/>
          <w:sz w:val="24"/>
          <w:szCs w:val="24"/>
          <w:vertAlign w:val="superscript"/>
          <w:lang w:val="et-EE"/>
        </w:rPr>
      </w:pPr>
      <w:r w:rsidRPr="008F35A3">
        <w:rPr>
          <w:color w:val="000000" w:themeColor="text1"/>
          <w:sz w:val="24"/>
          <w:szCs w:val="24"/>
          <w:lang w:val="et-EE"/>
        </w:rPr>
        <w:t xml:space="preserve"> </w:t>
      </w:r>
      <w:r w:rsidRPr="008F35A3">
        <w:rPr>
          <w:color w:val="000000" w:themeColor="text1"/>
          <w:sz w:val="24"/>
          <w:szCs w:val="24"/>
          <w:lang w:val="et-EE"/>
        </w:rPr>
        <w:tab/>
      </w:r>
      <w:r w:rsidR="00092622" w:rsidRPr="008F35A3">
        <w:rPr>
          <w:color w:val="000000" w:themeColor="text1"/>
          <w:sz w:val="24"/>
          <w:szCs w:val="24"/>
          <w:lang w:val="et-EE"/>
        </w:rPr>
        <w:t>–</w:t>
      </w:r>
      <w:r w:rsidR="00092622" w:rsidRPr="008F35A3">
        <w:rPr>
          <w:color w:val="000000" w:themeColor="text1"/>
          <w:sz w:val="24"/>
          <w:szCs w:val="24"/>
          <w:lang w:val="et-EE"/>
        </w:rPr>
        <w:tab/>
        <w:t xml:space="preserve">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6" w:history="1">
        <w:r w:rsidR="00092622" w:rsidRPr="008F35A3">
          <w:rPr>
            <w:rStyle w:val="Hyperlink"/>
            <w:sz w:val="24"/>
            <w:szCs w:val="24"/>
            <w:lang w:val="et-EE"/>
          </w:rPr>
          <w:t>http://data.europa.eu/eli/C/2025/1798/oj</w:t>
        </w:r>
      </w:hyperlink>
      <w:r w:rsidR="00092622" w:rsidRPr="008F35A3">
        <w:rPr>
          <w:color w:val="000000" w:themeColor="text1"/>
          <w:sz w:val="24"/>
          <w:szCs w:val="24"/>
          <w:lang w:val="et-EE"/>
        </w:rPr>
        <w:t>).</w:t>
      </w:r>
    </w:p>
    <w:p w14:paraId="1396A48F" w14:textId="4395EF9C" w:rsidR="00092622" w:rsidRPr="008F35A3" w:rsidRDefault="00AB131E" w:rsidP="008F35A3">
      <w:pPr>
        <w:pStyle w:val="FootnoteText"/>
        <w:ind w:left="567" w:hanging="567"/>
        <w:rPr>
          <w:color w:val="000000" w:themeColor="text1"/>
          <w:sz w:val="24"/>
          <w:szCs w:val="24"/>
          <w:vertAlign w:val="superscript"/>
          <w:lang w:val="et-EE"/>
        </w:rPr>
      </w:pPr>
      <w:r w:rsidRPr="008F35A3">
        <w:rPr>
          <w:color w:val="000000" w:themeColor="text1"/>
          <w:sz w:val="24"/>
          <w:szCs w:val="24"/>
          <w:lang w:val="et-EE"/>
        </w:rPr>
        <w:t xml:space="preserve"> </w:t>
      </w:r>
      <w:r w:rsidRPr="008F35A3">
        <w:rPr>
          <w:color w:val="000000" w:themeColor="text1"/>
          <w:sz w:val="24"/>
          <w:szCs w:val="24"/>
          <w:lang w:val="et-EE"/>
        </w:rPr>
        <w:tab/>
      </w:r>
      <w:r w:rsidR="00092622" w:rsidRPr="008F35A3">
        <w:rPr>
          <w:color w:val="000000" w:themeColor="text1"/>
          <w:sz w:val="24"/>
          <w:szCs w:val="24"/>
          <w:lang w:val="et-EE"/>
        </w:rPr>
        <w:t>–</w:t>
      </w:r>
      <w:r w:rsidR="00092622" w:rsidRPr="008F35A3">
        <w:rPr>
          <w:color w:val="000000" w:themeColor="text1"/>
          <w:sz w:val="24"/>
          <w:szCs w:val="24"/>
          <w:lang w:val="et-EE"/>
        </w:rPr>
        <w:tab/>
        <w:t xml:space="preserve">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7" w:history="1">
        <w:r w:rsidR="00092622" w:rsidRPr="008F35A3">
          <w:rPr>
            <w:rStyle w:val="Hyperlink"/>
            <w:sz w:val="24"/>
            <w:szCs w:val="24"/>
            <w:lang w:val="et-EE"/>
          </w:rPr>
          <w:t>http://data.europa.eu/eli/C/2025/1799/oj</w:t>
        </w:r>
      </w:hyperlink>
      <w:r w:rsidR="00092622" w:rsidRPr="008F35A3">
        <w:rPr>
          <w:color w:val="000000" w:themeColor="text1"/>
          <w:sz w:val="24"/>
          <w:szCs w:val="24"/>
          <w:lang w:val="et-EE"/>
        </w:rPr>
        <w:t>).</w:t>
      </w:r>
    </w:p>
    <w:p w14:paraId="1533B414" w14:textId="6A160EA2" w:rsidR="00092622" w:rsidRPr="008F35A3" w:rsidRDefault="00AB131E" w:rsidP="008F35A3">
      <w:pPr>
        <w:pStyle w:val="FootnoteText"/>
        <w:ind w:left="567" w:hanging="567"/>
        <w:rPr>
          <w:color w:val="000000" w:themeColor="text1"/>
          <w:sz w:val="24"/>
          <w:szCs w:val="24"/>
          <w:vertAlign w:val="superscript"/>
          <w:lang w:val="et-EE"/>
        </w:rPr>
      </w:pPr>
      <w:r w:rsidRPr="008F35A3">
        <w:rPr>
          <w:color w:val="000000" w:themeColor="text1"/>
          <w:sz w:val="24"/>
          <w:szCs w:val="24"/>
          <w:lang w:val="et-EE"/>
        </w:rPr>
        <w:t xml:space="preserve"> </w:t>
      </w:r>
      <w:r w:rsidRPr="008F35A3">
        <w:rPr>
          <w:color w:val="000000" w:themeColor="text1"/>
          <w:sz w:val="24"/>
          <w:szCs w:val="24"/>
          <w:lang w:val="et-EE"/>
        </w:rPr>
        <w:tab/>
      </w:r>
      <w:r w:rsidR="00092622" w:rsidRPr="008F35A3">
        <w:rPr>
          <w:color w:val="000000" w:themeColor="text1"/>
          <w:sz w:val="24"/>
          <w:szCs w:val="24"/>
          <w:lang w:val="et-EE"/>
        </w:rPr>
        <w:t>–</w:t>
      </w:r>
      <w:r w:rsidR="00092622" w:rsidRPr="008F35A3">
        <w:rPr>
          <w:color w:val="000000" w:themeColor="text1"/>
          <w:sz w:val="24"/>
          <w:szCs w:val="24"/>
          <w:lang w:val="et-EE"/>
        </w:rPr>
        <w:tab/>
        <w:t xml:space="preserve">Euroopa Parlamendi 26. novembri 2024. aasta resolutsioon komisjoni rakendusotsuse (EL) 2024/1828 kohta, millega pikendatakse geneetiliselt muundatud maisi MON 810 sisaldava, sellest koosneva ja sellest valmistatud toidu ja sööda </w:t>
      </w:r>
      <w:proofErr w:type="spellStart"/>
      <w:r w:rsidR="00092622" w:rsidRPr="008F35A3">
        <w:rPr>
          <w:color w:val="000000" w:themeColor="text1"/>
          <w:sz w:val="24"/>
          <w:szCs w:val="24"/>
          <w:lang w:val="et-EE"/>
        </w:rPr>
        <w:t>turuleviimise</w:t>
      </w:r>
      <w:proofErr w:type="spellEnd"/>
      <w:r w:rsidR="00092622" w:rsidRPr="008F35A3">
        <w:rPr>
          <w:color w:val="000000" w:themeColor="text1"/>
          <w:sz w:val="24"/>
          <w:szCs w:val="24"/>
          <w:lang w:val="et-EE"/>
        </w:rPr>
        <w:t xml:space="preserve"> loa kehtivust vastavalt Euroopa Parlamendi ja nõukogu määrusele (EÜ) nr 1829/2003 ning tunnistatakse kehtetuks komisjoni rakendusotsus (EL) 2017/1207 (ELT C, C/2025/1800, 4.4.2025, ELI: </w:t>
      </w:r>
      <w:hyperlink r:id="rId8" w:history="1">
        <w:r w:rsidR="00092622" w:rsidRPr="008F35A3">
          <w:rPr>
            <w:rStyle w:val="Hyperlink"/>
            <w:sz w:val="24"/>
            <w:szCs w:val="24"/>
            <w:lang w:val="et-EE"/>
          </w:rPr>
          <w:t>http://data.europa.eu/eli/C/2025/1800/oj</w:t>
        </w:r>
      </w:hyperlink>
      <w:r w:rsidR="00092622" w:rsidRPr="008F35A3">
        <w:rPr>
          <w:color w:val="000000" w:themeColor="text1"/>
          <w:sz w:val="24"/>
          <w:szCs w:val="24"/>
          <w:lang w:val="et-EE"/>
        </w:rPr>
        <w:t>).</w:t>
      </w:r>
    </w:p>
    <w:p w14:paraId="7B902A98" w14:textId="6B3C4A52" w:rsidR="00092622" w:rsidRPr="008F35A3" w:rsidRDefault="00AB131E" w:rsidP="008F35A3">
      <w:pPr>
        <w:pStyle w:val="FootnoteText"/>
        <w:ind w:left="567" w:hanging="567"/>
        <w:rPr>
          <w:color w:val="000000" w:themeColor="text1"/>
          <w:sz w:val="24"/>
          <w:szCs w:val="24"/>
          <w:vertAlign w:val="superscript"/>
          <w:lang w:val="et-EE"/>
        </w:rPr>
      </w:pPr>
      <w:r w:rsidRPr="008F35A3">
        <w:rPr>
          <w:color w:val="000000" w:themeColor="text1"/>
          <w:sz w:val="24"/>
          <w:szCs w:val="24"/>
          <w:lang w:val="et-EE"/>
        </w:rPr>
        <w:t xml:space="preserve"> </w:t>
      </w:r>
      <w:r w:rsidRPr="008F35A3">
        <w:rPr>
          <w:color w:val="000000" w:themeColor="text1"/>
          <w:sz w:val="24"/>
          <w:szCs w:val="24"/>
          <w:lang w:val="et-EE"/>
        </w:rPr>
        <w:tab/>
      </w:r>
      <w:r w:rsidR="00092622" w:rsidRPr="008F35A3">
        <w:rPr>
          <w:color w:val="000000" w:themeColor="text1"/>
          <w:sz w:val="24"/>
          <w:szCs w:val="24"/>
          <w:lang w:val="et-EE"/>
        </w:rPr>
        <w:t>–</w:t>
      </w:r>
      <w:r w:rsidR="00092622" w:rsidRPr="008F35A3">
        <w:rPr>
          <w:color w:val="000000" w:themeColor="text1"/>
          <w:sz w:val="24"/>
          <w:szCs w:val="24"/>
          <w:lang w:val="et-EE"/>
        </w:rPr>
        <w:tab/>
        <w:t xml:space="preserve">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9" w:history="1">
        <w:r w:rsidR="00092622" w:rsidRPr="008F35A3">
          <w:rPr>
            <w:rStyle w:val="Hyperlink"/>
            <w:sz w:val="24"/>
            <w:szCs w:val="24"/>
            <w:lang w:val="et-EE"/>
          </w:rPr>
          <w:t>http://data.europa.eu/eli/C/2025/1801/oj</w:t>
        </w:r>
      </w:hyperlink>
      <w:r w:rsidR="00092622" w:rsidRPr="008F35A3">
        <w:rPr>
          <w:color w:val="000000" w:themeColor="text1"/>
          <w:sz w:val="24"/>
          <w:szCs w:val="24"/>
          <w:lang w:val="et-EE"/>
        </w:rPr>
        <w:t>).</w:t>
      </w:r>
    </w:p>
    <w:p w14:paraId="64BF066C" w14:textId="02FC1418" w:rsidR="00092622" w:rsidRPr="008F35A3" w:rsidRDefault="00AB131E" w:rsidP="008F35A3">
      <w:pPr>
        <w:pStyle w:val="FootnoteText"/>
        <w:ind w:left="567" w:hanging="567"/>
        <w:rPr>
          <w:color w:val="000000" w:themeColor="text1"/>
          <w:sz w:val="24"/>
          <w:szCs w:val="24"/>
          <w:vertAlign w:val="superscript"/>
          <w:lang w:val="et-EE"/>
        </w:rPr>
      </w:pPr>
      <w:r w:rsidRPr="008F35A3">
        <w:rPr>
          <w:color w:val="000000" w:themeColor="text1"/>
          <w:sz w:val="24"/>
          <w:szCs w:val="24"/>
          <w:lang w:val="et-EE"/>
        </w:rPr>
        <w:t xml:space="preserve"> </w:t>
      </w:r>
      <w:r w:rsidRPr="008F35A3">
        <w:rPr>
          <w:color w:val="000000" w:themeColor="text1"/>
          <w:sz w:val="24"/>
          <w:szCs w:val="24"/>
          <w:lang w:val="et-EE"/>
        </w:rPr>
        <w:tab/>
      </w:r>
      <w:r w:rsidR="00092622" w:rsidRPr="008F35A3">
        <w:rPr>
          <w:color w:val="000000" w:themeColor="text1"/>
          <w:sz w:val="24"/>
          <w:szCs w:val="24"/>
          <w:lang w:val="et-EE"/>
        </w:rPr>
        <w:t>–</w:t>
      </w:r>
      <w:r w:rsidR="00092622" w:rsidRPr="008F35A3">
        <w:rPr>
          <w:color w:val="000000" w:themeColor="text1"/>
          <w:sz w:val="24"/>
          <w:szCs w:val="24"/>
          <w:lang w:val="et-EE"/>
        </w:rPr>
        <w:tab/>
        <w:t xml:space="preserve">Euroopa Parlamendi 26. novembri 2024. aasta resolutsioon komisjoni rakendusotsuse (EL) 2024/1826 kohta, millega lubatakse viia turule geneetiliselt muundatud maisi DP23211 sisaldavaid, sellest koosnevaid või sellest toodetud tooteid vastavalt Euroopa Parlamendi ja nõukogu määrusele (EÜ) nr 1829/2003 (ELT C, C/2025/1802, 4.4.2025, ELI: </w:t>
      </w:r>
      <w:hyperlink r:id="rId10" w:history="1">
        <w:r w:rsidR="00092622" w:rsidRPr="008F35A3">
          <w:rPr>
            <w:rStyle w:val="Hyperlink"/>
            <w:sz w:val="24"/>
            <w:szCs w:val="24"/>
            <w:lang w:val="et-EE"/>
          </w:rPr>
          <w:t>http://data.europa.eu/eli/C/2025/1802/oj</w:t>
        </w:r>
      </w:hyperlink>
      <w:r w:rsidR="00092622" w:rsidRPr="008F35A3">
        <w:rPr>
          <w:color w:val="000000" w:themeColor="text1"/>
          <w:sz w:val="24"/>
          <w:szCs w:val="24"/>
          <w:lang w:val="et-EE"/>
        </w:rPr>
        <w:t>).</w:t>
      </w:r>
    </w:p>
    <w:p w14:paraId="0F664B28" w14:textId="1B9B8A34" w:rsidR="00092622" w:rsidRPr="008F35A3" w:rsidRDefault="00AB131E" w:rsidP="008F35A3">
      <w:pPr>
        <w:pStyle w:val="FootnoteText"/>
        <w:ind w:left="567" w:hanging="567"/>
        <w:rPr>
          <w:color w:val="000000" w:themeColor="text1"/>
          <w:sz w:val="24"/>
          <w:szCs w:val="24"/>
          <w:vertAlign w:val="superscript"/>
          <w:lang w:val="et-EE"/>
        </w:rPr>
      </w:pPr>
      <w:r w:rsidRPr="008F35A3">
        <w:rPr>
          <w:color w:val="000000" w:themeColor="text1"/>
          <w:sz w:val="24"/>
          <w:szCs w:val="24"/>
          <w:lang w:val="et-EE"/>
        </w:rPr>
        <w:t xml:space="preserve"> </w:t>
      </w:r>
      <w:r w:rsidRPr="008F35A3">
        <w:rPr>
          <w:color w:val="000000" w:themeColor="text1"/>
          <w:sz w:val="24"/>
          <w:szCs w:val="24"/>
          <w:lang w:val="et-EE"/>
        </w:rPr>
        <w:tab/>
      </w:r>
      <w:r w:rsidR="00092622" w:rsidRPr="008F35A3">
        <w:rPr>
          <w:color w:val="000000" w:themeColor="text1"/>
          <w:sz w:val="24"/>
          <w:szCs w:val="24"/>
          <w:lang w:val="et-EE"/>
        </w:rPr>
        <w:t>–</w:t>
      </w:r>
      <w:r w:rsidR="00092622" w:rsidRPr="008F35A3">
        <w:rPr>
          <w:color w:val="000000" w:themeColor="text1"/>
          <w:sz w:val="24"/>
          <w:szCs w:val="24"/>
          <w:lang w:val="et-EE"/>
        </w:rPr>
        <w:tab/>
        <w:t xml:space="preserve">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1" w:history="1">
        <w:r w:rsidR="00092622" w:rsidRPr="008F35A3">
          <w:rPr>
            <w:rStyle w:val="Hyperlink"/>
            <w:sz w:val="24"/>
            <w:szCs w:val="24"/>
            <w:lang w:val="et-EE"/>
          </w:rPr>
          <w:t>http://data.europa.eu/eli/C/2025/1803/oj</w:t>
        </w:r>
      </w:hyperlink>
      <w:r w:rsidR="00092622" w:rsidRPr="008F35A3">
        <w:rPr>
          <w:color w:val="000000" w:themeColor="text1"/>
          <w:sz w:val="24"/>
          <w:szCs w:val="24"/>
          <w:lang w:val="et-EE"/>
        </w:rPr>
        <w:t>).</w:t>
      </w:r>
    </w:p>
    <w:p w14:paraId="625E02EA" w14:textId="3911AA2F" w:rsidR="00092622" w:rsidRPr="008F35A3" w:rsidRDefault="00AB131E" w:rsidP="008F35A3">
      <w:pPr>
        <w:pStyle w:val="FootnoteText"/>
        <w:ind w:left="567" w:hanging="567"/>
        <w:rPr>
          <w:color w:val="000000" w:themeColor="text1"/>
          <w:sz w:val="24"/>
          <w:szCs w:val="24"/>
          <w:vertAlign w:val="superscript"/>
          <w:lang w:val="et-EE"/>
        </w:rPr>
      </w:pPr>
      <w:r w:rsidRPr="008F35A3">
        <w:rPr>
          <w:color w:val="000000" w:themeColor="text1"/>
          <w:sz w:val="24"/>
          <w:szCs w:val="24"/>
          <w:lang w:val="et-EE"/>
        </w:rPr>
        <w:t xml:space="preserve"> </w:t>
      </w:r>
      <w:r w:rsidRPr="008F35A3">
        <w:rPr>
          <w:color w:val="000000" w:themeColor="text1"/>
          <w:sz w:val="24"/>
          <w:szCs w:val="24"/>
          <w:lang w:val="et-EE"/>
        </w:rPr>
        <w:tab/>
      </w:r>
      <w:r w:rsidR="00092622" w:rsidRPr="008F35A3">
        <w:rPr>
          <w:color w:val="000000" w:themeColor="text1"/>
          <w:sz w:val="24"/>
          <w:szCs w:val="24"/>
          <w:lang w:val="et-EE"/>
        </w:rPr>
        <w:t>–</w:t>
      </w:r>
      <w:r w:rsidR="00092622" w:rsidRPr="008F35A3">
        <w:rPr>
          <w:color w:val="000000" w:themeColor="text1"/>
          <w:sz w:val="24"/>
          <w:szCs w:val="24"/>
          <w:lang w:val="et-EE"/>
        </w:rPr>
        <w:tab/>
        <w:t xml:space="preserve">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2" w:history="1">
        <w:r w:rsidR="00092622" w:rsidRPr="008F35A3">
          <w:rPr>
            <w:rStyle w:val="Hyperlink"/>
            <w:sz w:val="24"/>
            <w:szCs w:val="24"/>
            <w:lang w:val="et-EE"/>
          </w:rPr>
          <w:t>http://data.europa.eu/eli/C/2025/1804/oj</w:t>
        </w:r>
      </w:hyperlink>
      <w:r w:rsidR="00092622" w:rsidRPr="008F35A3">
        <w:rPr>
          <w:color w:val="000000" w:themeColor="text1"/>
          <w:sz w:val="24"/>
          <w:szCs w:val="24"/>
          <w:lang w:val="et-EE"/>
        </w:rPr>
        <w:t>).</w:t>
      </w:r>
    </w:p>
    <w:p w14:paraId="4BA2AC7D" w14:textId="75BAADE1" w:rsidR="00092622" w:rsidRPr="008F35A3" w:rsidRDefault="00AB131E" w:rsidP="008F35A3">
      <w:pPr>
        <w:pStyle w:val="FootnoteText"/>
        <w:ind w:left="567" w:hanging="567"/>
        <w:rPr>
          <w:sz w:val="24"/>
          <w:szCs w:val="24"/>
          <w:vertAlign w:val="superscript"/>
          <w:lang w:val="et-EE"/>
        </w:rPr>
      </w:pPr>
      <w:r w:rsidRPr="008F35A3">
        <w:rPr>
          <w:color w:val="000000" w:themeColor="text1"/>
          <w:sz w:val="24"/>
          <w:szCs w:val="24"/>
          <w:lang w:val="et-EE"/>
        </w:rPr>
        <w:t xml:space="preserve"> </w:t>
      </w:r>
      <w:r w:rsidRPr="008F35A3">
        <w:rPr>
          <w:color w:val="000000" w:themeColor="text1"/>
          <w:sz w:val="24"/>
          <w:szCs w:val="24"/>
          <w:lang w:val="et-EE"/>
        </w:rPr>
        <w:tab/>
      </w:r>
      <w:r w:rsidR="00092622" w:rsidRPr="008F35A3">
        <w:rPr>
          <w:color w:val="000000" w:themeColor="text1"/>
          <w:sz w:val="24"/>
          <w:szCs w:val="24"/>
          <w:lang w:val="et-EE"/>
        </w:rPr>
        <w:t>–</w:t>
      </w:r>
      <w:r w:rsidR="00092622" w:rsidRPr="008F35A3">
        <w:rPr>
          <w:color w:val="000000" w:themeColor="text1"/>
          <w:sz w:val="24"/>
          <w:szCs w:val="24"/>
          <w:lang w:val="et-EE"/>
        </w:rPr>
        <w:tab/>
      </w:r>
      <w:r w:rsidR="00092622" w:rsidRPr="008F35A3">
        <w:rPr>
          <w:sz w:val="24"/>
          <w:szCs w:val="24"/>
          <w:lang w:val="et-EE"/>
        </w:rPr>
        <w:t xml:space="preserve">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3" w:tooltip="Annab dokumendile juurdepääsu selle ELI URI kaudu." w:history="1">
        <w:r w:rsidR="00092622" w:rsidRPr="008F35A3">
          <w:rPr>
            <w:rStyle w:val="Hyperlink"/>
            <w:sz w:val="24"/>
            <w:szCs w:val="24"/>
            <w:lang w:val="et-EE"/>
          </w:rPr>
          <w:t>http://data.europa.eu/eli/C/2025/2246/oj</w:t>
        </w:r>
      </w:hyperlink>
      <w:r w:rsidR="00092622" w:rsidRPr="008F35A3">
        <w:rPr>
          <w:sz w:val="24"/>
          <w:szCs w:val="24"/>
          <w:lang w:val="et-EE"/>
        </w:rPr>
        <w:t>).</w:t>
      </w:r>
    </w:p>
    <w:p w14:paraId="3AC01D50" w14:textId="15AD84A8" w:rsidR="00092622" w:rsidRPr="008F35A3" w:rsidRDefault="00AB131E" w:rsidP="008F35A3">
      <w:pPr>
        <w:pStyle w:val="FootnoteText"/>
        <w:ind w:left="567" w:hanging="567"/>
        <w:rPr>
          <w:sz w:val="24"/>
          <w:szCs w:val="24"/>
          <w:vertAlign w:val="superscript"/>
          <w:lang w:val="et-EE"/>
        </w:rPr>
      </w:pPr>
      <w:r w:rsidRPr="008F35A3">
        <w:rPr>
          <w:sz w:val="24"/>
          <w:szCs w:val="24"/>
          <w:lang w:val="et-EE"/>
        </w:rPr>
        <w:t xml:space="preserve"> </w:t>
      </w:r>
      <w:r w:rsidRPr="008F35A3">
        <w:rPr>
          <w:sz w:val="24"/>
          <w:szCs w:val="24"/>
          <w:lang w:val="et-EE"/>
        </w:rPr>
        <w:tab/>
      </w:r>
      <w:r w:rsidR="00092622" w:rsidRPr="008F35A3">
        <w:rPr>
          <w:sz w:val="24"/>
          <w:szCs w:val="24"/>
          <w:lang w:val="et-EE"/>
        </w:rPr>
        <w:t>–</w:t>
      </w:r>
      <w:r w:rsidR="00092622" w:rsidRPr="008F35A3">
        <w:rPr>
          <w:sz w:val="24"/>
          <w:szCs w:val="24"/>
          <w:lang w:val="et-EE"/>
        </w:rPr>
        <w:tab/>
        <w:t xml:space="preserve">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4" w:tooltip="Annab dokumendile juurdepääsu selle ELI URI kaudu." w:history="1">
        <w:r w:rsidR="00092622" w:rsidRPr="008F35A3">
          <w:rPr>
            <w:rStyle w:val="Hyperlink"/>
            <w:sz w:val="24"/>
            <w:szCs w:val="24"/>
            <w:lang w:val="et-EE"/>
          </w:rPr>
          <w:t>http://data.europa.eu/eli/C/2025/2247/oj</w:t>
        </w:r>
      </w:hyperlink>
      <w:r w:rsidR="00092622" w:rsidRPr="008F35A3">
        <w:rPr>
          <w:sz w:val="24"/>
          <w:szCs w:val="24"/>
          <w:lang w:val="et-EE"/>
        </w:rPr>
        <w:t>).</w:t>
      </w:r>
    </w:p>
    <w:p w14:paraId="77316119" w14:textId="3CC6D482" w:rsidR="00092622" w:rsidRPr="008F35A3" w:rsidRDefault="00AB131E" w:rsidP="008F35A3">
      <w:pPr>
        <w:pStyle w:val="FootnoteText"/>
        <w:ind w:left="567" w:hanging="567"/>
        <w:rPr>
          <w:sz w:val="24"/>
          <w:szCs w:val="24"/>
          <w:lang w:val="et-EE"/>
        </w:rPr>
      </w:pPr>
      <w:r w:rsidRPr="008F35A3">
        <w:rPr>
          <w:sz w:val="24"/>
          <w:szCs w:val="24"/>
          <w:lang w:val="et-EE"/>
        </w:rPr>
        <w:t xml:space="preserve"> </w:t>
      </w:r>
      <w:r w:rsidRPr="008F35A3">
        <w:rPr>
          <w:sz w:val="24"/>
          <w:szCs w:val="24"/>
          <w:lang w:val="et-EE"/>
        </w:rPr>
        <w:tab/>
      </w:r>
      <w:r w:rsidR="00092622" w:rsidRPr="008F35A3">
        <w:rPr>
          <w:sz w:val="24"/>
          <w:szCs w:val="24"/>
          <w:lang w:val="et-EE"/>
        </w:rPr>
        <w:t>–</w:t>
      </w:r>
      <w:r w:rsidR="00092622" w:rsidRPr="008F35A3">
        <w:rPr>
          <w:sz w:val="24"/>
          <w:szCs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(P10_TA(2025)0106).</w:t>
      </w:r>
    </w:p>
  </w:footnote>
  <w:footnote w:id="6">
    <w:p w14:paraId="3C66F085" w14:textId="6FD360F1"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Euroopa Parlamendi ja nõukogu 21. oktoobri 2009. </w:t>
      </w:r>
      <w:r w:rsidRPr="008F35A3">
        <w:rPr>
          <w:sz w:val="24"/>
          <w:szCs w:val="24"/>
          <w:lang w:val="et-EE"/>
        </w:rPr>
        <w:t xml:space="preserve">aasta määrus (EÜ) nr 1107/2009 taimekaitsevahendite </w:t>
      </w:r>
      <w:proofErr w:type="spellStart"/>
      <w:r w:rsidRPr="008F35A3">
        <w:rPr>
          <w:sz w:val="24"/>
          <w:szCs w:val="24"/>
          <w:lang w:val="et-EE"/>
        </w:rPr>
        <w:t>turulelaskmise</w:t>
      </w:r>
      <w:proofErr w:type="spellEnd"/>
      <w:r w:rsidRPr="008F35A3">
        <w:rPr>
          <w:sz w:val="24"/>
          <w:szCs w:val="24"/>
          <w:lang w:val="et-EE"/>
        </w:rPr>
        <w:t xml:space="preserve"> ja nõukogu direktiivide 79/117/EMÜ ja 91/414/EMÜ kehtetuks tunnistamise kohta (ELT L 309, 24.11.2009, lk 1, ELI: </w:t>
      </w:r>
      <w:hyperlink r:id="rId15" w:tooltip="Annab dokumendile juurdepääsu selle ELI URI kaudu." w:history="1">
        <w:r w:rsidRPr="008F35A3">
          <w:rPr>
            <w:rStyle w:val="Hyperlink"/>
            <w:sz w:val="24"/>
            <w:szCs w:val="24"/>
            <w:lang w:val="et-EE"/>
          </w:rPr>
          <w:t>http://data.europa.eu/eli/reg/2009/1107/oj</w:t>
        </w:r>
      </w:hyperlink>
      <w:r w:rsidRPr="008F35A3">
        <w:rPr>
          <w:sz w:val="24"/>
          <w:szCs w:val="24"/>
          <w:lang w:val="et-EE"/>
        </w:rPr>
        <w:t>).</w:t>
      </w:r>
    </w:p>
  </w:footnote>
  <w:footnote w:id="7">
    <w:p w14:paraId="542602A5" w14:textId="093D57F4"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hyperlink r:id="rId16" w:history="1">
        <w:r w:rsidRPr="008F35A3">
          <w:rPr>
            <w:rStyle w:val="Hyperlink"/>
            <w:sz w:val="24"/>
            <w:szCs w:val="24"/>
            <w:lang w:val="et-EE"/>
          </w:rPr>
          <w:t>https://www.testbiotech.org/wp-content/uploads/2024/12/Testbiotech_comment_‌maize_DP51291.pdf</w:t>
        </w:r>
      </w:hyperlink>
    </w:p>
  </w:footnote>
  <w:footnote w:id="8">
    <w:p w14:paraId="51405619" w14:textId="44D3BA12"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Komisjoni 3. aprilli 2013. </w:t>
      </w:r>
      <w:r w:rsidRPr="008F35A3">
        <w:rPr>
          <w:sz w:val="24"/>
          <w:szCs w:val="24"/>
          <w:lang w:val="et-EE"/>
        </w:rPr>
        <w:t xml:space="preserve">aasta rakendusmäärus (EL) nr 503/2013, mis käsitleb loa taotlemist geneetiliselt muundatud toidule ja söödale Euroopa Parlamendi ja nõukogu määruse (EÜ) nr 1829/2003 kohaselt ning millega muudetakse määrusi (EÜ) nr 641/2004 ja (EÜ) nr 1981/2006 (ELT L 157, 8.6.2013, lk 1, ELI: </w:t>
      </w:r>
      <w:hyperlink r:id="rId17" w:history="1">
        <w:r w:rsidRPr="008F35A3">
          <w:rPr>
            <w:rStyle w:val="Hyperlink"/>
            <w:sz w:val="24"/>
            <w:szCs w:val="24"/>
            <w:lang w:val="et-EE"/>
          </w:rPr>
          <w:t>http://data.europa.eu/eli/reg_impl/2013/503/oj</w:t>
        </w:r>
      </w:hyperlink>
      <w:r w:rsidRPr="008F35A3">
        <w:rPr>
          <w:sz w:val="24"/>
          <w:szCs w:val="24"/>
          <w:lang w:val="et-EE"/>
        </w:rPr>
        <w:t>).</w:t>
      </w:r>
    </w:p>
  </w:footnote>
  <w:footnote w:id="9">
    <w:p w14:paraId="2C33D4F9" w14:textId="2117DA29"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proofErr w:type="spellStart"/>
      <w:r w:rsidRPr="008F35A3">
        <w:rPr>
          <w:sz w:val="24"/>
          <w:szCs w:val="24"/>
          <w:lang w:val="et-EE"/>
        </w:rPr>
        <w:t>Trtikova</w:t>
      </w:r>
      <w:proofErr w:type="spellEnd"/>
      <w:r w:rsidRPr="008F35A3">
        <w:rPr>
          <w:sz w:val="24"/>
          <w:szCs w:val="24"/>
          <w:lang w:val="et-EE"/>
        </w:rPr>
        <w:t xml:space="preserve">, M., </w:t>
      </w:r>
      <w:proofErr w:type="spellStart"/>
      <w:r w:rsidRPr="008F35A3">
        <w:rPr>
          <w:sz w:val="24"/>
          <w:szCs w:val="24"/>
          <w:lang w:val="et-EE"/>
        </w:rPr>
        <w:t>Wikmark</w:t>
      </w:r>
      <w:proofErr w:type="spellEnd"/>
      <w:r w:rsidRPr="008F35A3">
        <w:rPr>
          <w:sz w:val="24"/>
          <w:szCs w:val="24"/>
          <w:lang w:val="et-EE"/>
        </w:rPr>
        <w:t xml:space="preserve"> O. G., </w:t>
      </w:r>
      <w:proofErr w:type="spellStart"/>
      <w:r w:rsidRPr="008F35A3">
        <w:rPr>
          <w:sz w:val="24"/>
          <w:szCs w:val="24"/>
          <w:lang w:val="et-EE"/>
        </w:rPr>
        <w:t>Zemp</w:t>
      </w:r>
      <w:proofErr w:type="spellEnd"/>
      <w:r w:rsidRPr="008F35A3">
        <w:rPr>
          <w:sz w:val="24"/>
          <w:szCs w:val="24"/>
          <w:lang w:val="et-EE"/>
        </w:rPr>
        <w:t xml:space="preserve">, N., </w:t>
      </w:r>
      <w:proofErr w:type="spellStart"/>
      <w:r w:rsidRPr="008F35A3">
        <w:rPr>
          <w:sz w:val="24"/>
          <w:szCs w:val="24"/>
          <w:lang w:val="et-EE"/>
        </w:rPr>
        <w:t>Widmer</w:t>
      </w:r>
      <w:proofErr w:type="spellEnd"/>
      <w:r w:rsidRPr="008F35A3">
        <w:rPr>
          <w:sz w:val="24"/>
          <w:szCs w:val="24"/>
          <w:lang w:val="et-EE"/>
        </w:rPr>
        <w:t xml:space="preserve">, A., </w:t>
      </w:r>
      <w:proofErr w:type="spellStart"/>
      <w:r w:rsidRPr="008F35A3">
        <w:rPr>
          <w:sz w:val="24"/>
          <w:szCs w:val="24"/>
          <w:lang w:val="et-EE"/>
        </w:rPr>
        <w:t>Hilbeck</w:t>
      </w:r>
      <w:proofErr w:type="spellEnd"/>
      <w:r w:rsidRPr="008F35A3">
        <w:rPr>
          <w:sz w:val="24"/>
          <w:szCs w:val="24"/>
          <w:lang w:val="et-EE"/>
        </w:rPr>
        <w:t>, A., (2015) „</w:t>
      </w:r>
      <w:proofErr w:type="spellStart"/>
      <w:r w:rsidRPr="008F35A3">
        <w:rPr>
          <w:sz w:val="24"/>
          <w:szCs w:val="24"/>
          <w:lang w:val="et-EE"/>
        </w:rPr>
        <w:t>Transgene</w:t>
      </w:r>
      <w:proofErr w:type="spellEnd"/>
      <w:r w:rsidRPr="008F35A3">
        <w:rPr>
          <w:sz w:val="24"/>
          <w:szCs w:val="24"/>
          <w:lang w:val="et-EE"/>
        </w:rPr>
        <w:t xml:space="preserve"> </w:t>
      </w:r>
      <w:proofErr w:type="spellStart"/>
      <w:r w:rsidRPr="008F35A3">
        <w:rPr>
          <w:sz w:val="24"/>
          <w:szCs w:val="24"/>
          <w:lang w:val="et-EE"/>
        </w:rPr>
        <w:t>Expression</w:t>
      </w:r>
      <w:proofErr w:type="spellEnd"/>
      <w:r w:rsidRPr="008F35A3">
        <w:rPr>
          <w:sz w:val="24"/>
          <w:szCs w:val="24"/>
          <w:lang w:val="et-EE"/>
        </w:rPr>
        <w:t xml:space="preserve"> and Bt </w:t>
      </w:r>
      <w:proofErr w:type="spellStart"/>
      <w:r w:rsidRPr="008F35A3">
        <w:rPr>
          <w:sz w:val="24"/>
          <w:szCs w:val="24"/>
          <w:lang w:val="et-EE"/>
        </w:rPr>
        <w:t>Protein</w:t>
      </w:r>
      <w:proofErr w:type="spellEnd"/>
      <w:r w:rsidRPr="008F35A3">
        <w:rPr>
          <w:sz w:val="24"/>
          <w:szCs w:val="24"/>
          <w:lang w:val="et-EE"/>
        </w:rPr>
        <w:t xml:space="preserve"> </w:t>
      </w:r>
      <w:proofErr w:type="spellStart"/>
      <w:r w:rsidRPr="008F35A3">
        <w:rPr>
          <w:sz w:val="24"/>
          <w:szCs w:val="24"/>
          <w:lang w:val="et-EE"/>
        </w:rPr>
        <w:t>Content</w:t>
      </w:r>
      <w:proofErr w:type="spellEnd"/>
      <w:r w:rsidRPr="008F35A3">
        <w:rPr>
          <w:sz w:val="24"/>
          <w:szCs w:val="24"/>
          <w:lang w:val="et-EE"/>
        </w:rPr>
        <w:t xml:space="preserve"> in </w:t>
      </w:r>
      <w:proofErr w:type="spellStart"/>
      <w:r w:rsidRPr="008F35A3">
        <w:rPr>
          <w:sz w:val="24"/>
          <w:szCs w:val="24"/>
          <w:lang w:val="et-EE"/>
        </w:rPr>
        <w:t>Transgenic</w:t>
      </w:r>
      <w:proofErr w:type="spellEnd"/>
      <w:r w:rsidRPr="008F35A3">
        <w:rPr>
          <w:sz w:val="24"/>
          <w:szCs w:val="24"/>
          <w:lang w:val="et-EE"/>
        </w:rPr>
        <w:t xml:space="preserve"> Bt </w:t>
      </w:r>
      <w:proofErr w:type="spellStart"/>
      <w:r w:rsidRPr="008F35A3">
        <w:rPr>
          <w:sz w:val="24"/>
          <w:szCs w:val="24"/>
          <w:lang w:val="et-EE"/>
        </w:rPr>
        <w:t>Maize</w:t>
      </w:r>
      <w:proofErr w:type="spellEnd"/>
      <w:r w:rsidRPr="008F35A3">
        <w:rPr>
          <w:sz w:val="24"/>
          <w:szCs w:val="24"/>
          <w:lang w:val="et-EE"/>
        </w:rPr>
        <w:t xml:space="preserve"> (MON810) </w:t>
      </w:r>
      <w:proofErr w:type="spellStart"/>
      <w:r w:rsidRPr="008F35A3">
        <w:rPr>
          <w:sz w:val="24"/>
          <w:szCs w:val="24"/>
          <w:lang w:val="et-EE"/>
        </w:rPr>
        <w:t>under</w:t>
      </w:r>
      <w:proofErr w:type="spellEnd"/>
      <w:r w:rsidRPr="008F35A3">
        <w:rPr>
          <w:sz w:val="24"/>
          <w:szCs w:val="24"/>
          <w:lang w:val="et-EE"/>
        </w:rPr>
        <w:t xml:space="preserve"> </w:t>
      </w:r>
      <w:proofErr w:type="spellStart"/>
      <w:r w:rsidRPr="008F35A3">
        <w:rPr>
          <w:sz w:val="24"/>
          <w:szCs w:val="24"/>
          <w:lang w:val="et-EE"/>
        </w:rPr>
        <w:t>Optimal</w:t>
      </w:r>
      <w:proofErr w:type="spellEnd"/>
      <w:r w:rsidRPr="008F35A3">
        <w:rPr>
          <w:sz w:val="24"/>
          <w:szCs w:val="24"/>
          <w:lang w:val="et-EE"/>
        </w:rPr>
        <w:t xml:space="preserve"> and </w:t>
      </w:r>
      <w:proofErr w:type="spellStart"/>
      <w:r w:rsidRPr="008F35A3">
        <w:rPr>
          <w:sz w:val="24"/>
          <w:szCs w:val="24"/>
          <w:lang w:val="et-EE"/>
        </w:rPr>
        <w:t>Stressful</w:t>
      </w:r>
      <w:proofErr w:type="spellEnd"/>
      <w:r w:rsidRPr="008F35A3">
        <w:rPr>
          <w:sz w:val="24"/>
          <w:szCs w:val="24"/>
          <w:lang w:val="et-EE"/>
        </w:rPr>
        <w:t xml:space="preserve"> </w:t>
      </w:r>
      <w:proofErr w:type="spellStart"/>
      <w:r w:rsidRPr="008F35A3">
        <w:rPr>
          <w:sz w:val="24"/>
          <w:szCs w:val="24"/>
          <w:lang w:val="et-EE"/>
        </w:rPr>
        <w:t>Environmental</w:t>
      </w:r>
      <w:proofErr w:type="spellEnd"/>
      <w:r w:rsidRPr="008F35A3">
        <w:rPr>
          <w:sz w:val="24"/>
          <w:szCs w:val="24"/>
          <w:lang w:val="et-EE"/>
        </w:rPr>
        <w:t xml:space="preserve"> </w:t>
      </w:r>
      <w:proofErr w:type="spellStart"/>
      <w:r w:rsidRPr="008F35A3">
        <w:rPr>
          <w:sz w:val="24"/>
          <w:szCs w:val="24"/>
          <w:lang w:val="et-EE"/>
        </w:rPr>
        <w:t>Conditions</w:t>
      </w:r>
      <w:proofErr w:type="spellEnd"/>
      <w:r w:rsidRPr="008F35A3">
        <w:rPr>
          <w:sz w:val="24"/>
          <w:szCs w:val="24"/>
          <w:lang w:val="et-EE"/>
        </w:rPr>
        <w:t xml:space="preserve">“, </w:t>
      </w:r>
      <w:proofErr w:type="spellStart"/>
      <w:r w:rsidRPr="008F35A3">
        <w:rPr>
          <w:sz w:val="24"/>
          <w:szCs w:val="24"/>
          <w:lang w:val="et-EE"/>
        </w:rPr>
        <w:t>PLoS</w:t>
      </w:r>
      <w:proofErr w:type="spellEnd"/>
      <w:r w:rsidRPr="008F35A3">
        <w:rPr>
          <w:sz w:val="24"/>
          <w:szCs w:val="24"/>
          <w:lang w:val="et-EE"/>
        </w:rPr>
        <w:t xml:space="preserve"> ONE 10(4): e0123011, </w:t>
      </w:r>
      <w:hyperlink r:id="rId18" w:history="1">
        <w:r w:rsidRPr="008F35A3">
          <w:rPr>
            <w:rStyle w:val="Hyperlink"/>
            <w:sz w:val="24"/>
            <w:szCs w:val="24"/>
            <w:lang w:val="et-EE"/>
          </w:rPr>
          <w:t>https://doi.org/10.1371/journal.pone.0123011</w:t>
        </w:r>
      </w:hyperlink>
      <w:r w:rsidRPr="008F35A3">
        <w:rPr>
          <w:sz w:val="24"/>
          <w:szCs w:val="24"/>
          <w:lang w:val="et-EE"/>
        </w:rPr>
        <w:t>.</w:t>
      </w:r>
    </w:p>
  </w:footnote>
  <w:footnote w:id="10">
    <w:p w14:paraId="5B7E30C4" w14:textId="769C2E6C"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 xml:space="preserve">Vt näiteks </w:t>
      </w:r>
      <w:proofErr w:type="spellStart"/>
      <w:r w:rsidRPr="008F35A3">
        <w:rPr>
          <w:sz w:val="24"/>
          <w:szCs w:val="24"/>
          <w:lang w:val="et-EE"/>
        </w:rPr>
        <w:t>Schulz</w:t>
      </w:r>
      <w:proofErr w:type="spellEnd"/>
      <w:r w:rsidRPr="008F35A3">
        <w:rPr>
          <w:sz w:val="24"/>
          <w:szCs w:val="24"/>
          <w:lang w:val="et-EE"/>
        </w:rPr>
        <w:t xml:space="preserve">, R., </w:t>
      </w:r>
      <w:proofErr w:type="spellStart"/>
      <w:r w:rsidRPr="008F35A3">
        <w:rPr>
          <w:sz w:val="24"/>
          <w:szCs w:val="24"/>
          <w:lang w:val="et-EE"/>
        </w:rPr>
        <w:t>Bub</w:t>
      </w:r>
      <w:proofErr w:type="spellEnd"/>
      <w:r w:rsidRPr="008F35A3">
        <w:rPr>
          <w:sz w:val="24"/>
          <w:szCs w:val="24"/>
          <w:lang w:val="et-EE"/>
        </w:rPr>
        <w:t xml:space="preserve">, S., </w:t>
      </w:r>
      <w:proofErr w:type="spellStart"/>
      <w:r w:rsidRPr="008F35A3">
        <w:rPr>
          <w:sz w:val="24"/>
          <w:szCs w:val="24"/>
          <w:lang w:val="et-EE"/>
        </w:rPr>
        <w:t>Petschick</w:t>
      </w:r>
      <w:proofErr w:type="spellEnd"/>
      <w:r w:rsidRPr="008F35A3">
        <w:rPr>
          <w:sz w:val="24"/>
          <w:szCs w:val="24"/>
          <w:lang w:val="et-EE"/>
        </w:rPr>
        <w:t xml:space="preserve">, L. L., </w:t>
      </w:r>
      <w:proofErr w:type="spellStart"/>
      <w:r w:rsidRPr="008F35A3">
        <w:rPr>
          <w:sz w:val="24"/>
          <w:szCs w:val="24"/>
          <w:lang w:val="et-EE"/>
        </w:rPr>
        <w:t>Stehle</w:t>
      </w:r>
      <w:proofErr w:type="spellEnd"/>
      <w:r w:rsidRPr="008F35A3">
        <w:rPr>
          <w:sz w:val="24"/>
          <w:szCs w:val="24"/>
          <w:lang w:val="et-EE"/>
        </w:rPr>
        <w:t xml:space="preserve">, S., </w:t>
      </w:r>
      <w:proofErr w:type="spellStart"/>
      <w:r w:rsidRPr="008F35A3">
        <w:rPr>
          <w:sz w:val="24"/>
          <w:szCs w:val="24"/>
          <w:lang w:val="et-EE"/>
        </w:rPr>
        <w:t>Wolfram</w:t>
      </w:r>
      <w:proofErr w:type="spellEnd"/>
      <w:r w:rsidRPr="008F35A3">
        <w:rPr>
          <w:sz w:val="24"/>
          <w:szCs w:val="24"/>
          <w:lang w:val="et-EE"/>
        </w:rPr>
        <w:t xml:space="preserve">, J. </w:t>
      </w:r>
      <w:r w:rsidRPr="008F35A3">
        <w:rPr>
          <w:sz w:val="24"/>
          <w:szCs w:val="24"/>
          <w:lang w:val="et-EE"/>
        </w:rPr>
        <w:t>(2021) „</w:t>
      </w:r>
      <w:proofErr w:type="spellStart"/>
      <w:r w:rsidRPr="008F35A3">
        <w:rPr>
          <w:sz w:val="24"/>
          <w:szCs w:val="24"/>
          <w:lang w:val="et-EE"/>
        </w:rPr>
        <w:t>Applied</w:t>
      </w:r>
      <w:proofErr w:type="spellEnd"/>
      <w:r w:rsidRPr="008F35A3">
        <w:rPr>
          <w:sz w:val="24"/>
          <w:szCs w:val="24"/>
          <w:lang w:val="et-EE"/>
        </w:rPr>
        <w:t xml:space="preserve"> </w:t>
      </w:r>
      <w:proofErr w:type="spellStart"/>
      <w:r w:rsidRPr="008F35A3">
        <w:rPr>
          <w:sz w:val="24"/>
          <w:szCs w:val="24"/>
          <w:lang w:val="et-EE"/>
        </w:rPr>
        <w:t>pesticide</w:t>
      </w:r>
      <w:proofErr w:type="spellEnd"/>
      <w:r w:rsidRPr="008F35A3">
        <w:rPr>
          <w:sz w:val="24"/>
          <w:szCs w:val="24"/>
          <w:lang w:val="et-EE"/>
        </w:rPr>
        <w:t xml:space="preserve"> </w:t>
      </w:r>
      <w:proofErr w:type="spellStart"/>
      <w:r w:rsidRPr="008F35A3">
        <w:rPr>
          <w:sz w:val="24"/>
          <w:szCs w:val="24"/>
          <w:lang w:val="et-EE"/>
        </w:rPr>
        <w:t>toxicity</w:t>
      </w:r>
      <w:proofErr w:type="spellEnd"/>
      <w:r w:rsidRPr="008F35A3">
        <w:rPr>
          <w:sz w:val="24"/>
          <w:szCs w:val="24"/>
          <w:lang w:val="et-EE"/>
        </w:rPr>
        <w:t xml:space="preserve"> </w:t>
      </w:r>
      <w:proofErr w:type="spellStart"/>
      <w:r w:rsidRPr="008F35A3">
        <w:rPr>
          <w:sz w:val="24"/>
          <w:szCs w:val="24"/>
          <w:lang w:val="et-EE"/>
        </w:rPr>
        <w:t>shifts</w:t>
      </w:r>
      <w:proofErr w:type="spellEnd"/>
      <w:r w:rsidRPr="008F35A3">
        <w:rPr>
          <w:sz w:val="24"/>
          <w:szCs w:val="24"/>
          <w:lang w:val="et-EE"/>
        </w:rPr>
        <w:t xml:space="preserve"> </w:t>
      </w:r>
      <w:proofErr w:type="spellStart"/>
      <w:r w:rsidRPr="008F35A3">
        <w:rPr>
          <w:sz w:val="24"/>
          <w:szCs w:val="24"/>
          <w:lang w:val="et-EE"/>
        </w:rPr>
        <w:t>toward</w:t>
      </w:r>
      <w:proofErr w:type="spellEnd"/>
      <w:r w:rsidRPr="008F35A3">
        <w:rPr>
          <w:sz w:val="24"/>
          <w:szCs w:val="24"/>
          <w:lang w:val="et-EE"/>
        </w:rPr>
        <w:t xml:space="preserve"> </w:t>
      </w:r>
      <w:proofErr w:type="spellStart"/>
      <w:r w:rsidRPr="008F35A3">
        <w:rPr>
          <w:sz w:val="24"/>
          <w:szCs w:val="24"/>
          <w:lang w:val="et-EE"/>
        </w:rPr>
        <w:t>plants</w:t>
      </w:r>
      <w:proofErr w:type="spellEnd"/>
      <w:r w:rsidRPr="008F35A3">
        <w:rPr>
          <w:sz w:val="24"/>
          <w:szCs w:val="24"/>
          <w:lang w:val="et-EE"/>
        </w:rPr>
        <w:t xml:space="preserve"> and </w:t>
      </w:r>
      <w:proofErr w:type="spellStart"/>
      <w:r w:rsidRPr="008F35A3">
        <w:rPr>
          <w:sz w:val="24"/>
          <w:szCs w:val="24"/>
          <w:lang w:val="et-EE"/>
        </w:rPr>
        <w:t>invertebrates</w:t>
      </w:r>
      <w:proofErr w:type="spellEnd"/>
      <w:r w:rsidRPr="008F35A3">
        <w:rPr>
          <w:sz w:val="24"/>
          <w:szCs w:val="24"/>
          <w:lang w:val="et-EE"/>
        </w:rPr>
        <w:t xml:space="preserve">, </w:t>
      </w:r>
      <w:proofErr w:type="spellStart"/>
      <w:r w:rsidRPr="008F35A3">
        <w:rPr>
          <w:sz w:val="24"/>
          <w:szCs w:val="24"/>
          <w:lang w:val="et-EE"/>
        </w:rPr>
        <w:t>even</w:t>
      </w:r>
      <w:proofErr w:type="spellEnd"/>
      <w:r w:rsidRPr="008F35A3">
        <w:rPr>
          <w:sz w:val="24"/>
          <w:szCs w:val="24"/>
          <w:lang w:val="et-EE"/>
        </w:rPr>
        <w:t xml:space="preserve"> in GM </w:t>
      </w:r>
      <w:proofErr w:type="spellStart"/>
      <w:r w:rsidRPr="008F35A3">
        <w:rPr>
          <w:sz w:val="24"/>
          <w:szCs w:val="24"/>
          <w:lang w:val="et-EE"/>
        </w:rPr>
        <w:t>crops</w:t>
      </w:r>
      <w:proofErr w:type="spellEnd"/>
      <w:r w:rsidRPr="008F35A3">
        <w:rPr>
          <w:sz w:val="24"/>
          <w:szCs w:val="24"/>
          <w:lang w:val="et-EE"/>
        </w:rPr>
        <w:t xml:space="preserve">“, </w:t>
      </w:r>
      <w:proofErr w:type="spellStart"/>
      <w:r w:rsidRPr="008F35A3">
        <w:rPr>
          <w:sz w:val="24"/>
          <w:szCs w:val="24"/>
          <w:lang w:val="et-EE"/>
        </w:rPr>
        <w:t>Science</w:t>
      </w:r>
      <w:proofErr w:type="spellEnd"/>
      <w:r w:rsidRPr="008F35A3">
        <w:rPr>
          <w:sz w:val="24"/>
          <w:szCs w:val="24"/>
          <w:lang w:val="et-EE"/>
        </w:rPr>
        <w:t xml:space="preserve"> 372(6537), lk 81–84, </w:t>
      </w:r>
      <w:hyperlink r:id="rId19" w:history="1">
        <w:r w:rsidRPr="008F35A3">
          <w:rPr>
            <w:rStyle w:val="Hyperlink"/>
            <w:sz w:val="24"/>
            <w:szCs w:val="24"/>
            <w:lang w:val="et-EE"/>
          </w:rPr>
          <w:t>https://doi.org/10.1126/science.abe1148</w:t>
        </w:r>
      </w:hyperlink>
      <w:r w:rsidRPr="008F35A3">
        <w:rPr>
          <w:sz w:val="24"/>
          <w:szCs w:val="24"/>
          <w:lang w:val="et-EE"/>
        </w:rPr>
        <w:t xml:space="preserve">; </w:t>
      </w:r>
      <w:proofErr w:type="spellStart"/>
      <w:r w:rsidRPr="008F35A3">
        <w:rPr>
          <w:sz w:val="24"/>
          <w:szCs w:val="24"/>
          <w:lang w:val="et-EE"/>
        </w:rPr>
        <w:t>Bonny</w:t>
      </w:r>
      <w:proofErr w:type="spellEnd"/>
      <w:r w:rsidRPr="008F35A3">
        <w:rPr>
          <w:sz w:val="24"/>
          <w:szCs w:val="24"/>
          <w:lang w:val="et-EE"/>
        </w:rPr>
        <w:t>, S., „</w:t>
      </w:r>
      <w:proofErr w:type="spellStart"/>
      <w:r w:rsidRPr="008F35A3">
        <w:rPr>
          <w:sz w:val="24"/>
          <w:szCs w:val="24"/>
          <w:lang w:val="et-EE"/>
        </w:rPr>
        <w:t>Genetically</w:t>
      </w:r>
      <w:proofErr w:type="spellEnd"/>
      <w:r w:rsidRPr="008F35A3">
        <w:rPr>
          <w:sz w:val="24"/>
          <w:szCs w:val="24"/>
          <w:lang w:val="et-EE"/>
        </w:rPr>
        <w:t xml:space="preserve"> </w:t>
      </w:r>
      <w:proofErr w:type="spellStart"/>
      <w:r w:rsidRPr="008F35A3">
        <w:rPr>
          <w:sz w:val="24"/>
          <w:szCs w:val="24"/>
          <w:lang w:val="et-EE"/>
        </w:rPr>
        <w:t>Modified</w:t>
      </w:r>
      <w:proofErr w:type="spellEnd"/>
      <w:r w:rsidRPr="008F35A3">
        <w:rPr>
          <w:sz w:val="24"/>
          <w:szCs w:val="24"/>
          <w:lang w:val="et-EE"/>
        </w:rPr>
        <w:t xml:space="preserve"> </w:t>
      </w:r>
      <w:proofErr w:type="spellStart"/>
      <w:r w:rsidRPr="008F35A3">
        <w:rPr>
          <w:sz w:val="24"/>
          <w:szCs w:val="24"/>
          <w:lang w:val="et-EE"/>
        </w:rPr>
        <w:t>Herbicide</w:t>
      </w:r>
      <w:proofErr w:type="spellEnd"/>
      <w:r w:rsidRPr="008F35A3">
        <w:rPr>
          <w:sz w:val="24"/>
          <w:szCs w:val="24"/>
          <w:lang w:val="et-EE"/>
        </w:rPr>
        <w:t xml:space="preserve">-Tolerant </w:t>
      </w:r>
      <w:proofErr w:type="spellStart"/>
      <w:r w:rsidRPr="008F35A3">
        <w:rPr>
          <w:sz w:val="24"/>
          <w:szCs w:val="24"/>
          <w:lang w:val="et-EE"/>
        </w:rPr>
        <w:t>Crops</w:t>
      </w:r>
      <w:proofErr w:type="spellEnd"/>
      <w:r w:rsidRPr="008F35A3">
        <w:rPr>
          <w:sz w:val="24"/>
          <w:szCs w:val="24"/>
          <w:lang w:val="et-EE"/>
        </w:rPr>
        <w:t xml:space="preserve">, </w:t>
      </w:r>
      <w:proofErr w:type="spellStart"/>
      <w:r w:rsidRPr="008F35A3">
        <w:rPr>
          <w:sz w:val="24"/>
          <w:szCs w:val="24"/>
          <w:lang w:val="et-EE"/>
        </w:rPr>
        <w:t>Weeds</w:t>
      </w:r>
      <w:proofErr w:type="spellEnd"/>
      <w:r w:rsidRPr="008F35A3">
        <w:rPr>
          <w:sz w:val="24"/>
          <w:szCs w:val="24"/>
          <w:lang w:val="et-EE"/>
        </w:rPr>
        <w:t xml:space="preserve">, and </w:t>
      </w:r>
      <w:proofErr w:type="spellStart"/>
      <w:r w:rsidRPr="008F35A3">
        <w:rPr>
          <w:sz w:val="24"/>
          <w:szCs w:val="24"/>
          <w:lang w:val="et-EE"/>
        </w:rPr>
        <w:t>Herbicides</w:t>
      </w:r>
      <w:proofErr w:type="spellEnd"/>
      <w:r w:rsidRPr="008F35A3">
        <w:rPr>
          <w:sz w:val="24"/>
          <w:szCs w:val="24"/>
          <w:lang w:val="et-EE"/>
        </w:rPr>
        <w:t xml:space="preserve">: </w:t>
      </w:r>
      <w:proofErr w:type="spellStart"/>
      <w:r w:rsidRPr="008F35A3">
        <w:rPr>
          <w:sz w:val="24"/>
          <w:szCs w:val="24"/>
          <w:lang w:val="et-EE"/>
        </w:rPr>
        <w:t>Overview</w:t>
      </w:r>
      <w:proofErr w:type="spellEnd"/>
      <w:r w:rsidRPr="008F35A3">
        <w:rPr>
          <w:sz w:val="24"/>
          <w:szCs w:val="24"/>
          <w:lang w:val="et-EE"/>
        </w:rPr>
        <w:t xml:space="preserve"> and </w:t>
      </w:r>
      <w:proofErr w:type="spellStart"/>
      <w:r w:rsidRPr="008F35A3">
        <w:rPr>
          <w:sz w:val="24"/>
          <w:szCs w:val="24"/>
          <w:lang w:val="et-EE"/>
        </w:rPr>
        <w:t>Impact</w:t>
      </w:r>
      <w:proofErr w:type="spellEnd"/>
      <w:r w:rsidRPr="008F35A3">
        <w:rPr>
          <w:sz w:val="24"/>
          <w:szCs w:val="24"/>
          <w:lang w:val="et-EE"/>
        </w:rPr>
        <w:t>“ (</w:t>
      </w:r>
      <w:proofErr w:type="spellStart"/>
      <w:r w:rsidRPr="008F35A3">
        <w:rPr>
          <w:sz w:val="24"/>
          <w:szCs w:val="24"/>
          <w:lang w:val="et-EE"/>
        </w:rPr>
        <w:t>Environmental</w:t>
      </w:r>
      <w:proofErr w:type="spellEnd"/>
      <w:r w:rsidRPr="008F35A3">
        <w:rPr>
          <w:sz w:val="24"/>
          <w:szCs w:val="24"/>
          <w:lang w:val="et-EE"/>
        </w:rPr>
        <w:t xml:space="preserve"> Management, jaanuar 2016; 57(1), lk 31–48, </w:t>
      </w:r>
      <w:hyperlink r:id="rId20" w:history="1">
        <w:r w:rsidRPr="008F35A3">
          <w:rPr>
            <w:rStyle w:val="Hyperlink"/>
            <w:sz w:val="24"/>
            <w:szCs w:val="24"/>
            <w:lang w:val="et-EE"/>
          </w:rPr>
          <w:t>https://www.ncbi.nlm.nih.gov/pubmed/26296738</w:t>
        </w:r>
      </w:hyperlink>
      <w:r w:rsidRPr="008F35A3">
        <w:rPr>
          <w:sz w:val="24"/>
          <w:szCs w:val="24"/>
          <w:lang w:val="et-EE"/>
        </w:rPr>
        <w:t xml:space="preserve">; ja </w:t>
      </w:r>
      <w:proofErr w:type="spellStart"/>
      <w:r w:rsidRPr="008F35A3">
        <w:rPr>
          <w:sz w:val="24"/>
          <w:szCs w:val="24"/>
          <w:lang w:val="et-EE"/>
        </w:rPr>
        <w:t>Benbrook</w:t>
      </w:r>
      <w:proofErr w:type="spellEnd"/>
      <w:r w:rsidRPr="008F35A3">
        <w:rPr>
          <w:sz w:val="24"/>
          <w:szCs w:val="24"/>
          <w:lang w:val="et-EE"/>
        </w:rPr>
        <w:t>, C.M. „</w:t>
      </w:r>
      <w:proofErr w:type="spellStart"/>
      <w:r w:rsidRPr="008F35A3">
        <w:rPr>
          <w:sz w:val="24"/>
          <w:szCs w:val="24"/>
          <w:lang w:val="et-EE"/>
        </w:rPr>
        <w:t>Impacts</w:t>
      </w:r>
      <w:proofErr w:type="spellEnd"/>
      <w:r w:rsidRPr="008F35A3">
        <w:rPr>
          <w:sz w:val="24"/>
          <w:szCs w:val="24"/>
          <w:lang w:val="et-EE"/>
        </w:rPr>
        <w:t xml:space="preserve"> of </w:t>
      </w:r>
      <w:proofErr w:type="spellStart"/>
      <w:r w:rsidRPr="008F35A3">
        <w:rPr>
          <w:sz w:val="24"/>
          <w:szCs w:val="24"/>
          <w:lang w:val="et-EE"/>
        </w:rPr>
        <w:t>genetically</w:t>
      </w:r>
      <w:proofErr w:type="spellEnd"/>
      <w:r w:rsidRPr="008F35A3">
        <w:rPr>
          <w:sz w:val="24"/>
          <w:szCs w:val="24"/>
          <w:lang w:val="et-EE"/>
        </w:rPr>
        <w:t xml:space="preserve"> </w:t>
      </w:r>
      <w:proofErr w:type="spellStart"/>
      <w:r w:rsidRPr="008F35A3">
        <w:rPr>
          <w:sz w:val="24"/>
          <w:szCs w:val="24"/>
          <w:lang w:val="et-EE"/>
        </w:rPr>
        <w:t>engineered</w:t>
      </w:r>
      <w:proofErr w:type="spellEnd"/>
      <w:r w:rsidRPr="008F35A3">
        <w:rPr>
          <w:sz w:val="24"/>
          <w:szCs w:val="24"/>
          <w:lang w:val="et-EE"/>
        </w:rPr>
        <w:t xml:space="preserve"> </w:t>
      </w:r>
      <w:proofErr w:type="spellStart"/>
      <w:r w:rsidRPr="008F35A3">
        <w:rPr>
          <w:sz w:val="24"/>
          <w:szCs w:val="24"/>
          <w:lang w:val="et-EE"/>
        </w:rPr>
        <w:t>crops</w:t>
      </w:r>
      <w:proofErr w:type="spellEnd"/>
      <w:r w:rsidRPr="008F35A3">
        <w:rPr>
          <w:sz w:val="24"/>
          <w:szCs w:val="24"/>
          <w:lang w:val="et-EE"/>
        </w:rPr>
        <w:t xml:space="preserve"> on </w:t>
      </w:r>
      <w:proofErr w:type="spellStart"/>
      <w:r w:rsidRPr="008F35A3">
        <w:rPr>
          <w:sz w:val="24"/>
          <w:szCs w:val="24"/>
          <w:lang w:val="et-EE"/>
        </w:rPr>
        <w:t>pesticide</w:t>
      </w:r>
      <w:proofErr w:type="spellEnd"/>
      <w:r w:rsidRPr="008F35A3">
        <w:rPr>
          <w:sz w:val="24"/>
          <w:szCs w:val="24"/>
          <w:lang w:val="et-EE"/>
        </w:rPr>
        <w:t xml:space="preserve"> </w:t>
      </w:r>
      <w:proofErr w:type="spellStart"/>
      <w:r w:rsidRPr="008F35A3">
        <w:rPr>
          <w:sz w:val="24"/>
          <w:szCs w:val="24"/>
          <w:lang w:val="et-EE"/>
        </w:rPr>
        <w:t>use</w:t>
      </w:r>
      <w:proofErr w:type="spellEnd"/>
      <w:r w:rsidRPr="008F35A3">
        <w:rPr>
          <w:sz w:val="24"/>
          <w:szCs w:val="24"/>
          <w:lang w:val="et-EE"/>
        </w:rPr>
        <w:t xml:space="preserve"> in </w:t>
      </w:r>
      <w:proofErr w:type="spellStart"/>
      <w:r w:rsidRPr="008F35A3">
        <w:rPr>
          <w:sz w:val="24"/>
          <w:szCs w:val="24"/>
          <w:lang w:val="et-EE"/>
        </w:rPr>
        <w:t>the</w:t>
      </w:r>
      <w:proofErr w:type="spellEnd"/>
      <w:r w:rsidRPr="008F35A3">
        <w:rPr>
          <w:sz w:val="24"/>
          <w:szCs w:val="24"/>
          <w:lang w:val="et-EE"/>
        </w:rPr>
        <w:t xml:space="preserve"> U.S. – </w:t>
      </w:r>
      <w:proofErr w:type="spellStart"/>
      <w:r w:rsidRPr="008F35A3">
        <w:rPr>
          <w:sz w:val="24"/>
          <w:szCs w:val="24"/>
          <w:lang w:val="et-EE"/>
        </w:rPr>
        <w:t>the</w:t>
      </w:r>
      <w:proofErr w:type="spellEnd"/>
      <w:r w:rsidRPr="008F35A3">
        <w:rPr>
          <w:sz w:val="24"/>
          <w:szCs w:val="24"/>
          <w:lang w:val="et-EE"/>
        </w:rPr>
        <w:t xml:space="preserve"> </w:t>
      </w:r>
      <w:proofErr w:type="spellStart"/>
      <w:r w:rsidRPr="008F35A3">
        <w:rPr>
          <w:sz w:val="24"/>
          <w:szCs w:val="24"/>
          <w:lang w:val="et-EE"/>
        </w:rPr>
        <w:t>first</w:t>
      </w:r>
      <w:proofErr w:type="spellEnd"/>
      <w:r w:rsidRPr="008F35A3">
        <w:rPr>
          <w:sz w:val="24"/>
          <w:szCs w:val="24"/>
          <w:lang w:val="et-EE"/>
        </w:rPr>
        <w:t xml:space="preserve"> </w:t>
      </w:r>
      <w:proofErr w:type="spellStart"/>
      <w:r w:rsidRPr="008F35A3">
        <w:rPr>
          <w:sz w:val="24"/>
          <w:szCs w:val="24"/>
          <w:lang w:val="et-EE"/>
        </w:rPr>
        <w:t>sixteen</w:t>
      </w:r>
      <w:proofErr w:type="spellEnd"/>
      <w:r w:rsidRPr="008F35A3">
        <w:rPr>
          <w:sz w:val="24"/>
          <w:szCs w:val="24"/>
          <w:lang w:val="et-EE"/>
        </w:rPr>
        <w:t xml:space="preserve"> </w:t>
      </w:r>
      <w:proofErr w:type="spellStart"/>
      <w:r w:rsidRPr="008F35A3">
        <w:rPr>
          <w:sz w:val="24"/>
          <w:szCs w:val="24"/>
          <w:lang w:val="et-EE"/>
        </w:rPr>
        <w:t>years</w:t>
      </w:r>
      <w:proofErr w:type="spellEnd"/>
      <w:r w:rsidRPr="008F35A3">
        <w:rPr>
          <w:sz w:val="24"/>
          <w:szCs w:val="24"/>
          <w:lang w:val="et-EE"/>
        </w:rPr>
        <w:t xml:space="preserve">“, </w:t>
      </w:r>
      <w:proofErr w:type="spellStart"/>
      <w:r w:rsidRPr="008F35A3">
        <w:rPr>
          <w:sz w:val="24"/>
          <w:szCs w:val="24"/>
          <w:lang w:val="et-EE"/>
        </w:rPr>
        <w:t>Environmental</w:t>
      </w:r>
      <w:proofErr w:type="spellEnd"/>
      <w:r w:rsidRPr="008F35A3">
        <w:rPr>
          <w:sz w:val="24"/>
          <w:szCs w:val="24"/>
          <w:lang w:val="et-EE"/>
        </w:rPr>
        <w:t xml:space="preserve"> </w:t>
      </w:r>
      <w:proofErr w:type="spellStart"/>
      <w:r w:rsidRPr="008F35A3">
        <w:rPr>
          <w:sz w:val="24"/>
          <w:szCs w:val="24"/>
          <w:lang w:val="et-EE"/>
        </w:rPr>
        <w:t>Sciences</w:t>
      </w:r>
      <w:proofErr w:type="spellEnd"/>
      <w:r w:rsidRPr="008F35A3">
        <w:rPr>
          <w:sz w:val="24"/>
          <w:szCs w:val="24"/>
          <w:lang w:val="et-EE"/>
        </w:rPr>
        <w:t xml:space="preserve"> Europe, 28. september 2012, kd 24(24), </w:t>
      </w:r>
      <w:hyperlink r:id="rId21" w:history="1">
        <w:r w:rsidRPr="008F35A3">
          <w:rPr>
            <w:rStyle w:val="Hyperlink"/>
            <w:sz w:val="24"/>
            <w:szCs w:val="24"/>
            <w:lang w:val="et-EE"/>
          </w:rPr>
          <w:t>https://doi.org/10.1186/2190-4715-24-24</w:t>
        </w:r>
      </w:hyperlink>
      <w:r w:rsidR="008F35A3">
        <w:rPr>
          <w:rStyle w:val="Hyperlink"/>
          <w:sz w:val="24"/>
          <w:szCs w:val="24"/>
          <w:lang w:val="et-EE"/>
        </w:rPr>
        <w:t>.</w:t>
      </w:r>
    </w:p>
  </w:footnote>
  <w:footnote w:id="11">
    <w:p w14:paraId="1321C704" w14:textId="44B8867C"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 xml:space="preserve">Ülevaate saamiseks vt </w:t>
      </w:r>
      <w:proofErr w:type="spellStart"/>
      <w:r w:rsidRPr="008F35A3">
        <w:rPr>
          <w:sz w:val="24"/>
          <w:szCs w:val="24"/>
          <w:lang w:val="et-EE"/>
        </w:rPr>
        <w:t>Rubio</w:t>
      </w:r>
      <w:proofErr w:type="spellEnd"/>
      <w:r w:rsidRPr="008F35A3">
        <w:rPr>
          <w:sz w:val="24"/>
          <w:szCs w:val="24"/>
          <w:lang w:val="et-EE"/>
        </w:rPr>
        <w:t xml:space="preserve">-Infante, N., </w:t>
      </w:r>
      <w:proofErr w:type="spellStart"/>
      <w:r w:rsidRPr="008F35A3">
        <w:rPr>
          <w:sz w:val="24"/>
          <w:szCs w:val="24"/>
          <w:lang w:val="et-EE"/>
        </w:rPr>
        <w:t>Moreno-Fierros</w:t>
      </w:r>
      <w:proofErr w:type="spellEnd"/>
      <w:r w:rsidRPr="008F35A3">
        <w:rPr>
          <w:sz w:val="24"/>
          <w:szCs w:val="24"/>
          <w:lang w:val="et-EE"/>
        </w:rPr>
        <w:t xml:space="preserve">, L. </w:t>
      </w:r>
      <w:r w:rsidRPr="008F35A3">
        <w:rPr>
          <w:sz w:val="24"/>
          <w:szCs w:val="24"/>
          <w:lang w:val="et-EE"/>
        </w:rPr>
        <w:t>„</w:t>
      </w:r>
      <w:proofErr w:type="spellStart"/>
      <w:r w:rsidRPr="008F35A3">
        <w:rPr>
          <w:sz w:val="24"/>
          <w:szCs w:val="24"/>
          <w:lang w:val="et-EE"/>
        </w:rPr>
        <w:t>An</w:t>
      </w:r>
      <w:proofErr w:type="spellEnd"/>
      <w:r w:rsidRPr="008F35A3">
        <w:rPr>
          <w:sz w:val="24"/>
          <w:szCs w:val="24"/>
          <w:lang w:val="et-EE"/>
        </w:rPr>
        <w:t xml:space="preserve"> </w:t>
      </w:r>
      <w:proofErr w:type="spellStart"/>
      <w:r w:rsidRPr="008F35A3">
        <w:rPr>
          <w:sz w:val="24"/>
          <w:szCs w:val="24"/>
          <w:lang w:val="et-EE"/>
        </w:rPr>
        <w:t>overview</w:t>
      </w:r>
      <w:proofErr w:type="spellEnd"/>
      <w:r w:rsidRPr="008F35A3">
        <w:rPr>
          <w:sz w:val="24"/>
          <w:szCs w:val="24"/>
          <w:lang w:val="et-EE"/>
        </w:rPr>
        <w:t xml:space="preserve"> of </w:t>
      </w:r>
      <w:proofErr w:type="spellStart"/>
      <w:r w:rsidRPr="008F35A3">
        <w:rPr>
          <w:sz w:val="24"/>
          <w:szCs w:val="24"/>
          <w:lang w:val="et-EE"/>
        </w:rPr>
        <w:t>the</w:t>
      </w:r>
      <w:proofErr w:type="spellEnd"/>
      <w:r w:rsidRPr="008F35A3">
        <w:rPr>
          <w:sz w:val="24"/>
          <w:szCs w:val="24"/>
          <w:lang w:val="et-EE"/>
        </w:rPr>
        <w:t xml:space="preserve"> </w:t>
      </w:r>
      <w:proofErr w:type="spellStart"/>
      <w:r w:rsidRPr="008F35A3">
        <w:rPr>
          <w:sz w:val="24"/>
          <w:szCs w:val="24"/>
          <w:lang w:val="et-EE"/>
        </w:rPr>
        <w:t>safety</w:t>
      </w:r>
      <w:proofErr w:type="spellEnd"/>
      <w:r w:rsidRPr="008F35A3">
        <w:rPr>
          <w:sz w:val="24"/>
          <w:szCs w:val="24"/>
          <w:lang w:val="et-EE"/>
        </w:rPr>
        <w:t xml:space="preserve"> and </w:t>
      </w:r>
      <w:proofErr w:type="spellStart"/>
      <w:r w:rsidRPr="008F35A3">
        <w:rPr>
          <w:sz w:val="24"/>
          <w:szCs w:val="24"/>
          <w:lang w:val="et-EE"/>
        </w:rPr>
        <w:t>biological</w:t>
      </w:r>
      <w:proofErr w:type="spellEnd"/>
      <w:r w:rsidRPr="008F35A3">
        <w:rPr>
          <w:sz w:val="24"/>
          <w:szCs w:val="24"/>
          <w:lang w:val="et-EE"/>
        </w:rPr>
        <w:t xml:space="preserve"> </w:t>
      </w:r>
      <w:proofErr w:type="spellStart"/>
      <w:r w:rsidRPr="008F35A3">
        <w:rPr>
          <w:sz w:val="24"/>
          <w:szCs w:val="24"/>
          <w:lang w:val="et-EE"/>
        </w:rPr>
        <w:t>effects</w:t>
      </w:r>
      <w:proofErr w:type="spellEnd"/>
      <w:r w:rsidRPr="008F35A3">
        <w:rPr>
          <w:sz w:val="24"/>
          <w:szCs w:val="24"/>
          <w:lang w:val="et-EE"/>
        </w:rPr>
        <w:t xml:space="preserve"> of </w:t>
      </w:r>
      <w:proofErr w:type="spellStart"/>
      <w:r w:rsidRPr="008F35A3">
        <w:rPr>
          <w:i/>
          <w:iCs/>
          <w:sz w:val="24"/>
          <w:szCs w:val="24"/>
          <w:lang w:val="et-EE"/>
        </w:rPr>
        <w:t>Bacillus</w:t>
      </w:r>
      <w:proofErr w:type="spellEnd"/>
      <w:r w:rsidRPr="008F35A3">
        <w:rPr>
          <w:i/>
          <w:iCs/>
          <w:sz w:val="24"/>
          <w:szCs w:val="24"/>
          <w:lang w:val="et-EE"/>
        </w:rPr>
        <w:t xml:space="preserve"> </w:t>
      </w:r>
      <w:proofErr w:type="spellStart"/>
      <w:r w:rsidRPr="008F35A3">
        <w:rPr>
          <w:i/>
          <w:iCs/>
          <w:sz w:val="24"/>
          <w:szCs w:val="24"/>
          <w:lang w:val="et-EE"/>
        </w:rPr>
        <w:t>thuringiensis</w:t>
      </w:r>
      <w:proofErr w:type="spellEnd"/>
      <w:r w:rsidRPr="008F35A3">
        <w:rPr>
          <w:sz w:val="24"/>
          <w:szCs w:val="24"/>
          <w:lang w:val="et-EE"/>
        </w:rPr>
        <w:t xml:space="preserve"> </w:t>
      </w:r>
      <w:proofErr w:type="spellStart"/>
      <w:r w:rsidRPr="008F35A3">
        <w:rPr>
          <w:sz w:val="24"/>
          <w:szCs w:val="24"/>
          <w:lang w:val="et-EE"/>
        </w:rPr>
        <w:t>Cry</w:t>
      </w:r>
      <w:proofErr w:type="spellEnd"/>
      <w:r w:rsidRPr="008F35A3">
        <w:rPr>
          <w:sz w:val="24"/>
          <w:szCs w:val="24"/>
          <w:lang w:val="et-EE"/>
        </w:rPr>
        <w:t xml:space="preserve"> </w:t>
      </w:r>
      <w:proofErr w:type="spellStart"/>
      <w:r w:rsidRPr="008F35A3">
        <w:rPr>
          <w:sz w:val="24"/>
          <w:szCs w:val="24"/>
          <w:lang w:val="et-EE"/>
        </w:rPr>
        <w:t>toxins</w:t>
      </w:r>
      <w:proofErr w:type="spellEnd"/>
      <w:r w:rsidRPr="008F35A3">
        <w:rPr>
          <w:sz w:val="24"/>
          <w:szCs w:val="24"/>
          <w:lang w:val="et-EE"/>
        </w:rPr>
        <w:t xml:space="preserve"> in </w:t>
      </w:r>
      <w:proofErr w:type="spellStart"/>
      <w:r w:rsidRPr="008F35A3">
        <w:rPr>
          <w:sz w:val="24"/>
          <w:szCs w:val="24"/>
          <w:lang w:val="et-EE"/>
        </w:rPr>
        <w:t>mammals</w:t>
      </w:r>
      <w:proofErr w:type="spellEnd"/>
      <w:r w:rsidRPr="008F35A3">
        <w:rPr>
          <w:sz w:val="24"/>
          <w:szCs w:val="24"/>
          <w:lang w:val="et-EE"/>
        </w:rPr>
        <w:t xml:space="preserve">“, </w:t>
      </w:r>
      <w:proofErr w:type="spellStart"/>
      <w:r w:rsidRPr="008F35A3">
        <w:rPr>
          <w:sz w:val="24"/>
          <w:szCs w:val="24"/>
          <w:lang w:val="et-EE"/>
        </w:rPr>
        <w:t>Journal</w:t>
      </w:r>
      <w:proofErr w:type="spellEnd"/>
      <w:r w:rsidRPr="008F35A3">
        <w:rPr>
          <w:sz w:val="24"/>
          <w:szCs w:val="24"/>
          <w:lang w:val="et-EE"/>
        </w:rPr>
        <w:t xml:space="preserve"> of </w:t>
      </w:r>
      <w:proofErr w:type="spellStart"/>
      <w:r w:rsidRPr="008F35A3">
        <w:rPr>
          <w:sz w:val="24"/>
          <w:szCs w:val="24"/>
          <w:lang w:val="et-EE"/>
        </w:rPr>
        <w:t>Applied</w:t>
      </w:r>
      <w:proofErr w:type="spellEnd"/>
      <w:r w:rsidRPr="008F35A3">
        <w:rPr>
          <w:sz w:val="24"/>
          <w:szCs w:val="24"/>
          <w:lang w:val="et-EE"/>
        </w:rPr>
        <w:t xml:space="preserve"> </w:t>
      </w:r>
      <w:proofErr w:type="spellStart"/>
      <w:r w:rsidRPr="008F35A3">
        <w:rPr>
          <w:sz w:val="24"/>
          <w:szCs w:val="24"/>
          <w:lang w:val="et-EE"/>
        </w:rPr>
        <w:t>Toxicology</w:t>
      </w:r>
      <w:proofErr w:type="spellEnd"/>
      <w:r w:rsidRPr="008F35A3">
        <w:rPr>
          <w:sz w:val="24"/>
          <w:szCs w:val="24"/>
          <w:lang w:val="et-EE"/>
        </w:rPr>
        <w:t xml:space="preserve">, mai 2016, 36(5), lk 630–648, </w:t>
      </w:r>
      <w:hyperlink r:id="rId22" w:history="1">
        <w:r w:rsidRPr="008F35A3">
          <w:rPr>
            <w:rStyle w:val="Hyperlink"/>
            <w:sz w:val="24"/>
            <w:szCs w:val="24"/>
            <w:lang w:val="et-EE"/>
          </w:rPr>
          <w:t>https://onlinelibrary.wiley.com/doi/full/10.1002/jat.3252</w:t>
        </w:r>
      </w:hyperlink>
      <w:r w:rsidRPr="008F35A3">
        <w:rPr>
          <w:sz w:val="24"/>
          <w:szCs w:val="24"/>
          <w:lang w:val="et-EE"/>
        </w:rPr>
        <w:t>.</w:t>
      </w:r>
    </w:p>
  </w:footnote>
  <w:footnote w:id="12">
    <w:p w14:paraId="11DCA8F1" w14:textId="4B2A11B6"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proofErr w:type="spellStart"/>
      <w:r w:rsidRPr="008F35A3">
        <w:rPr>
          <w:sz w:val="24"/>
          <w:szCs w:val="24"/>
          <w:lang w:val="et-EE"/>
        </w:rPr>
        <w:t>Bøhn</w:t>
      </w:r>
      <w:proofErr w:type="spellEnd"/>
      <w:r w:rsidRPr="008F35A3">
        <w:rPr>
          <w:sz w:val="24"/>
          <w:szCs w:val="24"/>
          <w:lang w:val="et-EE"/>
        </w:rPr>
        <w:t xml:space="preserve">, T., </w:t>
      </w:r>
      <w:proofErr w:type="spellStart"/>
      <w:r w:rsidRPr="008F35A3">
        <w:rPr>
          <w:sz w:val="24"/>
          <w:szCs w:val="24"/>
          <w:lang w:val="et-EE"/>
        </w:rPr>
        <w:t>Macagnan</w:t>
      </w:r>
      <w:proofErr w:type="spellEnd"/>
      <w:r w:rsidRPr="008F35A3">
        <w:rPr>
          <w:sz w:val="24"/>
          <w:szCs w:val="24"/>
          <w:lang w:val="et-EE"/>
        </w:rPr>
        <w:t xml:space="preserve"> Rover, C., </w:t>
      </w:r>
      <w:proofErr w:type="spellStart"/>
      <w:r w:rsidRPr="008F35A3">
        <w:rPr>
          <w:sz w:val="24"/>
          <w:szCs w:val="24"/>
          <w:lang w:val="et-EE"/>
        </w:rPr>
        <w:t>Semenchuk</w:t>
      </w:r>
      <w:proofErr w:type="spellEnd"/>
      <w:r w:rsidRPr="008F35A3">
        <w:rPr>
          <w:sz w:val="24"/>
          <w:szCs w:val="24"/>
          <w:lang w:val="et-EE"/>
        </w:rPr>
        <w:t xml:space="preserve">, P. </w:t>
      </w:r>
      <w:r w:rsidRPr="008F35A3">
        <w:rPr>
          <w:sz w:val="24"/>
          <w:szCs w:val="24"/>
          <w:lang w:val="et-EE"/>
        </w:rPr>
        <w:t>R., „</w:t>
      </w:r>
      <w:proofErr w:type="spellStart"/>
      <w:r w:rsidRPr="008F35A3">
        <w:rPr>
          <w:i/>
          <w:sz w:val="24"/>
          <w:szCs w:val="24"/>
          <w:lang w:val="et-EE"/>
        </w:rPr>
        <w:t>Daphnia</w:t>
      </w:r>
      <w:proofErr w:type="spellEnd"/>
      <w:r w:rsidRPr="008F35A3">
        <w:rPr>
          <w:i/>
          <w:sz w:val="24"/>
          <w:szCs w:val="24"/>
          <w:lang w:val="et-EE"/>
        </w:rPr>
        <w:t xml:space="preserve"> </w:t>
      </w:r>
      <w:proofErr w:type="spellStart"/>
      <w:r w:rsidRPr="008F35A3">
        <w:rPr>
          <w:i/>
          <w:sz w:val="24"/>
          <w:szCs w:val="24"/>
          <w:lang w:val="et-EE"/>
        </w:rPr>
        <w:t>magna</w:t>
      </w:r>
      <w:proofErr w:type="spellEnd"/>
      <w:r w:rsidRPr="008F35A3">
        <w:rPr>
          <w:sz w:val="24"/>
          <w:szCs w:val="24"/>
          <w:lang w:val="et-EE"/>
        </w:rPr>
        <w:t xml:space="preserve"> </w:t>
      </w:r>
      <w:proofErr w:type="spellStart"/>
      <w:r w:rsidRPr="008F35A3">
        <w:rPr>
          <w:sz w:val="24"/>
          <w:szCs w:val="24"/>
          <w:lang w:val="et-EE"/>
        </w:rPr>
        <w:t>negative</w:t>
      </w:r>
      <w:proofErr w:type="spellEnd"/>
      <w:r w:rsidRPr="008F35A3">
        <w:rPr>
          <w:sz w:val="24"/>
          <w:szCs w:val="24"/>
          <w:lang w:val="et-EE"/>
        </w:rPr>
        <w:t xml:space="preserve"> </w:t>
      </w:r>
      <w:proofErr w:type="spellStart"/>
      <w:r w:rsidRPr="008F35A3">
        <w:rPr>
          <w:sz w:val="24"/>
          <w:szCs w:val="24"/>
          <w:lang w:val="et-EE"/>
        </w:rPr>
        <w:t>affected</w:t>
      </w:r>
      <w:proofErr w:type="spellEnd"/>
      <w:r w:rsidRPr="008F35A3">
        <w:rPr>
          <w:sz w:val="24"/>
          <w:szCs w:val="24"/>
          <w:lang w:val="et-EE"/>
        </w:rPr>
        <w:t xml:space="preserve"> by </w:t>
      </w:r>
      <w:proofErr w:type="spellStart"/>
      <w:r w:rsidRPr="008F35A3">
        <w:rPr>
          <w:sz w:val="24"/>
          <w:szCs w:val="24"/>
          <w:lang w:val="et-EE"/>
        </w:rPr>
        <w:t>chronic</w:t>
      </w:r>
      <w:proofErr w:type="spellEnd"/>
      <w:r w:rsidRPr="008F35A3">
        <w:rPr>
          <w:sz w:val="24"/>
          <w:szCs w:val="24"/>
          <w:lang w:val="et-EE"/>
        </w:rPr>
        <w:t xml:space="preserve"> </w:t>
      </w:r>
      <w:proofErr w:type="spellStart"/>
      <w:r w:rsidRPr="008F35A3">
        <w:rPr>
          <w:sz w:val="24"/>
          <w:szCs w:val="24"/>
          <w:lang w:val="et-EE"/>
        </w:rPr>
        <w:t>exposure</w:t>
      </w:r>
      <w:proofErr w:type="spellEnd"/>
      <w:r w:rsidRPr="008F35A3">
        <w:rPr>
          <w:sz w:val="24"/>
          <w:szCs w:val="24"/>
          <w:lang w:val="et-EE"/>
        </w:rPr>
        <w:t xml:space="preserve"> </w:t>
      </w:r>
      <w:proofErr w:type="spellStart"/>
      <w:r w:rsidRPr="008F35A3">
        <w:rPr>
          <w:sz w:val="24"/>
          <w:szCs w:val="24"/>
          <w:lang w:val="et-EE"/>
        </w:rPr>
        <w:t>to</w:t>
      </w:r>
      <w:proofErr w:type="spellEnd"/>
      <w:r w:rsidRPr="008F35A3">
        <w:rPr>
          <w:sz w:val="24"/>
          <w:szCs w:val="24"/>
          <w:lang w:val="et-EE"/>
        </w:rPr>
        <w:t xml:space="preserve"> </w:t>
      </w:r>
      <w:proofErr w:type="spellStart"/>
      <w:r w:rsidRPr="008F35A3">
        <w:rPr>
          <w:sz w:val="24"/>
          <w:szCs w:val="24"/>
          <w:lang w:val="et-EE"/>
        </w:rPr>
        <w:t>cleanified</w:t>
      </w:r>
      <w:proofErr w:type="spellEnd"/>
      <w:r w:rsidRPr="008F35A3">
        <w:rPr>
          <w:sz w:val="24"/>
          <w:szCs w:val="24"/>
          <w:lang w:val="et-EE"/>
        </w:rPr>
        <w:t xml:space="preserve"> </w:t>
      </w:r>
      <w:proofErr w:type="spellStart"/>
      <w:r w:rsidRPr="008F35A3">
        <w:rPr>
          <w:sz w:val="24"/>
          <w:szCs w:val="24"/>
          <w:lang w:val="et-EE"/>
        </w:rPr>
        <w:t>Cry-toxins</w:t>
      </w:r>
      <w:proofErr w:type="spellEnd"/>
      <w:r w:rsidRPr="008F35A3">
        <w:rPr>
          <w:sz w:val="24"/>
          <w:szCs w:val="24"/>
          <w:lang w:val="et-EE"/>
        </w:rPr>
        <w:t xml:space="preserve">“, Food and </w:t>
      </w:r>
      <w:proofErr w:type="spellStart"/>
      <w:r w:rsidRPr="008F35A3">
        <w:rPr>
          <w:sz w:val="24"/>
          <w:szCs w:val="24"/>
          <w:lang w:val="et-EE"/>
        </w:rPr>
        <w:t>Chemical</w:t>
      </w:r>
      <w:proofErr w:type="spellEnd"/>
      <w:r w:rsidRPr="008F35A3">
        <w:rPr>
          <w:sz w:val="24"/>
          <w:szCs w:val="24"/>
          <w:lang w:val="et-EE"/>
        </w:rPr>
        <w:t xml:space="preserve"> </w:t>
      </w:r>
      <w:proofErr w:type="spellStart"/>
      <w:r w:rsidRPr="008F35A3">
        <w:rPr>
          <w:sz w:val="24"/>
          <w:szCs w:val="24"/>
          <w:lang w:val="et-EE"/>
        </w:rPr>
        <w:t>Toxicology</w:t>
      </w:r>
      <w:proofErr w:type="spellEnd"/>
      <w:r w:rsidRPr="008F35A3">
        <w:rPr>
          <w:sz w:val="24"/>
          <w:szCs w:val="24"/>
          <w:lang w:val="et-EE"/>
        </w:rPr>
        <w:t xml:space="preserve">, mai 2016, köide 91, lk 130–140 </w:t>
      </w:r>
      <w:hyperlink r:id="rId23" w:history="1">
        <w:r w:rsidRPr="008F35A3">
          <w:rPr>
            <w:rStyle w:val="Hyperlink"/>
            <w:sz w:val="24"/>
            <w:szCs w:val="24"/>
            <w:lang w:val="et-EE"/>
          </w:rPr>
          <w:t>https://doi.org/10.1016/j.fct.2016.03.009</w:t>
        </w:r>
      </w:hyperlink>
      <w:r w:rsidRPr="008F35A3">
        <w:rPr>
          <w:sz w:val="24"/>
          <w:szCs w:val="24"/>
          <w:lang w:val="et-EE"/>
        </w:rPr>
        <w:t>.</w:t>
      </w:r>
    </w:p>
  </w:footnote>
  <w:footnote w:id="13">
    <w:p w14:paraId="5949D9C6" w14:textId="6DC87AC6"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proofErr w:type="spellStart"/>
      <w:r w:rsidRPr="008F35A3">
        <w:rPr>
          <w:sz w:val="24"/>
          <w:szCs w:val="24"/>
          <w:lang w:val="et-EE"/>
        </w:rPr>
        <w:t>Trtikova</w:t>
      </w:r>
      <w:proofErr w:type="spellEnd"/>
      <w:r w:rsidRPr="008F35A3">
        <w:rPr>
          <w:sz w:val="24"/>
          <w:szCs w:val="24"/>
          <w:lang w:val="et-EE"/>
        </w:rPr>
        <w:t xml:space="preserve">, M., </w:t>
      </w:r>
      <w:proofErr w:type="spellStart"/>
      <w:r w:rsidRPr="008F35A3">
        <w:rPr>
          <w:sz w:val="24"/>
          <w:szCs w:val="24"/>
          <w:lang w:val="et-EE"/>
        </w:rPr>
        <w:t>Lohn</w:t>
      </w:r>
      <w:proofErr w:type="spellEnd"/>
      <w:r w:rsidRPr="008F35A3">
        <w:rPr>
          <w:sz w:val="24"/>
          <w:szCs w:val="24"/>
          <w:lang w:val="et-EE"/>
        </w:rPr>
        <w:t xml:space="preserve">, A., </w:t>
      </w:r>
      <w:proofErr w:type="spellStart"/>
      <w:r w:rsidRPr="008F35A3">
        <w:rPr>
          <w:sz w:val="24"/>
          <w:szCs w:val="24"/>
          <w:lang w:val="et-EE"/>
        </w:rPr>
        <w:t>Binimelis</w:t>
      </w:r>
      <w:proofErr w:type="spellEnd"/>
      <w:r w:rsidRPr="008F35A3">
        <w:rPr>
          <w:sz w:val="24"/>
          <w:szCs w:val="24"/>
          <w:lang w:val="et-EE"/>
        </w:rPr>
        <w:t xml:space="preserve">, R., </w:t>
      </w:r>
      <w:proofErr w:type="spellStart"/>
      <w:r w:rsidRPr="008F35A3">
        <w:rPr>
          <w:sz w:val="24"/>
          <w:szCs w:val="24"/>
          <w:lang w:val="et-EE"/>
        </w:rPr>
        <w:t>Chapela</w:t>
      </w:r>
      <w:proofErr w:type="spellEnd"/>
      <w:r w:rsidRPr="008F35A3">
        <w:rPr>
          <w:sz w:val="24"/>
          <w:szCs w:val="24"/>
          <w:lang w:val="et-EE"/>
        </w:rPr>
        <w:t xml:space="preserve">, I., </w:t>
      </w:r>
      <w:proofErr w:type="spellStart"/>
      <w:r w:rsidRPr="008F35A3">
        <w:rPr>
          <w:sz w:val="24"/>
          <w:szCs w:val="24"/>
          <w:lang w:val="et-EE"/>
        </w:rPr>
        <w:t>Oehen</w:t>
      </w:r>
      <w:proofErr w:type="spellEnd"/>
      <w:r w:rsidRPr="008F35A3">
        <w:rPr>
          <w:sz w:val="24"/>
          <w:szCs w:val="24"/>
          <w:lang w:val="et-EE"/>
        </w:rPr>
        <w:t xml:space="preserve">, B., </w:t>
      </w:r>
      <w:proofErr w:type="spellStart"/>
      <w:r w:rsidRPr="008F35A3">
        <w:rPr>
          <w:sz w:val="24"/>
          <w:szCs w:val="24"/>
          <w:lang w:val="et-EE"/>
        </w:rPr>
        <w:t>Zemp</w:t>
      </w:r>
      <w:proofErr w:type="spellEnd"/>
      <w:r w:rsidRPr="008F35A3">
        <w:rPr>
          <w:sz w:val="24"/>
          <w:szCs w:val="24"/>
          <w:lang w:val="et-EE"/>
        </w:rPr>
        <w:t xml:space="preserve">, N., </w:t>
      </w:r>
      <w:proofErr w:type="spellStart"/>
      <w:r w:rsidRPr="008F35A3">
        <w:rPr>
          <w:sz w:val="24"/>
          <w:szCs w:val="24"/>
          <w:lang w:val="et-EE"/>
        </w:rPr>
        <w:t>Widmer</w:t>
      </w:r>
      <w:proofErr w:type="spellEnd"/>
      <w:r w:rsidRPr="008F35A3">
        <w:rPr>
          <w:sz w:val="24"/>
          <w:szCs w:val="24"/>
          <w:lang w:val="et-EE"/>
        </w:rPr>
        <w:t xml:space="preserve">, A., </w:t>
      </w:r>
      <w:proofErr w:type="spellStart"/>
      <w:r w:rsidRPr="008F35A3">
        <w:rPr>
          <w:sz w:val="24"/>
          <w:szCs w:val="24"/>
          <w:lang w:val="et-EE"/>
        </w:rPr>
        <w:t>Hilbeck</w:t>
      </w:r>
      <w:proofErr w:type="spellEnd"/>
      <w:r w:rsidRPr="008F35A3">
        <w:rPr>
          <w:sz w:val="24"/>
          <w:szCs w:val="24"/>
          <w:lang w:val="et-EE"/>
        </w:rPr>
        <w:t>, A., (2017), „</w:t>
      </w:r>
      <w:proofErr w:type="spellStart"/>
      <w:r w:rsidRPr="008F35A3">
        <w:rPr>
          <w:sz w:val="24"/>
          <w:szCs w:val="24"/>
          <w:lang w:val="et-EE"/>
        </w:rPr>
        <w:t>Teosinte</w:t>
      </w:r>
      <w:proofErr w:type="spellEnd"/>
      <w:r w:rsidRPr="008F35A3">
        <w:rPr>
          <w:sz w:val="24"/>
          <w:szCs w:val="24"/>
          <w:lang w:val="et-EE"/>
        </w:rPr>
        <w:t xml:space="preserve"> in Europe – </w:t>
      </w:r>
      <w:proofErr w:type="spellStart"/>
      <w:r w:rsidRPr="008F35A3">
        <w:rPr>
          <w:sz w:val="24"/>
          <w:szCs w:val="24"/>
          <w:lang w:val="et-EE"/>
        </w:rPr>
        <w:t>Searching</w:t>
      </w:r>
      <w:proofErr w:type="spellEnd"/>
      <w:r w:rsidRPr="008F35A3">
        <w:rPr>
          <w:sz w:val="24"/>
          <w:szCs w:val="24"/>
          <w:lang w:val="et-EE"/>
        </w:rPr>
        <w:t xml:space="preserve"> </w:t>
      </w:r>
      <w:proofErr w:type="spellStart"/>
      <w:r w:rsidRPr="008F35A3">
        <w:rPr>
          <w:sz w:val="24"/>
          <w:szCs w:val="24"/>
          <w:lang w:val="et-EE"/>
        </w:rPr>
        <w:t>for</w:t>
      </w:r>
      <w:proofErr w:type="spellEnd"/>
      <w:r w:rsidRPr="008F35A3">
        <w:rPr>
          <w:sz w:val="24"/>
          <w:szCs w:val="24"/>
          <w:lang w:val="et-EE"/>
        </w:rPr>
        <w:t xml:space="preserve"> </w:t>
      </w:r>
      <w:proofErr w:type="spellStart"/>
      <w:r w:rsidRPr="008F35A3">
        <w:rPr>
          <w:sz w:val="24"/>
          <w:szCs w:val="24"/>
          <w:lang w:val="et-EE"/>
        </w:rPr>
        <w:t>the</w:t>
      </w:r>
      <w:proofErr w:type="spellEnd"/>
      <w:r w:rsidRPr="008F35A3">
        <w:rPr>
          <w:sz w:val="24"/>
          <w:szCs w:val="24"/>
          <w:lang w:val="et-EE"/>
        </w:rPr>
        <w:t xml:space="preserve"> Origin of a </w:t>
      </w:r>
      <w:proofErr w:type="spellStart"/>
      <w:r w:rsidRPr="008F35A3">
        <w:rPr>
          <w:sz w:val="24"/>
          <w:szCs w:val="24"/>
          <w:lang w:val="et-EE"/>
        </w:rPr>
        <w:t>Novel</w:t>
      </w:r>
      <w:proofErr w:type="spellEnd"/>
      <w:r w:rsidRPr="008F35A3">
        <w:rPr>
          <w:sz w:val="24"/>
          <w:szCs w:val="24"/>
          <w:lang w:val="et-EE"/>
        </w:rPr>
        <w:t xml:space="preserve"> </w:t>
      </w:r>
      <w:proofErr w:type="spellStart"/>
      <w:r w:rsidRPr="008F35A3">
        <w:rPr>
          <w:sz w:val="24"/>
          <w:szCs w:val="24"/>
          <w:lang w:val="et-EE"/>
        </w:rPr>
        <w:t>Weed</w:t>
      </w:r>
      <w:proofErr w:type="spellEnd"/>
      <w:r w:rsidRPr="008F35A3">
        <w:rPr>
          <w:sz w:val="24"/>
          <w:szCs w:val="24"/>
          <w:lang w:val="et-EE"/>
        </w:rPr>
        <w:t xml:space="preserve">“, </w:t>
      </w:r>
      <w:proofErr w:type="spellStart"/>
      <w:r w:rsidRPr="008F35A3">
        <w:rPr>
          <w:sz w:val="24"/>
          <w:szCs w:val="24"/>
          <w:lang w:val="et-EE"/>
        </w:rPr>
        <w:t>Scientific</w:t>
      </w:r>
      <w:proofErr w:type="spellEnd"/>
      <w:r w:rsidRPr="008F35A3">
        <w:rPr>
          <w:sz w:val="24"/>
          <w:szCs w:val="24"/>
          <w:lang w:val="et-EE"/>
        </w:rPr>
        <w:t xml:space="preserve"> </w:t>
      </w:r>
      <w:proofErr w:type="spellStart"/>
      <w:r w:rsidRPr="008F35A3">
        <w:rPr>
          <w:sz w:val="24"/>
          <w:szCs w:val="24"/>
          <w:lang w:val="et-EE"/>
        </w:rPr>
        <w:t>Reports</w:t>
      </w:r>
      <w:proofErr w:type="spellEnd"/>
      <w:r w:rsidRPr="008F35A3">
        <w:rPr>
          <w:sz w:val="24"/>
          <w:szCs w:val="24"/>
          <w:lang w:val="et-EE"/>
        </w:rPr>
        <w:t xml:space="preserve">, 7:1560, </w:t>
      </w:r>
      <w:hyperlink r:id="rId24" w:history="1">
        <w:r w:rsidRPr="008F35A3">
          <w:rPr>
            <w:rStyle w:val="Hyperlink"/>
            <w:sz w:val="24"/>
            <w:szCs w:val="24"/>
            <w:lang w:val="et-EE"/>
          </w:rPr>
          <w:t>https://doi.org/10.1038/s41598-017-01478-w</w:t>
        </w:r>
      </w:hyperlink>
      <w:r w:rsidRPr="008F35A3">
        <w:rPr>
          <w:sz w:val="24"/>
          <w:szCs w:val="24"/>
          <w:lang w:val="et-EE"/>
        </w:rPr>
        <w:t>.</w:t>
      </w:r>
    </w:p>
  </w:footnote>
  <w:footnote w:id="14">
    <w:p w14:paraId="013471ED" w14:textId="5A6C1C76"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 xml:space="preserve">„Strateegiline dialoog ELi põllumajanduse tuleviku üle – põllumajanduse ja toidu ühine väljavaade Euroopas“, september 2024, </w:t>
      </w:r>
      <w:hyperlink r:id="rId25" w:history="1">
        <w:r w:rsidRPr="008F35A3">
          <w:rPr>
            <w:rStyle w:val="Hyperlink"/>
            <w:sz w:val="24"/>
            <w:szCs w:val="24"/>
            <w:lang w:val="et-EE"/>
          </w:rPr>
          <w:t>https://agriculture.ec.europa.eu/document/download/171329ff-0f50-4fa5-946f-aea11032172e_en?filename=strategic-dialogue-report-2024_en.pdf</w:t>
        </w:r>
      </w:hyperlink>
      <w:r w:rsidRPr="008F35A3">
        <w:rPr>
          <w:sz w:val="24"/>
          <w:szCs w:val="24"/>
          <w:lang w:val="et-EE"/>
        </w:rPr>
        <w:t>.</w:t>
      </w:r>
    </w:p>
  </w:footnote>
  <w:footnote w:id="15">
    <w:p w14:paraId="54034147" w14:textId="4C492670"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hyperlink r:id="rId26" w:history="1">
        <w:r w:rsidRPr="008F35A3">
          <w:rPr>
            <w:rStyle w:val="Hyperlink"/>
            <w:sz w:val="24"/>
            <w:szCs w:val="24"/>
            <w:lang w:val="et-EE"/>
          </w:rPr>
          <w:t>https://www.ohchr.org/en/documents/thematic-reports/ahrc3448-report-special-rapporteur-right-food</w:t>
        </w:r>
      </w:hyperlink>
    </w:p>
  </w:footnote>
  <w:footnote w:id="16">
    <w:p w14:paraId="1BEC12C5" w14:textId="13F4DBAD"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hyperlink r:id="rId27" w:history="1">
        <w:r w:rsidRPr="008F35A3">
          <w:rPr>
            <w:rStyle w:val="Hyperlink"/>
            <w:sz w:val="24"/>
            <w:szCs w:val="24"/>
            <w:lang w:val="et-EE"/>
          </w:rPr>
          <w:t>https://www.un.org/sustainabledevelopment/health/</w:t>
        </w:r>
      </w:hyperlink>
    </w:p>
  </w:footnote>
  <w:footnote w:id="17">
    <w:p w14:paraId="4A98C391" w14:textId="1D5DE4C2"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hyperlink r:id="rId28" w:history="1">
        <w:r w:rsidRPr="008F35A3">
          <w:rPr>
            <w:rStyle w:val="Hyperlink"/>
            <w:sz w:val="24"/>
            <w:szCs w:val="24"/>
            <w:lang w:val="et-EE"/>
          </w:rPr>
          <w:t>https://ec.europa.eu/commission/presscorner/detail/et/ip_22_7834</w:t>
        </w:r>
      </w:hyperlink>
    </w:p>
  </w:footnote>
  <w:footnote w:id="18">
    <w:p w14:paraId="61936DC3" w14:textId="578CFC39"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hyperlink r:id="rId29" w:history="1">
        <w:r w:rsidRPr="008F35A3">
          <w:rPr>
            <w:rStyle w:val="Hyperlink"/>
            <w:sz w:val="24"/>
            <w:szCs w:val="24"/>
            <w:lang w:val="et-EE"/>
          </w:rPr>
          <w:t>https://commission.europa.eu/document/2c64e540-c07a-4376-a1da-368d289f4afe_en</w:t>
        </w:r>
      </w:hyperlink>
    </w:p>
  </w:footnote>
  <w:footnote w:id="19">
    <w:p w14:paraId="6FE6B4BE" w14:textId="1C815DE6"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Määruse (EL) </w:t>
      </w:r>
      <w:r w:rsidR="000B0858">
        <w:rPr>
          <w:sz w:val="24"/>
          <w:szCs w:val="24"/>
          <w:lang w:val="et-EE"/>
        </w:rPr>
        <w:t xml:space="preserve">nr </w:t>
      </w:r>
      <w:r w:rsidRPr="008F35A3">
        <w:rPr>
          <w:sz w:val="24"/>
          <w:szCs w:val="24"/>
          <w:lang w:val="et-EE"/>
        </w:rPr>
        <w:t>182/2011 artikli 6 lõike 3 kohaselt võib komisjon loa anda, kuid ei pea seda tegema, kui apellatsioonikomitees ei ole selle toetuseks saavutatud liikmesriikide kvalifitseeritud häälteenamust.</w:t>
      </w:r>
    </w:p>
  </w:footnote>
  <w:footnote w:id="20">
    <w:p w14:paraId="00B0D43D" w14:textId="5FDB80A8"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hyperlink r:id="rId30" w:history="1">
        <w:r w:rsidRPr="008F35A3">
          <w:rPr>
            <w:rStyle w:val="Hyperlink"/>
            <w:sz w:val="24"/>
            <w:szCs w:val="24"/>
            <w:lang w:val="et-EE"/>
          </w:rPr>
          <w:t>https://food.ec.europa.eu/document/download/ee1a5aed-5303-4c32-bb59-813143a1df47_en?filename=sc_modif-genet_20250613_sum.pdf</w:t>
        </w:r>
      </w:hyperlink>
    </w:p>
  </w:footnote>
  <w:footnote w:id="21">
    <w:p w14:paraId="1ACADB57" w14:textId="0F9914AC"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 xml:space="preserve">Euroopa Parlamendi ja nõukogu 28. jaanuari 2002. </w:t>
      </w:r>
      <w:r w:rsidRPr="008F35A3">
        <w:rPr>
          <w:sz w:val="24"/>
          <w:szCs w:val="24"/>
          <w:lang w:val="et-EE"/>
        </w:rPr>
        <w:t xml:space="preserve">aasta määrus (EÜ) nr 178/2002, millega sätestatakse toidualaste õigusnormide üldised põhimõtted ja nõuded, asutatakse Euroopa Toiduohutusamet ja kehtestatakse toidu ohutusega seotud menetlused (EÜT L 31, 1.2.2002, lk 1, ELI: </w:t>
      </w:r>
      <w:hyperlink r:id="rId31" w:history="1">
        <w:r w:rsidRPr="008F35A3">
          <w:rPr>
            <w:rStyle w:val="Hyperlink"/>
            <w:sz w:val="24"/>
            <w:szCs w:val="24"/>
            <w:lang w:val="et-EE"/>
          </w:rPr>
          <w:t>http://data.europa.eu/eli/reg/2002/178/oj</w:t>
        </w:r>
      </w:hyperlink>
      <w:r w:rsidRPr="008F35A3">
        <w:rPr>
          <w:sz w:val="24"/>
          <w:szCs w:val="24"/>
          <w:lang w:val="et-EE"/>
        </w:rPr>
        <w:t>).</w:t>
      </w:r>
    </w:p>
  </w:footnote>
  <w:footnote w:id="22">
    <w:p w14:paraId="734D4E67" w14:textId="5F553E2C"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 xml:space="preserve">Nagu on kirjeldatud komisjoni 14. oktoobri 2020. aasta teatise „Kestlikkust toetav kemikaalistrateegia. </w:t>
      </w:r>
      <w:r w:rsidRPr="008F35A3">
        <w:rPr>
          <w:sz w:val="24"/>
          <w:szCs w:val="24"/>
          <w:lang w:val="et-EE"/>
        </w:rPr>
        <w:t xml:space="preserve">Mürgivaba keskkonna loomise suunas.“ lisas, COM(2020)0667, </w:t>
      </w:r>
      <w:hyperlink r:id="rId32" w:anchor="document2" w:history="1">
        <w:r w:rsidRPr="008F35A3">
          <w:rPr>
            <w:rStyle w:val="Hyperlink"/>
            <w:sz w:val="24"/>
            <w:szCs w:val="24"/>
            <w:lang w:val="et-EE"/>
          </w:rPr>
          <w:t>https://eur-lex.europa.eu/legal-content/ET/TXT/?uri=COM%3A2020%3A667%3AFIN#document2</w:t>
        </w:r>
      </w:hyperlink>
      <w:r w:rsidRPr="008F35A3">
        <w:rPr>
          <w:sz w:val="24"/>
          <w:szCs w:val="24"/>
          <w:lang w:val="et-EE"/>
        </w:rPr>
        <w:t>.</w:t>
      </w:r>
    </w:p>
  </w:footnote>
  <w:footnote w:id="23">
    <w:p w14:paraId="77C5BACA" w14:textId="6C73268B"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hyperlink r:id="rId33" w:history="1">
        <w:r w:rsidRPr="008F35A3">
          <w:rPr>
            <w:rStyle w:val="Hyperlink"/>
            <w:sz w:val="24"/>
            <w:szCs w:val="24"/>
            <w:lang w:val="et-EE"/>
          </w:rPr>
          <w:t>https://tillymetz.lu/wp-content/uploads/2020/09/Co-signed-letter-MEP-Metz.pdf</w:t>
        </w:r>
      </w:hyperlink>
    </w:p>
  </w:footnote>
  <w:footnote w:id="24">
    <w:p w14:paraId="779BD93B" w14:textId="34AD42E6" w:rsidR="00092622" w:rsidRPr="008F35A3" w:rsidRDefault="00092622" w:rsidP="008F35A3">
      <w:pPr>
        <w:pStyle w:val="FootnoteText"/>
        <w:ind w:left="567" w:hanging="567"/>
        <w:rPr>
          <w:sz w:val="24"/>
          <w:szCs w:val="24"/>
          <w:lang w:val="et-EE"/>
        </w:rPr>
      </w:pPr>
      <w:r w:rsidRPr="008F35A3">
        <w:rPr>
          <w:rStyle w:val="FootnoteReference"/>
          <w:sz w:val="24"/>
          <w:szCs w:val="24"/>
          <w:lang w:val="et-EE"/>
        </w:rPr>
        <w:footnoteRef/>
      </w:r>
      <w:r w:rsidR="00AB131E" w:rsidRPr="008F35A3">
        <w:rPr>
          <w:sz w:val="24"/>
          <w:szCs w:val="24"/>
          <w:lang w:val="et-EE"/>
        </w:rPr>
        <w:t xml:space="preserve"> </w:t>
      </w:r>
      <w:r w:rsidR="00AB131E" w:rsidRPr="008F35A3">
        <w:rPr>
          <w:sz w:val="24"/>
          <w:szCs w:val="24"/>
          <w:lang w:val="et-EE"/>
        </w:rPr>
        <w:tab/>
      </w:r>
      <w:r w:rsidRPr="008F35A3">
        <w:rPr>
          <w:sz w:val="24"/>
          <w:szCs w:val="24"/>
          <w:lang w:val="et-EE"/>
        </w:rPr>
        <w:t>Euroopa Parlamendi 15. jaanuari 2020. aasta resolutsioon Euroopa rohelise kokkuleppe kohta (ELT C 270, 7.7.2021, lk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09B7" w14:textId="77777777" w:rsidR="00064002" w:rsidRPr="00AB13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6996E" w14:textId="77777777" w:rsidR="00064002" w:rsidRPr="00AB13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F1042" w14:textId="77777777" w:rsidR="00064002" w:rsidRPr="00AB13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1707090">
    <w:abstractNumId w:val="9"/>
  </w:num>
  <w:num w:numId="2" w16cid:durableId="1370834084">
    <w:abstractNumId w:val="9"/>
  </w:num>
  <w:num w:numId="3" w16cid:durableId="531456958">
    <w:abstractNumId w:val="7"/>
  </w:num>
  <w:num w:numId="4" w16cid:durableId="1469931665">
    <w:abstractNumId w:val="7"/>
  </w:num>
  <w:num w:numId="5" w16cid:durableId="1463887667">
    <w:abstractNumId w:val="6"/>
  </w:num>
  <w:num w:numId="6" w16cid:durableId="2013144299">
    <w:abstractNumId w:val="6"/>
  </w:num>
  <w:num w:numId="7" w16cid:durableId="1235241835">
    <w:abstractNumId w:val="5"/>
  </w:num>
  <w:num w:numId="8" w16cid:durableId="1514879395">
    <w:abstractNumId w:val="5"/>
  </w:num>
  <w:num w:numId="9" w16cid:durableId="410742506">
    <w:abstractNumId w:val="4"/>
  </w:num>
  <w:num w:numId="10" w16cid:durableId="920024045">
    <w:abstractNumId w:val="4"/>
  </w:num>
  <w:num w:numId="11" w16cid:durableId="132646295">
    <w:abstractNumId w:val="8"/>
  </w:num>
  <w:num w:numId="12" w16cid:durableId="14960706">
    <w:abstractNumId w:val="8"/>
  </w:num>
  <w:num w:numId="13" w16cid:durableId="1059400397">
    <w:abstractNumId w:val="3"/>
  </w:num>
  <w:num w:numId="14" w16cid:durableId="1482383737">
    <w:abstractNumId w:val="3"/>
  </w:num>
  <w:num w:numId="15" w16cid:durableId="317461723">
    <w:abstractNumId w:val="2"/>
  </w:num>
  <w:num w:numId="16" w16cid:durableId="276183083">
    <w:abstractNumId w:val="2"/>
  </w:num>
  <w:num w:numId="17" w16cid:durableId="876087523">
    <w:abstractNumId w:val="1"/>
  </w:num>
  <w:num w:numId="18" w16cid:durableId="840395244">
    <w:abstractNumId w:val="1"/>
  </w:num>
  <w:num w:numId="19" w16cid:durableId="323976789">
    <w:abstractNumId w:val="0"/>
  </w:num>
  <w:num w:numId="20" w16cid:durableId="2134597349">
    <w:abstractNumId w:val="0"/>
  </w:num>
  <w:num w:numId="21" w16cid:durableId="465781042">
    <w:abstractNumId w:val="9"/>
  </w:num>
  <w:num w:numId="22" w16cid:durableId="462387423">
    <w:abstractNumId w:val="7"/>
  </w:num>
  <w:num w:numId="23" w16cid:durableId="1296326702">
    <w:abstractNumId w:val="6"/>
  </w:num>
  <w:num w:numId="24" w16cid:durableId="1815289967">
    <w:abstractNumId w:val="5"/>
  </w:num>
  <w:num w:numId="25" w16cid:durableId="1033729895">
    <w:abstractNumId w:val="4"/>
  </w:num>
  <w:num w:numId="26" w16cid:durableId="591932425">
    <w:abstractNumId w:val="8"/>
  </w:num>
  <w:num w:numId="27" w16cid:durableId="1621839512">
    <w:abstractNumId w:val="3"/>
  </w:num>
  <w:num w:numId="28" w16cid:durableId="2095083201">
    <w:abstractNumId w:val="2"/>
  </w:num>
  <w:num w:numId="29" w16cid:durableId="1338654982">
    <w:abstractNumId w:val="1"/>
  </w:num>
  <w:num w:numId="30" w16cid:durableId="1256094446">
    <w:abstractNumId w:val="0"/>
  </w:num>
  <w:num w:numId="31" w16cid:durableId="1759982410">
    <w:abstractNumId w:val="9"/>
  </w:num>
  <w:num w:numId="32" w16cid:durableId="1780489549">
    <w:abstractNumId w:val="7"/>
  </w:num>
  <w:num w:numId="33" w16cid:durableId="1411542787">
    <w:abstractNumId w:val="6"/>
  </w:num>
  <w:num w:numId="34" w16cid:durableId="1106923104">
    <w:abstractNumId w:val="5"/>
  </w:num>
  <w:num w:numId="35" w16cid:durableId="240676284">
    <w:abstractNumId w:val="4"/>
  </w:num>
  <w:num w:numId="36" w16cid:durableId="1305545738">
    <w:abstractNumId w:val="8"/>
  </w:num>
  <w:num w:numId="37" w16cid:durableId="1130975245">
    <w:abstractNumId w:val="3"/>
  </w:num>
  <w:num w:numId="38" w16cid:durableId="1419709485">
    <w:abstractNumId w:val="2"/>
  </w:num>
  <w:num w:numId="39" w16cid:durableId="39550305">
    <w:abstractNumId w:val="1"/>
  </w:num>
  <w:num w:numId="40" w16cid:durableId="294457680">
    <w:abstractNumId w:val="0"/>
  </w:num>
  <w:num w:numId="41" w16cid:durableId="1238400852">
    <w:abstractNumId w:val="10"/>
  </w:num>
  <w:num w:numId="42" w16cid:durableId="1749500636">
    <w:abstractNumId w:val="10"/>
  </w:num>
  <w:num w:numId="43" w16cid:durableId="484859233">
    <w:abstractNumId w:val="10"/>
  </w:num>
  <w:num w:numId="44" w16cid:durableId="426536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ET"/>
    <w:docVar w:name="dvnumam" w:val="0"/>
    <w:docVar w:name="dvpe" w:val="775.588"/>
    <w:docVar w:name="dvtitre" w:val="Euroopa Parlamendi .... 2025. aasta resolutsioon komisjoni rakendusotsuse eelnõu kohta, millega lubatakse turule lasta geneetiliselt muundatud maisi DP51291 sisaldavaid, sellest koosnevaid või sellest valmistatud tooteid vastavalt Euroopa Parlamendi ja nõukogu määrusele (EÜ) nr 1829/2003(D108064/03 – 2025/2807(RSP))"/>
  </w:docVars>
  <w:rsids>
    <w:rsidRoot w:val="00E101C6"/>
    <w:rsid w:val="00002272"/>
    <w:rsid w:val="00064002"/>
    <w:rsid w:val="000677B9"/>
    <w:rsid w:val="000831BA"/>
    <w:rsid w:val="00092622"/>
    <w:rsid w:val="000A42CC"/>
    <w:rsid w:val="000B0858"/>
    <w:rsid w:val="000B5ED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6847"/>
    <w:rsid w:val="00421060"/>
    <w:rsid w:val="00471C19"/>
    <w:rsid w:val="004867E3"/>
    <w:rsid w:val="00494A28"/>
    <w:rsid w:val="004C0004"/>
    <w:rsid w:val="004C5D52"/>
    <w:rsid w:val="004D6E1F"/>
    <w:rsid w:val="0050519A"/>
    <w:rsid w:val="005072A1"/>
    <w:rsid w:val="00514517"/>
    <w:rsid w:val="00545827"/>
    <w:rsid w:val="00553664"/>
    <w:rsid w:val="00560270"/>
    <w:rsid w:val="005C2568"/>
    <w:rsid w:val="005F1B17"/>
    <w:rsid w:val="006037C0"/>
    <w:rsid w:val="006631B6"/>
    <w:rsid w:val="00680577"/>
    <w:rsid w:val="006C780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5A3"/>
    <w:rsid w:val="00930C23"/>
    <w:rsid w:val="0093193B"/>
    <w:rsid w:val="009509D8"/>
    <w:rsid w:val="00950B64"/>
    <w:rsid w:val="00981893"/>
    <w:rsid w:val="009C5073"/>
    <w:rsid w:val="009D5EE9"/>
    <w:rsid w:val="00A1687D"/>
    <w:rsid w:val="00A313E9"/>
    <w:rsid w:val="00A43E52"/>
    <w:rsid w:val="00A4678D"/>
    <w:rsid w:val="00A778C7"/>
    <w:rsid w:val="00AB131E"/>
    <w:rsid w:val="00AB441E"/>
    <w:rsid w:val="00AB6293"/>
    <w:rsid w:val="00AD7B7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25A"/>
    <w:rsid w:val="00D56C11"/>
    <w:rsid w:val="00D834A0"/>
    <w:rsid w:val="00D872DF"/>
    <w:rsid w:val="00D91E21"/>
    <w:rsid w:val="00DA7FCD"/>
    <w:rsid w:val="00E101C6"/>
    <w:rsid w:val="00E10834"/>
    <w:rsid w:val="00E365E1"/>
    <w:rsid w:val="00E820A4"/>
    <w:rsid w:val="00EB006A"/>
    <w:rsid w:val="00EB4772"/>
    <w:rsid w:val="00ED169E"/>
    <w:rsid w:val="00ED4235"/>
    <w:rsid w:val="00F04346"/>
    <w:rsid w:val="00F075DC"/>
    <w:rsid w:val="00F149E9"/>
    <w:rsid w:val="00F5134D"/>
    <w:rsid w:val="00F571F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DB020"/>
  <w15:chartTrackingRefBased/>
  <w15:docId w15:val="{E01E5DB2-EE5A-44DD-955E-930B527ED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2622"/>
    <w:pPr>
      <w:spacing w:before="480" w:after="240"/>
    </w:pPr>
  </w:style>
  <w:style w:type="paragraph" w:customStyle="1" w:styleId="NormalHanging12a">
    <w:name w:val="NormalHanging12a"/>
    <w:basedOn w:val="Normal"/>
    <w:rsid w:val="00092622"/>
    <w:pPr>
      <w:spacing w:after="240"/>
      <w:ind w:left="567" w:hanging="567"/>
    </w:pPr>
  </w:style>
  <w:style w:type="paragraph" w:customStyle="1" w:styleId="NormalBold">
    <w:name w:val="NormalBold"/>
    <w:basedOn w:val="Normal"/>
    <w:rsid w:val="00092622"/>
    <w:rPr>
      <w:b/>
    </w:rPr>
  </w:style>
  <w:style w:type="character" w:styleId="Hyperlink">
    <w:name w:val="Hyperlink"/>
    <w:basedOn w:val="DefaultParagraphFont"/>
    <w:uiPriority w:val="99"/>
    <w:rsid w:val="00092622"/>
    <w:rPr>
      <w:color w:val="0563C1" w:themeColor="hyperlink"/>
      <w:u w:val="single"/>
    </w:rPr>
  </w:style>
  <w:style w:type="character" w:customStyle="1" w:styleId="Funotenzeichen">
    <w:name w:val="Fußnotenzeichen"/>
    <w:qFormat/>
    <w:rsid w:val="00092622"/>
    <w:rPr>
      <w:vertAlign w:val="superscript"/>
    </w:rPr>
  </w:style>
  <w:style w:type="paragraph" w:styleId="Revision">
    <w:name w:val="Revision"/>
    <w:hidden/>
    <w:uiPriority w:val="99"/>
    <w:semiHidden/>
    <w:rsid w:val="008F35A3"/>
    <w:rPr>
      <w:sz w:val="24"/>
      <w:lang w:val="et-EE"/>
    </w:rPr>
  </w:style>
  <w:style w:type="character" w:styleId="UnresolvedMention">
    <w:name w:val="Unresolved Mention"/>
    <w:basedOn w:val="DefaultParagraphFont"/>
    <w:uiPriority w:val="99"/>
    <w:semiHidden/>
    <w:unhideWhenUsed/>
    <w:rsid w:val="008F35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ET/TXT/?uri=COM:2020:667: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et/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1870</Words>
  <Characters>13973</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2025-11-04T14:35:00Z</dcterms:created>
  <dcterms:modified xsi:type="dcterms:W3CDTF">2025-11-04T14:35:00Z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B10-0407/2025</vt:lpwstr>
  </property>
  <property fmtid="{D5CDD505-2E9C-101B-9397-08002B2CF9AE}" pid="4" name="&lt;Type&gt;">
    <vt:lpwstr>RR</vt:lpwstr>
  </property>
</Properties>
</file>