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7F27" w14:paraId="4B4DA47A" w14:textId="77777777" w:rsidTr="0010095E">
        <w:trPr>
          <w:trHeight w:hRule="exact" w:val="1418"/>
        </w:trPr>
        <w:tc>
          <w:tcPr>
            <w:tcW w:w="6804" w:type="dxa"/>
            <w:shd w:val="clear" w:color="auto" w:fill="auto"/>
            <w:vAlign w:val="center"/>
          </w:tcPr>
          <w:p w14:paraId="2A9466F2" w14:textId="77777777" w:rsidR="00751A4A" w:rsidRPr="00EF7F27" w:rsidRDefault="00B73A22" w:rsidP="0010095E">
            <w:pPr>
              <w:pStyle w:val="EPName"/>
            </w:pPr>
            <w:r w:rsidRPr="00EF7F27">
              <w:t>Euroopan parlamentti</w:t>
            </w:r>
          </w:p>
          <w:p w14:paraId="1A3E1727" w14:textId="77777777" w:rsidR="00751A4A" w:rsidRPr="00EF7F27" w:rsidRDefault="005F1B17" w:rsidP="005F1B17">
            <w:pPr>
              <w:pStyle w:val="EPTerm"/>
              <w:rPr>
                <w:rStyle w:val="HideTWBExt"/>
                <w:noProof w:val="0"/>
                <w:vanish w:val="0"/>
                <w:color w:val="auto"/>
              </w:rPr>
            </w:pPr>
            <w:proofErr w:type="gramStart"/>
            <w:r w:rsidRPr="00EF7F27">
              <w:t>2024</w:t>
            </w:r>
            <w:r w:rsidR="00817416" w:rsidRPr="00EF7F27">
              <w:t>-202</w:t>
            </w:r>
            <w:r w:rsidRPr="00EF7F27">
              <w:t>9</w:t>
            </w:r>
            <w:proofErr w:type="gramEnd"/>
          </w:p>
        </w:tc>
        <w:tc>
          <w:tcPr>
            <w:tcW w:w="2268" w:type="dxa"/>
            <w:shd w:val="clear" w:color="auto" w:fill="auto"/>
          </w:tcPr>
          <w:p w14:paraId="5B0AE059" w14:textId="77777777" w:rsidR="00751A4A" w:rsidRPr="00EF7F27" w:rsidRDefault="00187494" w:rsidP="0010095E">
            <w:pPr>
              <w:pStyle w:val="EPLogo"/>
            </w:pPr>
            <w:r w:rsidRPr="00EF7F27">
              <w:rPr>
                <w:noProof/>
                <w:lang w:eastAsia="ja-JP"/>
              </w:rPr>
              <w:drawing>
                <wp:inline distT="0" distB="0" distL="0" distR="0" wp14:anchorId="4E3B0A43" wp14:editId="4A058B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ABB69B" w14:textId="77777777" w:rsidR="00D058B8" w:rsidRPr="00EF7F27" w:rsidRDefault="00D058B8" w:rsidP="004C5D52">
      <w:pPr>
        <w:pStyle w:val="LineTop"/>
      </w:pPr>
    </w:p>
    <w:p w14:paraId="628953CA" w14:textId="77777777" w:rsidR="00680577" w:rsidRPr="00EF7F27" w:rsidRDefault="00B73A22" w:rsidP="00680577">
      <w:pPr>
        <w:pStyle w:val="EPBodyTA1"/>
      </w:pPr>
      <w:r w:rsidRPr="00EF7F27">
        <w:t>HYVÄKSYTYT TEKSTIT</w:t>
      </w:r>
    </w:p>
    <w:p w14:paraId="49605369" w14:textId="77777777" w:rsidR="00D058B8" w:rsidRPr="00EF7F27" w:rsidRDefault="00D058B8" w:rsidP="00D058B8">
      <w:pPr>
        <w:pStyle w:val="LineBottom"/>
      </w:pPr>
    </w:p>
    <w:p w14:paraId="0F6CB39F" w14:textId="41E1EFD0" w:rsidR="00B73A22" w:rsidRPr="00EF7F27" w:rsidRDefault="00B73A22" w:rsidP="00B73A22">
      <w:pPr>
        <w:pStyle w:val="ATHeading1"/>
      </w:pPr>
      <w:bookmarkStart w:id="0" w:name="TANumber"/>
      <w:r w:rsidRPr="00EF7F27">
        <w:t>P10_</w:t>
      </w:r>
      <w:proofErr w:type="gramStart"/>
      <w:r w:rsidRPr="00EF7F27">
        <w:t>TA(</w:t>
      </w:r>
      <w:proofErr w:type="gramEnd"/>
      <w:r w:rsidRPr="00EF7F27">
        <w:t>2025)0</w:t>
      </w:r>
      <w:r w:rsidR="009C10B6" w:rsidRPr="00EF7F27">
        <w:t>222</w:t>
      </w:r>
      <w:bookmarkEnd w:id="0"/>
    </w:p>
    <w:p w14:paraId="58339162" w14:textId="77777777" w:rsidR="00B73A22" w:rsidRPr="00EF7F27" w:rsidRDefault="00B73A22" w:rsidP="00B73A22">
      <w:pPr>
        <w:pStyle w:val="ATHeading2"/>
      </w:pPr>
      <w:bookmarkStart w:id="1" w:name="title"/>
      <w:r w:rsidRPr="00EF7F27">
        <w:t>Muuntogeeninen maissi DP51291</w:t>
      </w:r>
      <w:bookmarkEnd w:id="1"/>
    </w:p>
    <w:p w14:paraId="4D5D4666" w14:textId="77777777" w:rsidR="00B73A22" w:rsidRPr="00EF7F27" w:rsidRDefault="00B73A22" w:rsidP="00B73A22">
      <w:pPr>
        <w:rPr>
          <w:i/>
          <w:vanish/>
        </w:rPr>
      </w:pPr>
      <w:r w:rsidRPr="00EF7F27">
        <w:rPr>
          <w:i/>
        </w:rPr>
        <w:fldChar w:fldCharType="begin"/>
      </w:r>
      <w:r w:rsidRPr="00EF7F27">
        <w:rPr>
          <w:i/>
        </w:rPr>
        <w:instrText xml:space="preserve"> TC"(</w:instrText>
      </w:r>
      <w:bookmarkStart w:id="2" w:name="DocNumber"/>
      <w:r w:rsidRPr="00EF7F27">
        <w:rPr>
          <w:i/>
        </w:rPr>
        <w:instrText>B10-0407/2025</w:instrText>
      </w:r>
      <w:bookmarkEnd w:id="2"/>
      <w:r w:rsidRPr="00EF7F27">
        <w:rPr>
          <w:i/>
        </w:rPr>
        <w:instrText xml:space="preserve">)"\l3 \n&gt; \* MERGEFORMAT </w:instrText>
      </w:r>
      <w:r w:rsidRPr="00EF7F27">
        <w:rPr>
          <w:i/>
        </w:rPr>
        <w:fldChar w:fldCharType="end"/>
      </w:r>
    </w:p>
    <w:p w14:paraId="0E62A32E" w14:textId="77777777" w:rsidR="00B73A22" w:rsidRPr="00EF7F27" w:rsidRDefault="00B73A22" w:rsidP="00B73A22">
      <w:pPr>
        <w:rPr>
          <w:vanish/>
        </w:rPr>
      </w:pPr>
      <w:bookmarkStart w:id="3" w:name="PE"/>
      <w:r w:rsidRPr="00EF7F27">
        <w:rPr>
          <w:vanish/>
        </w:rPr>
        <w:t>PE775.588</w:t>
      </w:r>
      <w:bookmarkEnd w:id="3"/>
    </w:p>
    <w:p w14:paraId="791AD34E" w14:textId="32E6A82D" w:rsidR="00B73A22" w:rsidRPr="00EF7F27" w:rsidRDefault="00B73A22" w:rsidP="00B73A22">
      <w:pPr>
        <w:pStyle w:val="ATHeading3"/>
      </w:pPr>
      <w:bookmarkStart w:id="4" w:name="Sujet"/>
      <w:r w:rsidRPr="00EF7F27">
        <w:t xml:space="preserve">Euroopan parlamentin päätöslauselma </w:t>
      </w:r>
      <w:r w:rsidR="00671FCD" w:rsidRPr="00EF7F27">
        <w:t>8</w:t>
      </w:r>
      <w:r w:rsidRPr="00EF7F27">
        <w:t xml:space="preserve">. lokakuuta 2025 </w:t>
      </w:r>
      <w:r w:rsidR="00FE3980" w:rsidRPr="00EF7F27">
        <w:t>22</w:t>
      </w:r>
      <w:r w:rsidR="00212C8A" w:rsidRPr="00EF7F27">
        <w:t>.</w:t>
      </w:r>
      <w:r w:rsidR="00FE3980" w:rsidRPr="00EF7F27">
        <w:t xml:space="preserve"> syyskuuta 2025 annetusta komission täytäntöönpanopäätöksestä (EU) 2025/1898 </w:t>
      </w:r>
      <w:r w:rsidR="00390B59" w:rsidRPr="00EF7F27">
        <w:t xml:space="preserve">luvan antamisesta </w:t>
      </w:r>
      <w:r w:rsidRPr="00EF7F27">
        <w:t xml:space="preserve">muuntogeenistä maissia DP51291 sisältävien, siitä koostuvien tai siitä valmistettujen tuotteiden </w:t>
      </w:r>
      <w:r w:rsidR="00390B59" w:rsidRPr="00EF7F27">
        <w:t>saattamiseksi markkinoille</w:t>
      </w:r>
      <w:r w:rsidR="009333BD" w:rsidRPr="00EF7F27">
        <w:t xml:space="preserve"> </w:t>
      </w:r>
      <w:r w:rsidRPr="00EF7F27">
        <w:t>Euroopan parlamentin ja neuvoston asetuksen (EY) N:o 1829/2003 mukaisesti</w:t>
      </w:r>
      <w:bookmarkEnd w:id="4"/>
      <w:r w:rsidRPr="00EF7F27">
        <w:t xml:space="preserve"> </w:t>
      </w:r>
      <w:bookmarkStart w:id="5" w:name="References"/>
      <w:r w:rsidRPr="00EF7F27">
        <w:t>(2025/2807(RSP))</w:t>
      </w:r>
      <w:bookmarkEnd w:id="5"/>
    </w:p>
    <w:p w14:paraId="2A8E5E8F" w14:textId="77777777" w:rsidR="003634DB" w:rsidRPr="00EF7F27" w:rsidRDefault="003634DB" w:rsidP="00724AE6">
      <w:pPr>
        <w:pStyle w:val="EPComma"/>
      </w:pPr>
      <w:bookmarkStart w:id="6" w:name="TextBodyBegin"/>
      <w:bookmarkEnd w:id="6"/>
      <w:r w:rsidRPr="00EF7F27">
        <w:rPr>
          <w:i/>
          <w:iCs/>
        </w:rPr>
        <w:t>Euroopan parlamentti</w:t>
      </w:r>
      <w:r w:rsidRPr="00EF7F27">
        <w:t>, joka</w:t>
      </w:r>
    </w:p>
    <w:p w14:paraId="32CE50DE" w14:textId="3A73A93B" w:rsidR="003634DB" w:rsidRPr="00EF7F27" w:rsidRDefault="003634DB" w:rsidP="00724AE6">
      <w:pPr>
        <w:pStyle w:val="NormalHanging12a"/>
        <w:widowControl/>
        <w:rPr>
          <w:szCs w:val="24"/>
        </w:rPr>
      </w:pPr>
      <w:r w:rsidRPr="00EF7F27">
        <w:t>–</w:t>
      </w:r>
      <w:r w:rsidRPr="00EF7F27">
        <w:tab/>
        <w:t xml:space="preserve">ottaa huomioon </w:t>
      </w:r>
      <w:r w:rsidR="00245553" w:rsidRPr="00EF7F27">
        <w:t>22</w:t>
      </w:r>
      <w:r w:rsidR="00442587" w:rsidRPr="00EF7F27">
        <w:t>.</w:t>
      </w:r>
      <w:r w:rsidR="00245553" w:rsidRPr="00EF7F27">
        <w:t xml:space="preserve"> syyskuuta 2025 annetun komission täytäntöönpanopäätöksen (EU) 2025/1898 </w:t>
      </w:r>
      <w:r w:rsidR="00415BB8" w:rsidRPr="00EF7F27">
        <w:t xml:space="preserve">luvan antamisesta </w:t>
      </w:r>
      <w:r w:rsidRPr="00EF7F27">
        <w:t xml:space="preserve">muuntogeenistä maissia DP51291 sisältävien, siitä koostuvien tai siitä valmistettujen tuotteiden </w:t>
      </w:r>
      <w:r w:rsidR="00AC51B6" w:rsidRPr="00EF7F27">
        <w:t xml:space="preserve">saattamiseksi </w:t>
      </w:r>
      <w:r w:rsidRPr="00EF7F27">
        <w:t>markkinoille</w:t>
      </w:r>
      <w:r w:rsidR="00BE6DAF" w:rsidRPr="00EF7F27">
        <w:t xml:space="preserve"> </w:t>
      </w:r>
      <w:r w:rsidRPr="00EF7F27">
        <w:t>Euroopan parlamentin ja neuvoston asetuksen (EY) N:o 1829/2003 mukaisesti</w:t>
      </w:r>
      <w:r w:rsidR="00671FCD" w:rsidRPr="00EF7F27">
        <w:rPr>
          <w:vertAlign w:val="superscript"/>
          <w:lang w:val="en-GB"/>
        </w:rPr>
        <w:footnoteReference w:id="1"/>
      </w:r>
      <w:r w:rsidRPr="00EF7F27">
        <w:t>,</w:t>
      </w:r>
    </w:p>
    <w:p w14:paraId="300121FA" w14:textId="77777777" w:rsidR="003634DB" w:rsidRPr="00EF7F27" w:rsidRDefault="003634DB" w:rsidP="00724AE6">
      <w:pPr>
        <w:pStyle w:val="NormalHanging12a"/>
        <w:widowControl/>
        <w:rPr>
          <w:szCs w:val="24"/>
        </w:rPr>
      </w:pPr>
      <w:r w:rsidRPr="00EF7F27">
        <w:t>–</w:t>
      </w:r>
      <w:r w:rsidRPr="00EF7F27">
        <w:tab/>
        <w:t>ottaa huomioon muuntogeenisistä elintarvikkeista ja rehuista 22. syyskuuta 2003 annetun Euroopan parlamentin ja neuvoston asetuksen (EY) N:o 1829/2003</w:t>
      </w:r>
      <w:r w:rsidRPr="00EF7F27">
        <w:rPr>
          <w:rStyle w:val="FootnoteReference"/>
        </w:rPr>
        <w:footnoteReference w:id="2"/>
      </w:r>
      <w:r w:rsidRPr="00EF7F27">
        <w:t xml:space="preserve"> ja erityisesti sen 7 artiklan 3 kohdan ja 19 artiklan 3 kohdan,</w:t>
      </w:r>
    </w:p>
    <w:p w14:paraId="368138AE" w14:textId="77777777" w:rsidR="003634DB" w:rsidRPr="00EF7F27" w:rsidRDefault="003634DB" w:rsidP="00724AE6">
      <w:pPr>
        <w:pStyle w:val="NormalHanging12a"/>
        <w:widowControl/>
        <w:rPr>
          <w:szCs w:val="24"/>
        </w:rPr>
      </w:pPr>
      <w:r w:rsidRPr="00EF7F27">
        <w:rPr>
          <w:szCs w:val="24"/>
        </w:rPr>
        <w:t>–</w:t>
      </w:r>
      <w:r w:rsidRPr="00EF7F27">
        <w:rPr>
          <w:szCs w:val="24"/>
        </w:rPr>
        <w:tab/>
        <w:t>ottaa huomioon asetuksen (EY) N:o 1829/2003 35 artiklassa tarkoitetussa pysyvässä kasvi-, eläin-, elintarvike- ja rehukomiteassa 13. kesäkuuta 2025 toimitetun äänestyksen, jossa päätettiin olla antamatta lausuntoa, ja muutoksenhakukomiteassa 15. heinäkuuta 2025 toimitetun äänestyksen, jossa päätettiin niin ikään olla antamatta lausuntoa,</w:t>
      </w:r>
    </w:p>
    <w:p w14:paraId="16684248" w14:textId="77777777" w:rsidR="003634DB" w:rsidRPr="00EF7F27" w:rsidRDefault="003634DB" w:rsidP="00724AE6">
      <w:pPr>
        <w:pStyle w:val="NormalHanging12a"/>
        <w:widowControl/>
        <w:rPr>
          <w:szCs w:val="24"/>
        </w:rPr>
      </w:pPr>
      <w:r w:rsidRPr="00EF7F27">
        <w:t>–</w:t>
      </w:r>
      <w:r w:rsidRPr="00EF7F27">
        <w:tab/>
        <w:t>ottaa huomioon yleisistä säännöistä ja periaatteista, joiden mukaisesti jäsenvaltiot valvovat komission täytäntöönpanovallan käyttöä, 16. helmikuuta 2011 annetun Euroopan parlamentin ja neuvoston asetuksen (EU) N:o 182/2011</w:t>
      </w:r>
      <w:r w:rsidRPr="00EF7F27">
        <w:rPr>
          <w:rStyle w:val="FootnoteReference"/>
        </w:rPr>
        <w:footnoteReference w:id="3"/>
      </w:r>
      <w:r w:rsidRPr="00EF7F27">
        <w:t xml:space="preserve"> 11 artiklan,</w:t>
      </w:r>
    </w:p>
    <w:p w14:paraId="38C37A2E" w14:textId="77777777" w:rsidR="003634DB" w:rsidRPr="00EF7F27" w:rsidRDefault="003634DB" w:rsidP="00724AE6">
      <w:pPr>
        <w:pStyle w:val="NormalHanging12a"/>
        <w:widowControl/>
        <w:rPr>
          <w:szCs w:val="24"/>
        </w:rPr>
      </w:pPr>
      <w:r w:rsidRPr="00EF7F27">
        <w:t>–</w:t>
      </w:r>
      <w:r w:rsidRPr="00EF7F27">
        <w:tab/>
        <w:t>ottaa huomioon Euroopan elintarviketurvallisuusviranomaisen (EFSA) 2. lokakuuta 2024 hyväksymän lausunnon, joka julkaistiin 11. marraskuuta 2024</w:t>
      </w:r>
      <w:r w:rsidRPr="00EF7F27">
        <w:rPr>
          <w:rStyle w:val="FootnoteReference"/>
        </w:rPr>
        <w:footnoteReference w:id="4"/>
      </w:r>
      <w:r w:rsidRPr="00EF7F27">
        <w:t>,</w:t>
      </w:r>
    </w:p>
    <w:p w14:paraId="3E330F20" w14:textId="77777777" w:rsidR="003634DB" w:rsidRPr="00EF7F27" w:rsidRDefault="003634DB" w:rsidP="00724AE6">
      <w:pPr>
        <w:pStyle w:val="NormalHanging12a"/>
        <w:widowControl/>
        <w:rPr>
          <w:szCs w:val="24"/>
        </w:rPr>
      </w:pPr>
      <w:r w:rsidRPr="00EF7F27">
        <w:rPr>
          <w:szCs w:val="24"/>
        </w:rPr>
        <w:lastRenderedPageBreak/>
        <w:t>–</w:t>
      </w:r>
      <w:r w:rsidRPr="00EF7F27">
        <w:rPr>
          <w:szCs w:val="24"/>
        </w:rPr>
        <w:tab/>
        <w:t>ottaa huomioon aiemmat päätöslauselmansa, joissa vastustetaan lupien myöntämistä muuntogeenisille organismeille</w:t>
      </w:r>
      <w:r w:rsidRPr="00EF7F27">
        <w:rPr>
          <w:rStyle w:val="FootnoteReference"/>
        </w:rPr>
        <w:footnoteReference w:id="5"/>
      </w:r>
      <w:r w:rsidRPr="00EF7F27">
        <w:rPr>
          <w:szCs w:val="24"/>
        </w:rPr>
        <w:t>,</w:t>
      </w:r>
    </w:p>
    <w:p w14:paraId="47D8255A" w14:textId="77777777" w:rsidR="003634DB" w:rsidRPr="00EF7F27" w:rsidRDefault="003634DB" w:rsidP="00724AE6">
      <w:pPr>
        <w:pStyle w:val="NormalHanging12a"/>
        <w:widowControl/>
        <w:rPr>
          <w:szCs w:val="24"/>
        </w:rPr>
      </w:pPr>
      <w:r w:rsidRPr="00EF7F27">
        <w:lastRenderedPageBreak/>
        <w:t>–</w:t>
      </w:r>
      <w:r w:rsidRPr="00EF7F27">
        <w:tab/>
        <w:t>ottaa huomioon työjärjestyksen 115 artiklan 2 ja 3 kohdan,</w:t>
      </w:r>
    </w:p>
    <w:p w14:paraId="4A1DC8A8" w14:textId="77777777" w:rsidR="003634DB" w:rsidRPr="00EF7F27" w:rsidRDefault="003634DB" w:rsidP="00724AE6">
      <w:pPr>
        <w:pStyle w:val="NormalHanging12a"/>
        <w:widowControl/>
        <w:rPr>
          <w:szCs w:val="24"/>
        </w:rPr>
      </w:pPr>
      <w:r w:rsidRPr="00EF7F27">
        <w:t>–</w:t>
      </w:r>
      <w:r w:rsidRPr="00EF7F27">
        <w:tab/>
        <w:t>ottaa huomioon ympäristön, ilmaston ja elintarvikkeiden turvallisuuden valiokunnan päätöslauselmaesityksen,</w:t>
      </w:r>
    </w:p>
    <w:p w14:paraId="73A7C280" w14:textId="77777777" w:rsidR="003634DB" w:rsidRPr="00EF7F27" w:rsidRDefault="003634DB" w:rsidP="00724AE6">
      <w:pPr>
        <w:pStyle w:val="NormalHanging12a"/>
        <w:widowControl/>
        <w:rPr>
          <w:szCs w:val="24"/>
        </w:rPr>
      </w:pPr>
      <w:r w:rsidRPr="00EF7F27">
        <w:t>A.</w:t>
      </w:r>
      <w:r w:rsidRPr="00EF7F27">
        <w:tab/>
        <w:t xml:space="preserve">ottaa huomioon, että Belgiaan sijoittautunut </w:t>
      </w:r>
      <w:proofErr w:type="spellStart"/>
      <w:r w:rsidRPr="00EF7F27">
        <w:t>Corteva</w:t>
      </w:r>
      <w:proofErr w:type="spellEnd"/>
      <w:r w:rsidRPr="00EF7F27">
        <w:t xml:space="preserve"> </w:t>
      </w:r>
      <w:proofErr w:type="spellStart"/>
      <w:r w:rsidRPr="00EF7F27">
        <w:t>Agriscience</w:t>
      </w:r>
      <w:proofErr w:type="spellEnd"/>
      <w:r w:rsidRPr="00EF7F27">
        <w:t xml:space="preserve"> </w:t>
      </w:r>
      <w:proofErr w:type="spellStart"/>
      <w:r w:rsidRPr="00EF7F27">
        <w:t>Belgium</w:t>
      </w:r>
      <w:proofErr w:type="spellEnd"/>
      <w:r w:rsidRPr="00EF7F27">
        <w:t xml:space="preserve"> B.V. toimitti Yhdysvaltoihin sijoittautuneen </w:t>
      </w:r>
      <w:proofErr w:type="spellStart"/>
      <w:r w:rsidRPr="00EF7F27">
        <w:t>Corteva</w:t>
      </w:r>
      <w:proofErr w:type="spellEnd"/>
      <w:r w:rsidRPr="00EF7F27">
        <w:t xml:space="preserve"> </w:t>
      </w:r>
      <w:proofErr w:type="spellStart"/>
      <w:r w:rsidRPr="00EF7F27">
        <w:t>Agriscience</w:t>
      </w:r>
      <w:proofErr w:type="spellEnd"/>
      <w:r w:rsidRPr="00EF7F27">
        <w:t xml:space="preserve"> </w:t>
      </w:r>
      <w:proofErr w:type="spellStart"/>
      <w:r w:rsidRPr="00EF7F27">
        <w:t>LLC:n</w:t>
      </w:r>
      <w:proofErr w:type="spellEnd"/>
      <w:r w:rsidRPr="00EF7F27">
        <w:t xml:space="preserve"> puolesta 27. tammikuuta 2023 Alankomaiden kansalliselle toimivaltaiselle viranomaiselle hakemuksen muuntogeenistä maissia DP51291, jäljempänä ’muuntogeeninen maissi’, sisältävien, siitä koostuvien tai siitä valmistettujen elintarvikkeiden, elintarvikkeiden ainesosien ja rehun saattamiseksi markkinoille;</w:t>
      </w:r>
    </w:p>
    <w:p w14:paraId="05DD90CE" w14:textId="77777777" w:rsidR="003634DB" w:rsidRPr="00EF7F27" w:rsidRDefault="003634DB" w:rsidP="00724AE6">
      <w:pPr>
        <w:pStyle w:val="NormalHanging12a"/>
        <w:widowControl/>
        <w:rPr>
          <w:szCs w:val="24"/>
        </w:rPr>
      </w:pPr>
      <w:r w:rsidRPr="00EF7F27">
        <w:t>B.</w:t>
      </w:r>
      <w:r w:rsidRPr="00EF7F27">
        <w:tab/>
        <w:t xml:space="preserve">ottaa huomioon, että muuntogeeninen maissi tuottaa IPD072Aa-toksiinia, jolla torjutaan maissin juurikuoriaista, </w:t>
      </w:r>
      <w:proofErr w:type="spellStart"/>
      <w:r w:rsidRPr="00EF7F27">
        <w:t>fosfinotrisiiniasetyylitransferaasi</w:t>
      </w:r>
      <w:proofErr w:type="spellEnd"/>
      <w:r w:rsidRPr="00EF7F27">
        <w:t xml:space="preserve"> (PAT) -proteiinia, jonka ansiosta se sietää </w:t>
      </w:r>
      <w:proofErr w:type="spellStart"/>
      <w:r w:rsidRPr="00EF7F27">
        <w:t>glufosinaattia</w:t>
      </w:r>
      <w:proofErr w:type="spellEnd"/>
      <w:r w:rsidRPr="00EF7F27">
        <w:t xml:space="preserve"> sisältäviä rikkakasvien torjunta-aineita, ja geenitunnistimena PMI-proteiinia;</w:t>
      </w:r>
    </w:p>
    <w:p w14:paraId="2008DC52" w14:textId="77777777" w:rsidR="003634DB" w:rsidRPr="00EF7F27" w:rsidRDefault="003634DB" w:rsidP="00724AE6">
      <w:pPr>
        <w:pStyle w:val="NormalHanging12a"/>
        <w:widowControl/>
        <w:rPr>
          <w:szCs w:val="24"/>
        </w:rPr>
      </w:pPr>
      <w:r w:rsidRPr="00EF7F27">
        <w:t>C.</w:t>
      </w:r>
      <w:r w:rsidRPr="00EF7F27">
        <w:tab/>
        <w:t xml:space="preserve">ottaa huomioon, että </w:t>
      </w:r>
      <w:proofErr w:type="spellStart"/>
      <w:r w:rsidRPr="00EF7F27">
        <w:t>glufosinaatti</w:t>
      </w:r>
      <w:proofErr w:type="spellEnd"/>
      <w:r w:rsidRPr="00EF7F27">
        <w:t>, jota pidetään täydentävänä rikkakasvien torjunta-aineena, luokitellaan kategoriaan 1B kuuluvaksi lisääntymiselle vaaralliseksi aineeksi ja että näin ollen se täyttää Euroopan parlamentin ja neuvoston asetuksessa (EY) N:o 1107/2009 säädetyt poissulkemiskriteerit</w:t>
      </w:r>
      <w:r w:rsidRPr="00EF7F27">
        <w:rPr>
          <w:rStyle w:val="FootnoteReference"/>
        </w:rPr>
        <w:footnoteReference w:id="6"/>
      </w:r>
      <w:r w:rsidRPr="00EF7F27">
        <w:t xml:space="preserve">; ottaa huomioon, että </w:t>
      </w:r>
      <w:proofErr w:type="spellStart"/>
      <w:r w:rsidRPr="00EF7F27">
        <w:t>glufosinaatin</w:t>
      </w:r>
      <w:proofErr w:type="spellEnd"/>
      <w:r w:rsidRPr="00EF7F27">
        <w:t xml:space="preserve"> käyttöä unionissa koskevan hyväksynnän voimassaolo päättyi 31. heinäkuuta 2018;</w:t>
      </w:r>
    </w:p>
    <w:p w14:paraId="0EF8F315" w14:textId="77777777" w:rsidR="003634DB" w:rsidRPr="00EF7F27" w:rsidRDefault="003634DB" w:rsidP="00724AE6">
      <w:pPr>
        <w:pStyle w:val="NormalHanging12a"/>
        <w:widowControl/>
        <w:rPr>
          <w:szCs w:val="24"/>
        </w:rPr>
      </w:pPr>
      <w:r w:rsidRPr="00EF7F27">
        <w:t>D.</w:t>
      </w:r>
      <w:r w:rsidRPr="00EF7F27">
        <w:tab/>
        <w:t xml:space="preserve">ottaa huomioon, että IPD072Aa on </w:t>
      </w:r>
      <w:proofErr w:type="spellStart"/>
      <w:r w:rsidRPr="00EF7F27">
        <w:t>Pseudomonas</w:t>
      </w:r>
      <w:proofErr w:type="spellEnd"/>
      <w:r w:rsidRPr="00EF7F27">
        <w:t xml:space="preserve"> </w:t>
      </w:r>
      <w:proofErr w:type="spellStart"/>
      <w:r w:rsidRPr="00EF7F27">
        <w:t>chlororaphis</w:t>
      </w:r>
      <w:proofErr w:type="spellEnd"/>
      <w:r w:rsidRPr="00EF7F27">
        <w:t xml:space="preserve"> -bakteerin tuottama hyönteisiä torjuva toksiini, jota on muunneltu torjumaan maissin juurikuoriaista; </w:t>
      </w:r>
    </w:p>
    <w:p w14:paraId="7F92366E" w14:textId="77777777" w:rsidR="003634DB" w:rsidRPr="00EF7F27" w:rsidRDefault="003634DB" w:rsidP="00724AE6">
      <w:pPr>
        <w:pStyle w:val="NormalHanging12a"/>
        <w:keepNext/>
        <w:widowControl/>
        <w:ind w:left="0" w:firstLine="0"/>
        <w:rPr>
          <w:b/>
          <w:i/>
          <w:iCs/>
          <w:szCs w:val="24"/>
        </w:rPr>
      </w:pPr>
      <w:r w:rsidRPr="00EF7F27">
        <w:rPr>
          <w:b/>
          <w:i/>
        </w:rPr>
        <w:lastRenderedPageBreak/>
        <w:t>Monimutkainen geenitekninen prosessi</w:t>
      </w:r>
    </w:p>
    <w:p w14:paraId="273F16F1" w14:textId="77777777" w:rsidR="003634DB" w:rsidRPr="00EF7F27" w:rsidRDefault="003634DB" w:rsidP="00724AE6">
      <w:pPr>
        <w:pStyle w:val="NormalHanging12a"/>
        <w:widowControl/>
        <w:rPr>
          <w:szCs w:val="24"/>
        </w:rPr>
      </w:pPr>
      <w:r w:rsidRPr="00EF7F27">
        <w:t>E.</w:t>
      </w:r>
      <w:r w:rsidRPr="00EF7F27">
        <w:tab/>
        <w:t xml:space="preserve">ottaa huomioon, että DP51291-maissi kehitettiin monimutkaisessa ja monivaiheisessa geeniteknisessä prosessissa, jossa aluksi luotiin eräänlainen geenialusta, minkä jälkeen toteutettiin viittä plasmidia käyttäen samanaikainen partikkelipommitus ja lopuksi geenikasettien siirtäminen geenialustaan </w:t>
      </w:r>
      <w:proofErr w:type="spellStart"/>
      <w:r w:rsidRPr="00EF7F27">
        <w:t>Agrobacterium</w:t>
      </w:r>
      <w:proofErr w:type="spellEnd"/>
      <w:r w:rsidRPr="00EF7F27">
        <w:t xml:space="preserve"> </w:t>
      </w:r>
      <w:proofErr w:type="spellStart"/>
      <w:r w:rsidRPr="00EF7F27">
        <w:t>tumefaciens</w:t>
      </w:r>
      <w:proofErr w:type="spellEnd"/>
      <w:r w:rsidRPr="00EF7F27">
        <w:t xml:space="preserve"> -bakteerin välityksellä;</w:t>
      </w:r>
    </w:p>
    <w:p w14:paraId="3A5FF47E" w14:textId="77777777" w:rsidR="003634DB" w:rsidRPr="00EF7F27" w:rsidRDefault="003634DB" w:rsidP="00724AE6">
      <w:pPr>
        <w:pStyle w:val="NormalHanging12a"/>
        <w:widowControl/>
        <w:rPr>
          <w:szCs w:val="24"/>
        </w:rPr>
      </w:pPr>
      <w:r w:rsidRPr="00EF7F27">
        <w:t>F.</w:t>
      </w:r>
      <w:r w:rsidRPr="00EF7F27">
        <w:tab/>
        <w:t>toteaa, että bioinformatiikka-analyysin mukaan kyseisen geenimuunteluprosessin tuloksena maissin genomi-DNA:sta hävisi 113 emäsparia ja siihen syntyi useita uusia avoimia lukukehyksiä (ORF), mikä osoittaa, että muunteluprosessi on mahdollisesti saanut aikaan genomihäiriöitä; ottaa huomioon, että näistä avoimista lukukehyksistä viiden sekvenssi oli yli 35-prosenttisesti identiteettinen tunnettujen allergeenien kanssa, mikä ylittää allergeenien arvioinnissa yleisesti käytetyn kynnysarvon</w:t>
      </w:r>
      <w:r w:rsidRPr="00EF7F27">
        <w:rPr>
          <w:rStyle w:val="FootnoteReference"/>
        </w:rPr>
        <w:footnoteReference w:id="7"/>
      </w:r>
      <w:r w:rsidRPr="00EF7F27">
        <w:t>;</w:t>
      </w:r>
    </w:p>
    <w:p w14:paraId="0E33508E" w14:textId="77777777" w:rsidR="003634DB" w:rsidRPr="00EF7F27" w:rsidRDefault="003634DB" w:rsidP="00724AE6">
      <w:pPr>
        <w:pStyle w:val="NormalHanging12a"/>
        <w:keepNext/>
        <w:widowControl/>
        <w:ind w:left="0" w:firstLine="0"/>
        <w:rPr>
          <w:b/>
          <w:i/>
          <w:iCs/>
          <w:szCs w:val="24"/>
        </w:rPr>
      </w:pPr>
      <w:r w:rsidRPr="00EF7F27">
        <w:rPr>
          <w:b/>
          <w:i/>
        </w:rPr>
        <w:t>Puutteelliset maatalouskäytäntöjä ja ympäristötekijöitä koskevat tiedot</w:t>
      </w:r>
    </w:p>
    <w:p w14:paraId="61A615B3" w14:textId="77777777" w:rsidR="003634DB" w:rsidRPr="00EF7F27" w:rsidRDefault="003634DB" w:rsidP="00724AE6">
      <w:pPr>
        <w:pStyle w:val="NormalHanging12a"/>
        <w:widowControl/>
        <w:rPr>
          <w:szCs w:val="24"/>
        </w:rPr>
      </w:pPr>
      <w:r w:rsidRPr="00EF7F27">
        <w:t>G.</w:t>
      </w:r>
      <w:r w:rsidRPr="00EF7F27">
        <w:tab/>
        <w:t>ottaa huomioon, että komission täytäntöönpanoasetuksessa (EU) N:o 503/2013</w:t>
      </w:r>
      <w:r w:rsidRPr="00EF7F27">
        <w:rPr>
          <w:rStyle w:val="FootnoteReference"/>
        </w:rPr>
        <w:footnoteReference w:id="8"/>
      </w:r>
      <w:r w:rsidRPr="00EF7F27">
        <w:t xml:space="preserve"> edellytetään sen arvioimista, vaikuttavatko odotetut maatalouskäytännöt tutkittavien ominaisuuksien ilmentymiseen; ottaa huomioon, että kyseisen täytäntöönpanoasetuksen mukaan tämä on erityisen tärkeää torjunta-aineille sietokykyisten kasvien tapauksessa;</w:t>
      </w:r>
    </w:p>
    <w:p w14:paraId="3B9B641F" w14:textId="77777777" w:rsidR="003634DB" w:rsidRPr="00EF7F27" w:rsidRDefault="003634DB" w:rsidP="00724AE6">
      <w:pPr>
        <w:pStyle w:val="NormalHanging12a"/>
        <w:widowControl/>
        <w:rPr>
          <w:szCs w:val="24"/>
        </w:rPr>
      </w:pPr>
      <w:r w:rsidRPr="00EF7F27">
        <w:t>H.</w:t>
      </w:r>
      <w:r w:rsidRPr="00EF7F27">
        <w:tab/>
        <w:t>ottaa huomioon, että ympäristön stressitekijät, kuten kuivuus tai äärimmäiset lämpötilat, voivat saada aikaan odottamattomia geenien ilmentymiä vasta lisätyissä DNA-sekvensseissä</w:t>
      </w:r>
      <w:r w:rsidRPr="00EF7F27">
        <w:rPr>
          <w:rStyle w:val="FootnoteReference"/>
        </w:rPr>
        <w:footnoteReference w:id="9"/>
      </w:r>
      <w:r w:rsidRPr="00EF7F27">
        <w:t>;</w:t>
      </w:r>
    </w:p>
    <w:p w14:paraId="535CC8E9" w14:textId="77777777" w:rsidR="003634DB" w:rsidRPr="00EF7F27" w:rsidRDefault="003634DB" w:rsidP="00724AE6">
      <w:pPr>
        <w:pStyle w:val="NormalHanging12a"/>
        <w:widowControl/>
        <w:rPr>
          <w:szCs w:val="24"/>
        </w:rPr>
      </w:pPr>
      <w:r w:rsidRPr="00EF7F27">
        <w:t>I.</w:t>
      </w:r>
      <w:r w:rsidRPr="00EF7F27">
        <w:tab/>
        <w:t>toteaa, että muuntogeenisen maissin koostumus- ja fenotyyppianalyysin tueksi tehdyt kenttäkokeet toteutettiin yhden kasvukauden (2021) aikana Yhdysvalloissa ja Kanadassa sääolosuhteissa, jotka eivät riittävällä tavalla kuvasta maissinviljelyalueiden monimuotoisuutta, etenkään sellaisissa maissa kuin Brasilia;</w:t>
      </w:r>
    </w:p>
    <w:p w14:paraId="29946FB5" w14:textId="77777777" w:rsidR="003634DB" w:rsidRPr="00EF7F27" w:rsidRDefault="003634DB" w:rsidP="00724AE6">
      <w:pPr>
        <w:pStyle w:val="NormalHanging12a"/>
        <w:widowControl/>
        <w:rPr>
          <w:szCs w:val="24"/>
        </w:rPr>
      </w:pPr>
      <w:r w:rsidRPr="00EF7F27">
        <w:t>J.</w:t>
      </w:r>
      <w:r w:rsidRPr="00EF7F27">
        <w:tab/>
        <w:t>toteaa, että joissakin koepaikoissa ilmoitettiin äärimmäisten sääilmiöiden esiintymisestä; toteaa, että meneillään olevasta ilmastonmuutoksesta johtuvien tulevien olosuhteiden arvioimiseksi ei tehty erityisiä tutkimuksia;</w:t>
      </w:r>
    </w:p>
    <w:p w14:paraId="3E8E3D28" w14:textId="77777777" w:rsidR="003634DB" w:rsidRPr="00EF7F27" w:rsidRDefault="003634DB" w:rsidP="00724AE6">
      <w:pPr>
        <w:pStyle w:val="NormalHanging12a"/>
        <w:widowControl/>
        <w:rPr>
          <w:szCs w:val="24"/>
        </w:rPr>
      </w:pPr>
      <w:r w:rsidRPr="00EF7F27">
        <w:t>K.</w:t>
      </w:r>
      <w:r w:rsidRPr="00EF7F27">
        <w:tab/>
        <w:t xml:space="preserve">ottaa huomioon, että </w:t>
      </w:r>
      <w:proofErr w:type="spellStart"/>
      <w:r w:rsidRPr="00EF7F27">
        <w:t>glufosinaattia</w:t>
      </w:r>
      <w:proofErr w:type="spellEnd"/>
      <w:r w:rsidRPr="00EF7F27">
        <w:t xml:space="preserve"> käytettiin kenttäkokeiden aikana vain kerran </w:t>
      </w:r>
      <w:proofErr w:type="spellStart"/>
      <w:r w:rsidRPr="00EF7F27">
        <w:t>EFSAn</w:t>
      </w:r>
      <w:proofErr w:type="spellEnd"/>
      <w:r w:rsidRPr="00EF7F27">
        <w:t xml:space="preserve"> annostelusuositusten mukaisesti; toteaa kuitenkin, että käytännössä rikkakasvien torjunta-aineiden käyttömäärissä ja -tiheydessä on maataloudessa usein huomattavia aluekohtaisia eroja ja käyttömäärät voivat olla suurempia tai käyttö voi olla toistuvaa, minkä vuoksi kenttäkoetiedot eivät välttämättä kuvasta riittävästi kaikkia niitä </w:t>
      </w:r>
      <w:r w:rsidRPr="00EF7F27">
        <w:lastRenderedPageBreak/>
        <w:t>ympäristöön ja maatalouteen liittyviä olosuhteita, joissa muuntogeenistä maissia todennäköisesti viljellään tai tuodaan maahan;</w:t>
      </w:r>
    </w:p>
    <w:p w14:paraId="71CD0F87" w14:textId="77777777" w:rsidR="003634DB" w:rsidRPr="00EF7F27" w:rsidRDefault="003634DB" w:rsidP="00724AE6">
      <w:pPr>
        <w:pStyle w:val="NormalHanging12a"/>
        <w:keepNext/>
        <w:widowControl/>
        <w:ind w:left="0" w:firstLine="0"/>
        <w:rPr>
          <w:b/>
          <w:i/>
          <w:iCs/>
          <w:szCs w:val="24"/>
        </w:rPr>
      </w:pPr>
      <w:proofErr w:type="spellStart"/>
      <w:r w:rsidRPr="00EF7F27">
        <w:rPr>
          <w:b/>
          <w:i/>
        </w:rPr>
        <w:t>Glufosinaatin</w:t>
      </w:r>
      <w:proofErr w:type="spellEnd"/>
      <w:r w:rsidRPr="00EF7F27">
        <w:rPr>
          <w:b/>
          <w:i/>
        </w:rPr>
        <w:t xml:space="preserve"> puutteellinen arviointi </w:t>
      </w:r>
    </w:p>
    <w:p w14:paraId="62D9B2BD" w14:textId="77777777" w:rsidR="003634DB" w:rsidRPr="00EF7F27" w:rsidRDefault="003634DB" w:rsidP="00724AE6">
      <w:pPr>
        <w:pStyle w:val="NormalHanging12a"/>
        <w:widowControl/>
        <w:rPr>
          <w:szCs w:val="24"/>
        </w:rPr>
      </w:pPr>
      <w:r w:rsidRPr="00EF7F27">
        <w:t>L.</w:t>
      </w:r>
      <w:r w:rsidRPr="00EF7F27">
        <w:tab/>
        <w:t xml:space="preserve">ottaa huomioon, että </w:t>
      </w:r>
      <w:proofErr w:type="spellStart"/>
      <w:r w:rsidRPr="00EF7F27">
        <w:t>glufosinaattiin</w:t>
      </w:r>
      <w:proofErr w:type="spellEnd"/>
      <w:r w:rsidRPr="00EF7F27">
        <w:t xml:space="preserve"> liittyy merkittäviä biologiseen monimuotoisuuteen ja ekosysteemien pitkän aikavälin terveyteen kohdistuvia sekä myrkyllisyyteen liittyviä riskejä;</w:t>
      </w:r>
    </w:p>
    <w:p w14:paraId="54AAF0DF" w14:textId="77777777" w:rsidR="003634DB" w:rsidRPr="00EF7F27" w:rsidRDefault="003634DB" w:rsidP="00724AE6">
      <w:pPr>
        <w:pStyle w:val="NormalHanging12a"/>
        <w:widowControl/>
        <w:rPr>
          <w:szCs w:val="24"/>
        </w:rPr>
      </w:pPr>
      <w:r w:rsidRPr="00EF7F27">
        <w:t>M.</w:t>
      </w:r>
      <w:r w:rsidRPr="00EF7F27">
        <w:tab/>
        <w:t>ottaa huomioon, että suurinta osaa muuntogeenisistä viljelykasveista on muunnettu geneettisesti siten, että ne ovat sietokykyisiä yhdelle tai useammalle ”täydentävälle” rikkakasvien torjunta-aineelle, jota voidaan käyttää koko muuntogeenisen viljelykasvin viljelyn ajan ilman, että viljelykasvi kuolee, kuten käy niiden viljelykasvien tapauksessa, jotka eivät siedä torjunta-aineita; toteaa, että rikkakasvien torjunta-aineita sietävien muuntogeenisten viljelykasvien on erinäisissä tutkimuksissa osoitettu lisäävän täydentävien rikkakasvien torjunta-aineiden käyttöä, mikä johtuu etenkin siitä, että sen seurauksena yhä useammat rikkakasvit sietävät rikkakasvien torjunta-aineita</w:t>
      </w:r>
      <w:r w:rsidRPr="00EF7F27">
        <w:rPr>
          <w:rStyle w:val="FootnoteReference"/>
        </w:rPr>
        <w:footnoteReference w:id="10"/>
      </w:r>
      <w:r w:rsidRPr="00EF7F27">
        <w:t>;</w:t>
      </w:r>
    </w:p>
    <w:p w14:paraId="3CE790A6" w14:textId="77777777" w:rsidR="003634DB" w:rsidRPr="00EF7F27" w:rsidRDefault="003634DB" w:rsidP="00724AE6">
      <w:pPr>
        <w:pStyle w:val="NormalHanging12a"/>
        <w:widowControl/>
        <w:rPr>
          <w:szCs w:val="24"/>
        </w:rPr>
      </w:pPr>
      <w:r w:rsidRPr="00EF7F27">
        <w:t>N.</w:t>
      </w:r>
      <w:r w:rsidRPr="00EF7F27">
        <w:tab/>
        <w:t>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 ottaa huomioon, että lisääntynyt riippuvuus täydentävistä rikkakasvien torjunta-aineista muuntogeenisiä viljelykasveja viljelevillä tiloilla nopeuttaa näille torjunta-aineille sietokykyisten rikkakasvien ilmaantumista ja leviämistä, mikä johtaa noidankehään, jossa rikkakasvien torjunta-aineita on käytettävä jatkuvasti enemmän;</w:t>
      </w:r>
    </w:p>
    <w:p w14:paraId="1AA510E4" w14:textId="77777777" w:rsidR="003634DB" w:rsidRPr="00EF7F27" w:rsidRDefault="003634DB" w:rsidP="00724AE6">
      <w:pPr>
        <w:pStyle w:val="NormalHanging12a"/>
        <w:widowControl/>
        <w:rPr>
          <w:szCs w:val="24"/>
        </w:rPr>
      </w:pPr>
      <w:r w:rsidRPr="00EF7F27">
        <w:t>O.</w:t>
      </w:r>
      <w:r w:rsidRPr="00EF7F27">
        <w:tab/>
        <w:t>toteaa, että rikkakasvien torjunta-aineiden liiallisesta käytöstä aiheutuvat haitalliset vaikutukset heikentävät maaperän terveyttä ja veden laatua, köyhdyttävät maanpäällistä ja -alaista biologista monimuotoisuutta ja lisäävät ihmisten ja eläinten altistumista, mahdollisesti myös sen kautta, että rikkakasvien torjunta-aineiden jäämät elintarvikkeissa ja rehuissa lisääntyvät;</w:t>
      </w:r>
    </w:p>
    <w:p w14:paraId="4985B379" w14:textId="77777777" w:rsidR="003634DB" w:rsidRPr="00EF7F27" w:rsidRDefault="003634DB" w:rsidP="00724AE6">
      <w:pPr>
        <w:pStyle w:val="NormalHanging12a"/>
        <w:widowControl/>
        <w:rPr>
          <w:szCs w:val="24"/>
        </w:rPr>
      </w:pPr>
      <w:r w:rsidRPr="00EF7F27">
        <w:t>P.</w:t>
      </w:r>
      <w:r w:rsidRPr="00EF7F27">
        <w:tab/>
        <w:t xml:space="preserve">ottaa huomioon, että muuntogeenisistä kasveista löydettyjen rikkakasvien torjunta-aineiden jäämien ja </w:t>
      </w:r>
      <w:proofErr w:type="spellStart"/>
      <w:r w:rsidRPr="00EF7F27">
        <w:t>metaboliittien</w:t>
      </w:r>
      <w:proofErr w:type="spellEnd"/>
      <w:r w:rsidRPr="00EF7F27">
        <w:t xml:space="preserve"> arvioinnin ei katsota kuuluvan muuntogeenisiä organismeja käsittelevän </w:t>
      </w:r>
      <w:proofErr w:type="spellStart"/>
      <w:r w:rsidRPr="00EF7F27">
        <w:t>EFSAn</w:t>
      </w:r>
      <w:proofErr w:type="spellEnd"/>
      <w:r w:rsidRPr="00EF7F27">
        <w:t xml:space="preserve"> tiedelautakunnan toimivaltaan eikä sitä sen vuoksi tehdä osana muuntogeenisten organismien lupamenettelyä;</w:t>
      </w:r>
    </w:p>
    <w:p w14:paraId="29430F16" w14:textId="77777777" w:rsidR="003634DB" w:rsidRPr="00EF7F27" w:rsidRDefault="003634DB" w:rsidP="00724AE6">
      <w:pPr>
        <w:pStyle w:val="NormalHanging12a"/>
        <w:keepNext/>
        <w:widowControl/>
        <w:ind w:left="0" w:firstLine="0"/>
        <w:rPr>
          <w:b/>
          <w:i/>
          <w:iCs/>
          <w:szCs w:val="24"/>
        </w:rPr>
      </w:pPr>
      <w:r w:rsidRPr="00EF7F27">
        <w:rPr>
          <w:b/>
          <w:i/>
        </w:rPr>
        <w:lastRenderedPageBreak/>
        <w:t>IPD072Aa-toksiiniin liittyvät avoimet kysymykset</w:t>
      </w:r>
    </w:p>
    <w:p w14:paraId="0CA68893" w14:textId="77777777" w:rsidR="003634DB" w:rsidRPr="00EF7F27" w:rsidRDefault="003634DB" w:rsidP="00724AE6">
      <w:pPr>
        <w:pStyle w:val="NormalHanging12a"/>
        <w:widowControl/>
        <w:rPr>
          <w:szCs w:val="24"/>
        </w:rPr>
      </w:pPr>
      <w:r w:rsidRPr="00EF7F27">
        <w:t>Q.</w:t>
      </w:r>
      <w:r w:rsidRPr="00EF7F27">
        <w:tab/>
        <w:t>ottaa huomioon, että täytäntöönpanoasetuksessa (EU) N:o 503/2013 edellytetään toksikologista arviointia sen osoittamiseksi, että geneettisen muuntamisen tarkoitetuilla vaikutuksilla ei ole haitallisia vaikutuksia ihmisten ja eläinten terveyteen;</w:t>
      </w:r>
    </w:p>
    <w:p w14:paraId="6BD2311D" w14:textId="77777777" w:rsidR="003634DB" w:rsidRPr="00EF7F27" w:rsidRDefault="003634DB" w:rsidP="00724AE6">
      <w:pPr>
        <w:pStyle w:val="NormalHanging12a"/>
        <w:widowControl/>
        <w:rPr>
          <w:szCs w:val="24"/>
        </w:rPr>
      </w:pPr>
      <w:r w:rsidRPr="00EF7F27">
        <w:t>R.</w:t>
      </w:r>
      <w:r w:rsidRPr="00EF7F27">
        <w:tab/>
        <w:t>toteaa, että IPD072Aa on uusi proteiini, mikä tarkoittaa, että sen maatalouskäytössä ja tuomisessa elintarvikeketjuun ei voida täysin nojautua aiemmin saatuihin kokemuksiin;</w:t>
      </w:r>
    </w:p>
    <w:p w14:paraId="79B30AD6" w14:textId="77777777" w:rsidR="003634DB" w:rsidRPr="00EF7F27" w:rsidRDefault="003634DB" w:rsidP="00724AE6">
      <w:pPr>
        <w:pStyle w:val="NormalHanging12a"/>
        <w:widowControl/>
        <w:rPr>
          <w:szCs w:val="24"/>
        </w:rPr>
      </w:pPr>
      <w:r w:rsidRPr="00EF7F27">
        <w:t>S.</w:t>
      </w:r>
      <w:r w:rsidRPr="00EF7F27">
        <w:tab/>
        <w:t xml:space="preserve">toteaa, että eroista huolimatta IPD072Aa- ja </w:t>
      </w:r>
      <w:proofErr w:type="spellStart"/>
      <w:r w:rsidRPr="00EF7F27">
        <w:t>Bt</w:t>
      </w:r>
      <w:proofErr w:type="spellEnd"/>
      <w:r w:rsidRPr="00EF7F27">
        <w:t xml:space="preserve">-toksiinien välillä havaitut yhtäläisyydet korostavat tarvetta huolelliseen tarkasteluun riskinarviointiprosessissa; toteaa, että useiden tutkimusten mukaan </w:t>
      </w:r>
      <w:proofErr w:type="spellStart"/>
      <w:r w:rsidRPr="00EF7F27">
        <w:t>Bt</w:t>
      </w:r>
      <w:proofErr w:type="spellEnd"/>
      <w:r w:rsidRPr="00EF7F27">
        <w:t xml:space="preserve">-toksiineilla voi olla immuunijärjestelmään liittyviä sivuvaikutuksia, mukaan lukien mahdolliset </w:t>
      </w:r>
      <w:proofErr w:type="spellStart"/>
      <w:r w:rsidRPr="00EF7F27">
        <w:t>adjuvanttiominaisuudet</w:t>
      </w:r>
      <w:proofErr w:type="spellEnd"/>
      <w:r w:rsidRPr="00EF7F27">
        <w:rPr>
          <w:rStyle w:val="FootnoteReference"/>
        </w:rPr>
        <w:footnoteReference w:id="11"/>
      </w:r>
      <w:r w:rsidRPr="00EF7F27">
        <w:t>, mikä tarkoittaa, että ne voivat lisätä muiden proteiinien allergeenisuutta joutuessaan kosketuksiin niiden kanssa;</w:t>
      </w:r>
    </w:p>
    <w:p w14:paraId="64B3A3C2" w14:textId="77777777" w:rsidR="003634DB" w:rsidRPr="00EF7F27" w:rsidRDefault="003634DB" w:rsidP="00724AE6">
      <w:pPr>
        <w:pStyle w:val="NormalHanging12a"/>
        <w:widowControl/>
        <w:rPr>
          <w:szCs w:val="24"/>
        </w:rPr>
      </w:pPr>
      <w:r w:rsidRPr="00EF7F27">
        <w:t>T.</w:t>
      </w:r>
      <w:r w:rsidRPr="00EF7F27">
        <w:tab/>
        <w:t xml:space="preserve">toteaa, että eräässä tieteellisessä tutkimuksessa havaittiin, että </w:t>
      </w:r>
      <w:proofErr w:type="spellStart"/>
      <w:r w:rsidRPr="00EF7F27">
        <w:t>Bt</w:t>
      </w:r>
      <w:proofErr w:type="spellEnd"/>
      <w:r w:rsidRPr="00EF7F27">
        <w:t xml:space="preserve">-toksiinien toksisuus saattaa lisääntyä myös vuorovaikutuksessa ruiskuttamisesta rikkakasvien torjunta-aineilla aiheutuvien jäämien kanssa, ja todettiin, että tarvitaan lisätutkimuksia useiden muunnostapahtumien yhteisvaikutuksista (muuntogeeniset viljelykasvit, jotka on muunnettu sietämään rikkakasvien torjunta-aineita ja tuottamaan hyönteismyrkkyjä </w:t>
      </w:r>
      <w:proofErr w:type="spellStart"/>
      <w:r w:rsidRPr="00EF7F27">
        <w:t>Bt</w:t>
      </w:r>
      <w:proofErr w:type="spellEnd"/>
      <w:r w:rsidRPr="00EF7F27">
        <w:t>-toksiinien muodossa)</w:t>
      </w:r>
      <w:r w:rsidRPr="00EF7F27">
        <w:rPr>
          <w:rStyle w:val="FootnoteReference"/>
        </w:rPr>
        <w:footnoteReference w:id="12"/>
      </w:r>
      <w:r w:rsidRPr="00EF7F27">
        <w:t xml:space="preserve">; ottaa huomioon, että rikkakasvien torjunta-aineiden jäämien ja niiden </w:t>
      </w:r>
      <w:proofErr w:type="spellStart"/>
      <w:r w:rsidRPr="00EF7F27">
        <w:t>metaboliittien</w:t>
      </w:r>
      <w:proofErr w:type="spellEnd"/>
      <w:r w:rsidRPr="00EF7F27">
        <w:t xml:space="preserve"> mahdollista vuorovaikutusta </w:t>
      </w:r>
      <w:proofErr w:type="spellStart"/>
      <w:r w:rsidRPr="00EF7F27">
        <w:t>Bt</w:t>
      </w:r>
      <w:proofErr w:type="spellEnd"/>
      <w:r w:rsidRPr="00EF7F27">
        <w:t xml:space="preserve">-toksiinien kanssa koskevan arvioinnin ei kuitenkaan katsota kuuluvan muuntogeenisiä organismeja käsittelevän </w:t>
      </w:r>
      <w:proofErr w:type="spellStart"/>
      <w:r w:rsidRPr="00EF7F27">
        <w:t>EFSAn</w:t>
      </w:r>
      <w:proofErr w:type="spellEnd"/>
      <w:r w:rsidRPr="00EF7F27">
        <w:t xml:space="preserve"> tiedelautakunnan toimivaltaan eikä sitä sen vuoksi tehdä osana riskinarviointia;</w:t>
      </w:r>
    </w:p>
    <w:p w14:paraId="5A9E3898" w14:textId="77777777" w:rsidR="003634DB" w:rsidRPr="00EF7F27" w:rsidRDefault="003634DB" w:rsidP="00724AE6">
      <w:pPr>
        <w:pStyle w:val="NormalHanging12a"/>
        <w:widowControl/>
        <w:rPr>
          <w:szCs w:val="24"/>
        </w:rPr>
      </w:pPr>
      <w:r w:rsidRPr="00EF7F27">
        <w:t>U.</w:t>
      </w:r>
      <w:r w:rsidRPr="00EF7F27">
        <w:tab/>
        <w:t xml:space="preserve">ottaa huomioon, että IPD072Aa:n myrkyllisyyden arvioinnissa ei oteta huomioon mahdollisia synergia- tai kumulatiivisia vaikutuksia, jotka johtuvat vuorovaikutuksesta kasvin </w:t>
      </w:r>
      <w:proofErr w:type="spellStart"/>
      <w:r w:rsidRPr="00EF7F27">
        <w:t>metaboliittien</w:t>
      </w:r>
      <w:proofErr w:type="spellEnd"/>
      <w:r w:rsidRPr="00EF7F27">
        <w:t xml:space="preserve"> tai rikkakasvien torjunta-ainejäämien kanssa;</w:t>
      </w:r>
    </w:p>
    <w:p w14:paraId="02EE0760" w14:textId="77777777" w:rsidR="003634DB" w:rsidRPr="00EF7F27" w:rsidRDefault="003634DB" w:rsidP="00724AE6">
      <w:pPr>
        <w:pStyle w:val="NormalHanging12a"/>
        <w:widowControl/>
        <w:rPr>
          <w:szCs w:val="24"/>
        </w:rPr>
      </w:pPr>
      <w:r w:rsidRPr="00EF7F27">
        <w:t>V.</w:t>
      </w:r>
      <w:r w:rsidRPr="00EF7F27">
        <w:tab/>
        <w:t>toteaa, että IPD072Aa:n kertymisestä ravintoverkkoihin, sen leviämisestä ympäristöön, erityisesti jäteveden ja lannan kautta maaperään ja vesiekosysteemeihin, tai sen vaikutuksista muihin kuin kohdeorganismeihin ei ole toimitettu tietoja;</w:t>
      </w:r>
    </w:p>
    <w:p w14:paraId="009D8D6D" w14:textId="77777777" w:rsidR="003634DB" w:rsidRPr="00EF7F27" w:rsidRDefault="003634DB" w:rsidP="00724AE6">
      <w:pPr>
        <w:pStyle w:val="NormalHanging12a"/>
        <w:widowControl/>
        <w:rPr>
          <w:szCs w:val="24"/>
        </w:rPr>
      </w:pPr>
      <w:r w:rsidRPr="00EF7F27">
        <w:t>W.</w:t>
      </w:r>
      <w:r w:rsidRPr="00EF7F27">
        <w:tab/>
        <w:t xml:space="preserve">ottaa huomioon, että Espanjassa ja Ranskassa on raportoitu mahdollisesta geenivirrasta luonnonvaraisiin sukulaislajeihin, kuten </w:t>
      </w:r>
      <w:proofErr w:type="spellStart"/>
      <w:r w:rsidRPr="00EF7F27">
        <w:t>teosinttiin</w:t>
      </w:r>
      <w:proofErr w:type="spellEnd"/>
      <w:r w:rsidRPr="00EF7F27">
        <w:t>, mikä herättää huolta siirtogeenin jäämisestä ympäristöön ja sen mahdollisista ekologisista vaikutuksista</w:t>
      </w:r>
      <w:r w:rsidRPr="00EF7F27">
        <w:rPr>
          <w:rStyle w:val="FootnoteReference"/>
        </w:rPr>
        <w:footnoteReference w:id="13"/>
      </w:r>
      <w:r w:rsidRPr="00EF7F27">
        <w:t>;</w:t>
      </w:r>
    </w:p>
    <w:p w14:paraId="37472DC5" w14:textId="77777777" w:rsidR="003634DB" w:rsidRPr="00EF7F27" w:rsidRDefault="003634DB" w:rsidP="00724AE6">
      <w:pPr>
        <w:pStyle w:val="NormalHanging12a"/>
        <w:widowControl/>
        <w:rPr>
          <w:szCs w:val="24"/>
        </w:rPr>
      </w:pPr>
      <w:r w:rsidRPr="00EF7F27">
        <w:t>X.</w:t>
      </w:r>
      <w:r w:rsidRPr="00EF7F27">
        <w:tab/>
        <w:t xml:space="preserve">toteaa, että täytäntöönpanoasetuksessa (EU) N:o 503/2013 säädettyjä seurantavaatimuksia ei ole pantu riittävällä tavalla täytäntöön eikä </w:t>
      </w:r>
      <w:proofErr w:type="spellStart"/>
      <w:r w:rsidRPr="00EF7F27">
        <w:t>Corteva</w:t>
      </w:r>
      <w:proofErr w:type="spellEnd"/>
      <w:r w:rsidRPr="00EF7F27">
        <w:t xml:space="preserve"> </w:t>
      </w:r>
      <w:proofErr w:type="spellStart"/>
      <w:r w:rsidRPr="00EF7F27">
        <w:t>Agriscience</w:t>
      </w:r>
      <w:proofErr w:type="spellEnd"/>
      <w:r w:rsidRPr="00EF7F27">
        <w:t xml:space="preserve"> </w:t>
      </w:r>
      <w:proofErr w:type="spellStart"/>
      <w:r w:rsidRPr="00EF7F27">
        <w:t>LLC:n</w:t>
      </w:r>
      <w:proofErr w:type="spellEnd"/>
      <w:r w:rsidRPr="00EF7F27">
        <w:t xml:space="preserve"> toimittamia tietoja ole todennettu riippumattomasti;</w:t>
      </w:r>
    </w:p>
    <w:p w14:paraId="40B3BE9E" w14:textId="77777777" w:rsidR="003634DB" w:rsidRPr="00EF7F27" w:rsidRDefault="003634DB" w:rsidP="00724AE6">
      <w:pPr>
        <w:pStyle w:val="NormalHanging12a"/>
        <w:keepNext/>
        <w:widowControl/>
        <w:ind w:left="0" w:firstLine="0"/>
        <w:rPr>
          <w:b/>
          <w:i/>
          <w:iCs/>
          <w:szCs w:val="24"/>
        </w:rPr>
      </w:pPr>
      <w:r w:rsidRPr="00EF7F27">
        <w:rPr>
          <w:b/>
          <w:i/>
        </w:rPr>
        <w:t>Maailmanlaajuisesti tasapuolisten toimintaedellytysten varmistaminen ja unionin kansainvälisten velvoitteiden noudattaminen</w:t>
      </w:r>
    </w:p>
    <w:p w14:paraId="4AA49B40" w14:textId="480B56D2" w:rsidR="003634DB" w:rsidRPr="00EF7F27" w:rsidRDefault="003634DB" w:rsidP="00724AE6">
      <w:pPr>
        <w:pStyle w:val="NormalHanging12a"/>
        <w:widowControl/>
        <w:rPr>
          <w:bCs/>
          <w:szCs w:val="24"/>
        </w:rPr>
      </w:pPr>
      <w:r w:rsidRPr="00EF7F27">
        <w:t>Y.</w:t>
      </w:r>
      <w:r w:rsidRPr="00EF7F27">
        <w:rPr>
          <w:bCs/>
        </w:rPr>
        <w:tab/>
      </w:r>
      <w:r w:rsidRPr="00EF7F27">
        <w:t xml:space="preserve">ottaa huomioon, että muuntogeenisen maissin viljely ei ole sallittua unionissa; toteaa, että komission </w:t>
      </w:r>
      <w:r w:rsidR="00FE3980" w:rsidRPr="00EF7F27">
        <w:t>täytäntöönpanopäätöksen (EU) 2025/1898</w:t>
      </w:r>
      <w:r w:rsidRPr="00EF7F27">
        <w:t xml:space="preserve"> hyväksyminen mahdollista</w:t>
      </w:r>
      <w:r w:rsidR="00FE3980" w:rsidRPr="00EF7F27">
        <w:t>a</w:t>
      </w:r>
      <w:r w:rsidRPr="00EF7F27">
        <w:t xml:space="preserve"> sellaisen unioniin suuntautuvan tuonnin, joka ei ole unionin viljelijöiden noudattamien normien mukaista, mikä asettaisi heidät epäedulliseen kilpailuasemaan;</w:t>
      </w:r>
    </w:p>
    <w:p w14:paraId="27E4B6A6" w14:textId="77777777" w:rsidR="003634DB" w:rsidRPr="00EF7F27" w:rsidRDefault="003634DB" w:rsidP="00724AE6">
      <w:pPr>
        <w:pStyle w:val="NormalHanging12a"/>
        <w:widowControl/>
        <w:rPr>
          <w:bCs/>
          <w:szCs w:val="24"/>
        </w:rPr>
      </w:pPr>
      <w:r w:rsidRPr="00EF7F27">
        <w:t>Z.</w:t>
      </w:r>
      <w:r w:rsidRPr="00EF7F27">
        <w:tab/>
        <w:t>ottaa huomioon, että EU:n maatalouden tulevaisuudesta käytävän strategisen vuoropuhelun päätelmissä</w:t>
      </w:r>
      <w:r w:rsidRPr="00EF7F27">
        <w:rPr>
          <w:rStyle w:val="FootnoteReference"/>
        </w:rPr>
        <w:footnoteReference w:id="14"/>
      </w:r>
      <w:r w:rsidRPr="00EF7F27">
        <w:t xml:space="preserve">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oikeudenmukaisemmat kauppasuhteet, jotka ovat johdonmukaisia terveellistä ympäristöä koskevien tavoitteiden kanssa, olivat yksi viljelijöiden keskeisistä vaatimuksista vuosien 2023 ja 2024 mielenosoituksissa;</w:t>
      </w:r>
    </w:p>
    <w:p w14:paraId="0C3FD453" w14:textId="77777777" w:rsidR="003634DB" w:rsidRPr="00EF7F27" w:rsidRDefault="003634DB" w:rsidP="00724AE6">
      <w:pPr>
        <w:pStyle w:val="NormalHanging12a"/>
        <w:widowControl/>
        <w:rPr>
          <w:szCs w:val="24"/>
        </w:rPr>
      </w:pPr>
      <w:r w:rsidRPr="00EF7F27">
        <w:t>AA.</w:t>
      </w:r>
      <w:r w:rsidRPr="00EF7F27">
        <w:tab/>
        <w:t>ottaa huomioon, että oikeutta ruokaan käsittelevän YK:n erityisraportoijan vuonna 2017 julkaistussa raportissa todettiin, että vaarallisilla torjunta-aineilla on katastrofaalisia vaikutuksia terveyteen erityisesti kehitysmaissa</w:t>
      </w:r>
      <w:r w:rsidRPr="00EF7F27">
        <w:rPr>
          <w:rStyle w:val="FootnoteReference"/>
        </w:rPr>
        <w:footnoteReference w:id="15"/>
      </w:r>
      <w:r w:rsidRPr="00EF7F27">
        <w:t>; toteaa, että YK:n kestävän kehityksen tavoitteiden alatavoitteessa 3.9 pyrkimyksenä on vähentää vuoteen 2030 mennessä merkittävästi vaarallisista kemikaaleista ja ilman, veden ja maaperän saastumisesta sekä pilaantumisesta johtuvia kuolemia ja sairauksia</w:t>
      </w:r>
      <w:r w:rsidRPr="00EF7F27">
        <w:rPr>
          <w:rStyle w:val="FootnoteReference"/>
        </w:rPr>
        <w:footnoteReference w:id="16"/>
      </w:r>
      <w:r w:rsidRPr="00EF7F27">
        <w:t>;</w:t>
      </w:r>
    </w:p>
    <w:p w14:paraId="07C13BB6" w14:textId="77777777" w:rsidR="003634DB" w:rsidRPr="00EF7F27" w:rsidRDefault="003634DB" w:rsidP="00724AE6">
      <w:pPr>
        <w:pStyle w:val="NormalHanging12a"/>
        <w:widowControl/>
        <w:rPr>
          <w:szCs w:val="24"/>
        </w:rPr>
      </w:pPr>
      <w:r w:rsidRPr="00EF7F27">
        <w:t>AB.</w:t>
      </w:r>
      <w:r w:rsidRPr="00EF7F27">
        <w:tab/>
        <w:t>ottaa huomioon, että Kunmingin-Montrealin maailmanlaajuinen luonnon monimuotoisuuskehys, josta sovittiin biologista monimuotoisuutta koskevan Yhdistyneiden kansakuntien yleissopimuksen (YK:n biodiversiteettisopimus) sopimuspuolten 15. konferenssissa joulukuussa 2022, sisältää maailmanlaajuisen tavoitteen vähentää torjunta-aineista aiheutuvia riskejä vähintään 50 prosentilla vuoteen 2030 mennessä</w:t>
      </w:r>
      <w:r w:rsidRPr="00EF7F27">
        <w:rPr>
          <w:rStyle w:val="FootnoteReference"/>
        </w:rPr>
        <w:footnoteReference w:id="17"/>
      </w:r>
      <w:r w:rsidRPr="00EF7F27">
        <w:t>;</w:t>
      </w:r>
    </w:p>
    <w:p w14:paraId="1B1C7A81" w14:textId="77777777" w:rsidR="003634DB" w:rsidRPr="00EF7F27" w:rsidRDefault="003634DB" w:rsidP="00724AE6">
      <w:pPr>
        <w:pStyle w:val="NormalHanging12a"/>
        <w:widowControl/>
        <w:rPr>
          <w:szCs w:val="24"/>
        </w:rPr>
      </w:pPr>
      <w:r w:rsidRPr="00EF7F27">
        <w:t>AC.</w:t>
      </w:r>
      <w:r w:rsidRPr="00EF7F27">
        <w:tab/>
        <w:t>panee merkille, että asetuksessa (EY) N:o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 katsoo, että tällaisiin perusteltuihin tekijöihin olisi sisällyttävä YK:n kestävän kehityksen tavoitteista ja YK:n biodiversiteettisopimuksesta johtuvat unionin velvoitteet;</w:t>
      </w:r>
    </w:p>
    <w:p w14:paraId="2E9461FC" w14:textId="77777777" w:rsidR="003634DB" w:rsidRPr="00EF7F27" w:rsidRDefault="003634DB" w:rsidP="00724AE6">
      <w:pPr>
        <w:pStyle w:val="NormalHanging12a"/>
        <w:keepNext/>
        <w:widowControl/>
        <w:ind w:left="0" w:firstLine="0"/>
        <w:rPr>
          <w:b/>
          <w:i/>
          <w:iCs/>
          <w:szCs w:val="24"/>
        </w:rPr>
      </w:pPr>
      <w:r w:rsidRPr="00EF7F27">
        <w:rPr>
          <w:b/>
          <w:i/>
        </w:rPr>
        <w:t>Riippuvuuden vähentäminen tuontirehuista</w:t>
      </w:r>
    </w:p>
    <w:p w14:paraId="0D7FC017" w14:textId="77777777" w:rsidR="003634DB" w:rsidRPr="00EF7F27" w:rsidRDefault="003634DB" w:rsidP="00724AE6">
      <w:pPr>
        <w:pStyle w:val="NormalHanging12a"/>
        <w:widowControl/>
        <w:rPr>
          <w:szCs w:val="24"/>
        </w:rPr>
      </w:pPr>
      <w:r w:rsidRPr="00EF7F27">
        <w:t>AD.</w:t>
      </w:r>
      <w:r w:rsidRPr="00EF7F27">
        <w:tab/>
        <w:t xml:space="preserve">ottaa huomioon, että yksi covid-19-kriisistä ja Ukrainassa edelleen jatkuvasta sodasta saatu opetus on se, että unioni ei saa enää olla riippuvainen eräistä kriittisistä materiaaleista; ottaa huomioon, että komission puheenjohtaja Ursula von </w:t>
      </w:r>
      <w:proofErr w:type="spellStart"/>
      <w:r w:rsidRPr="00EF7F27">
        <w:t>der</w:t>
      </w:r>
      <w:proofErr w:type="spellEnd"/>
      <w:r w:rsidRPr="00EF7F27">
        <w:t xml:space="preserve"> </w:t>
      </w:r>
      <w:proofErr w:type="spellStart"/>
      <w:r w:rsidRPr="00EF7F27">
        <w:t>Leyen</w:t>
      </w:r>
      <w:proofErr w:type="spellEnd"/>
      <w:r w:rsidRPr="00EF7F27">
        <w:t xml:space="preserve"> pyysi komission jäsenelle </w:t>
      </w:r>
      <w:proofErr w:type="spellStart"/>
      <w:r w:rsidRPr="00EF7F27">
        <w:t>Christophe</w:t>
      </w:r>
      <w:proofErr w:type="spellEnd"/>
      <w:r w:rsidRPr="00EF7F27">
        <w:t xml:space="preserve"> Hansenille osoitetussa toimeksiantokirjeessä häntä tarkastelemaan keinoja vähentää kriittisten hyödykkeiden tuontia</w:t>
      </w:r>
      <w:r w:rsidRPr="00EF7F27">
        <w:rPr>
          <w:rStyle w:val="FootnoteReference"/>
        </w:rPr>
        <w:footnoteReference w:id="18"/>
      </w:r>
      <w:r w:rsidRPr="00EF7F27">
        <w:t>;</w:t>
      </w:r>
    </w:p>
    <w:p w14:paraId="78F8E707" w14:textId="77777777" w:rsidR="003634DB" w:rsidRPr="00EF7F27" w:rsidRDefault="003634DB" w:rsidP="00724AE6">
      <w:pPr>
        <w:pStyle w:val="NormalHanging12a"/>
        <w:keepNext/>
        <w:widowControl/>
        <w:ind w:left="0" w:firstLine="0"/>
        <w:rPr>
          <w:b/>
          <w:i/>
          <w:iCs/>
          <w:szCs w:val="24"/>
        </w:rPr>
      </w:pPr>
      <w:r w:rsidRPr="00EF7F27">
        <w:rPr>
          <w:b/>
          <w:i/>
        </w:rPr>
        <w:t>Epädemokraattinen päätöksenteko</w:t>
      </w:r>
    </w:p>
    <w:p w14:paraId="7FC3EBFA" w14:textId="77777777" w:rsidR="003634DB" w:rsidRPr="00EF7F27" w:rsidRDefault="003634DB" w:rsidP="00724AE6">
      <w:pPr>
        <w:pStyle w:val="NormalHanging12a"/>
        <w:widowControl/>
        <w:rPr>
          <w:szCs w:val="24"/>
        </w:rPr>
      </w:pPr>
      <w:r w:rsidRPr="00EF7F27">
        <w:t>AE.</w:t>
      </w:r>
      <w:r w:rsidRPr="00EF7F27">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parlamentti antoi yhdeksännellä vaalikaudella 38 päätöslauselmaa, joissa vastustettiin muuntogeenisten organismien markkinoille saattamista, ja on nykyisellä kymmenennellä vaalikaudella antanut jo 11 tällaista päätöslauselmaa;</w:t>
      </w:r>
    </w:p>
    <w:p w14:paraId="1A40E084" w14:textId="77777777" w:rsidR="003634DB" w:rsidRPr="00EF7F27" w:rsidRDefault="003634DB" w:rsidP="00724AE6">
      <w:pPr>
        <w:pStyle w:val="NormalHanging12a"/>
        <w:widowControl/>
        <w:rPr>
          <w:szCs w:val="24"/>
        </w:rPr>
      </w:pPr>
      <w:r w:rsidRPr="00EF7F27">
        <w:t>AF.</w:t>
      </w:r>
      <w:r w:rsidRPr="00EF7F27">
        <w:tab/>
        <w:t>toteaa, että komissio jatkaa lupien myöntämistä muuntogeenisille organismeille, vaikka se itse myöntää demokraattisuuden puutteen, ja huolimatta jäsenvaltioiden tuen puuttumisesta ja parlamentin vastustuksesta;</w:t>
      </w:r>
    </w:p>
    <w:p w14:paraId="45F1E3D2" w14:textId="77777777" w:rsidR="003634DB" w:rsidRPr="00EF7F27" w:rsidRDefault="003634DB" w:rsidP="00724AE6">
      <w:pPr>
        <w:pStyle w:val="NormalHanging12a"/>
        <w:widowControl/>
        <w:rPr>
          <w:szCs w:val="24"/>
        </w:rPr>
      </w:pPr>
      <w:r w:rsidRPr="00EF7F27">
        <w:t>AG.</w:t>
      </w:r>
      <w:r w:rsidRPr="00EF7F27">
        <w:tab/>
        <w:t>ottaa huomioon, että lainsäädäntöä ei tarvitse muuttaa, jotta komissio voi olla antamatta lupaa muuntogeenisille organismeille, kun jäsenvaltioiden määräenemmistö ei muutoksenhakukomiteassa puolla luvan myöntämistä</w:t>
      </w:r>
      <w:r w:rsidRPr="00EF7F27">
        <w:rPr>
          <w:rStyle w:val="FootnoteReference"/>
        </w:rPr>
        <w:footnoteReference w:id="19"/>
      </w:r>
      <w:r w:rsidRPr="00EF7F27">
        <w:t>;</w:t>
      </w:r>
    </w:p>
    <w:p w14:paraId="6BBDCE25" w14:textId="77777777" w:rsidR="003634DB" w:rsidRPr="00EF7F27" w:rsidRDefault="003634DB" w:rsidP="00724AE6">
      <w:pPr>
        <w:pStyle w:val="NormalHanging12a"/>
        <w:widowControl/>
        <w:rPr>
          <w:szCs w:val="24"/>
        </w:rPr>
      </w:pPr>
      <w:r w:rsidRPr="00EF7F27">
        <w:t>AH.</w:t>
      </w:r>
      <w:r w:rsidRPr="00EF7F27">
        <w:tab/>
        <w:t>ottaa huomioon, että asetuksen (EY) N:o 1829/2003 35 artiklassa tarkoitetussa pysyvässä kasvi-, eläin-, elintarvike- ja rehukomiteassa 13. kesäkuuta 2025 toimitetussa äänestyksessä päätettiin olla antamatta lausuntoa, mikä tarkoittaa, että jäsenvaltioiden määräenemmistö ei tukenut luvan myöntämistä</w:t>
      </w:r>
      <w:r w:rsidRPr="00EF7F27">
        <w:rPr>
          <w:rStyle w:val="FootnoteReference"/>
        </w:rPr>
        <w:footnoteReference w:id="20"/>
      </w:r>
      <w:r w:rsidRPr="00EF7F27">
        <w:t xml:space="preserve">; </w:t>
      </w:r>
      <w:r w:rsidRPr="00EF7F27">
        <w:rPr>
          <w:szCs w:val="24"/>
        </w:rPr>
        <w:t>ottaa huomioon, että muutoksenhakukomiteassa 15. heinäkuuta 2025 toimitetussa äänestyksessä päätettiin niin ikään olla antamatta lausuntoa;</w:t>
      </w:r>
    </w:p>
    <w:p w14:paraId="6B9A5FFE" w14:textId="5338CE30" w:rsidR="003634DB" w:rsidRPr="00EF7F27" w:rsidRDefault="003634DB" w:rsidP="00724AE6">
      <w:pPr>
        <w:pStyle w:val="NormalHanging12a"/>
        <w:widowControl/>
        <w:rPr>
          <w:bCs/>
          <w:szCs w:val="24"/>
        </w:rPr>
      </w:pPr>
      <w:r w:rsidRPr="00EF7F27">
        <w:t>1.</w:t>
      </w:r>
      <w:r w:rsidRPr="00EF7F27">
        <w:tab/>
        <w:t>katsoo, että komission täytäntöönpanopäätö</w:t>
      </w:r>
      <w:r w:rsidR="00FE3980" w:rsidRPr="00EF7F27">
        <w:t>s</w:t>
      </w:r>
      <w:r w:rsidRPr="00EF7F27">
        <w:t xml:space="preserve"> </w:t>
      </w:r>
      <w:r w:rsidR="00FE3980" w:rsidRPr="00EF7F27">
        <w:t xml:space="preserve">(EU) 2025/1898 </w:t>
      </w:r>
      <w:r w:rsidRPr="00EF7F27">
        <w:t>ylittää asetuksessa (EY) N:o 1829/2003 säädetyn täytäntöönpanovallan;</w:t>
      </w:r>
    </w:p>
    <w:p w14:paraId="1C618B89" w14:textId="0CC14F2A" w:rsidR="003634DB" w:rsidRPr="00EF7F27" w:rsidRDefault="003634DB" w:rsidP="00724AE6">
      <w:pPr>
        <w:pStyle w:val="NormalHanging12a"/>
        <w:widowControl/>
        <w:rPr>
          <w:bCs/>
          <w:szCs w:val="24"/>
        </w:rPr>
      </w:pPr>
      <w:r w:rsidRPr="00EF7F27">
        <w:t>2.</w:t>
      </w:r>
      <w:r w:rsidRPr="00EF7F27">
        <w:tab/>
        <w:t>katsoo, että komission täytäntöönpanopäätö</w:t>
      </w:r>
      <w:r w:rsidR="00FE3980" w:rsidRPr="00EF7F27">
        <w:t>s</w:t>
      </w:r>
      <w:r w:rsidRPr="00EF7F27">
        <w:t xml:space="preserve"> </w:t>
      </w:r>
      <w:r w:rsidR="00FE3980" w:rsidRPr="00EF7F27">
        <w:t xml:space="preserve">(EU) 2025/1898 </w:t>
      </w:r>
      <w:r w:rsidRPr="00EF7F27">
        <w:t>ei ole unionin oikeuden mukainen, sillä se ei ole sopusoinnussa asetuksen (EY) N:o 1829/2003 tavoitteen kanssa; toteaa, että kyseisen asetuksen tavoitteena on Euroopan parlamentin ja neuvoston asetuksessa (EY) N:o 178/2002</w:t>
      </w:r>
      <w:r w:rsidRPr="00EF7F27">
        <w:rPr>
          <w:rStyle w:val="FootnoteReference"/>
        </w:rPr>
        <w:footnoteReference w:id="21"/>
      </w:r>
      <w:r w:rsidRPr="00EF7F27">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14:paraId="6532CEC6" w14:textId="600917D0" w:rsidR="003634DB" w:rsidRPr="00EF7F27" w:rsidRDefault="003634DB" w:rsidP="00724AE6">
      <w:pPr>
        <w:pStyle w:val="NormalHanging12a"/>
        <w:widowControl/>
        <w:rPr>
          <w:szCs w:val="24"/>
        </w:rPr>
      </w:pPr>
      <w:r w:rsidRPr="00EF7F27">
        <w:rPr>
          <w:szCs w:val="24"/>
        </w:rPr>
        <w:t>3.</w:t>
      </w:r>
      <w:r w:rsidRPr="00EF7F27">
        <w:rPr>
          <w:szCs w:val="24"/>
        </w:rPr>
        <w:tab/>
        <w:t>pyytää komissiota peruuttamaan täytäntöönpanopäätökse</w:t>
      </w:r>
      <w:r w:rsidR="00FE3980" w:rsidRPr="00EF7F27">
        <w:rPr>
          <w:szCs w:val="24"/>
        </w:rPr>
        <w:t>n</w:t>
      </w:r>
      <w:r w:rsidRPr="00EF7F27">
        <w:rPr>
          <w:szCs w:val="24"/>
        </w:rPr>
        <w:t xml:space="preserve"> </w:t>
      </w:r>
      <w:r w:rsidR="00FE3980" w:rsidRPr="00EF7F27">
        <w:t xml:space="preserve">(EU) 2025/1898 </w:t>
      </w:r>
      <w:r w:rsidRPr="00EF7F27">
        <w:rPr>
          <w:szCs w:val="24"/>
        </w:rPr>
        <w:t>ja toimittamaan komitealle uuden ehdotuksen;</w:t>
      </w:r>
    </w:p>
    <w:p w14:paraId="6933711F" w14:textId="77777777" w:rsidR="003634DB" w:rsidRPr="00EF7F27" w:rsidRDefault="003634DB" w:rsidP="00724AE6">
      <w:pPr>
        <w:pStyle w:val="NormalHanging12a"/>
        <w:widowControl/>
        <w:rPr>
          <w:szCs w:val="24"/>
        </w:rPr>
      </w:pPr>
      <w:r w:rsidRPr="00EF7F27">
        <w:rPr>
          <w:szCs w:val="24"/>
        </w:rPr>
        <w:t>4.</w:t>
      </w:r>
      <w:r w:rsidRPr="00EF7F27">
        <w:rPr>
          <w:szCs w:val="24"/>
        </w:rPr>
        <w:tab/>
        <w:t>kehottaa komissiota varmistamaan normien lähentämisen unionin ja sen kumppaneiden välillä vapaakauppasopimusneuvotteluissa, jotta unionin turvallisuusnormit voidaan täyttää;</w:t>
      </w:r>
    </w:p>
    <w:p w14:paraId="7587A161" w14:textId="77777777" w:rsidR="003634DB" w:rsidRPr="00EF7F27" w:rsidRDefault="003634DB" w:rsidP="00724AE6">
      <w:pPr>
        <w:pStyle w:val="NormalHanging12a"/>
        <w:widowControl/>
        <w:rPr>
          <w:szCs w:val="24"/>
        </w:rPr>
      </w:pPr>
      <w:r w:rsidRPr="00EF7F27">
        <w:rPr>
          <w:szCs w:val="24"/>
        </w:rPr>
        <w:t>5.</w:t>
      </w:r>
      <w:r w:rsidRPr="00EF7F27">
        <w:rPr>
          <w:szCs w:val="24"/>
        </w:rPr>
        <w:tab/>
        <w:t>pyytää komissiota olemaan myöntämättä lupaa muuntogeeniselle maissille biologiseen monimuotoisuuteen, elintarviketurvallisuuteen ja työntekijöiden terveyteen kohdistuvien kasvavien riskien vuoksi yhteinen terveys -mallin mukaisesti;</w:t>
      </w:r>
    </w:p>
    <w:p w14:paraId="6F46EE63" w14:textId="77777777" w:rsidR="003634DB" w:rsidRPr="00EF7F27" w:rsidRDefault="003634DB" w:rsidP="00724AE6">
      <w:pPr>
        <w:pStyle w:val="NormalHanging12a"/>
        <w:widowControl/>
        <w:rPr>
          <w:bCs/>
          <w:szCs w:val="24"/>
        </w:rPr>
      </w:pPr>
      <w:r w:rsidRPr="00EF7F27">
        <w:t>6.</w:t>
      </w:r>
      <w:r w:rsidRPr="00EF7F27">
        <w:tab/>
        <w:t>odottaa, että komissio noudattaa kiireellisesti sitoumustaan</w:t>
      </w:r>
      <w:r w:rsidRPr="00EF7F27">
        <w:rPr>
          <w:rStyle w:val="FootnoteReference"/>
        </w:rPr>
        <w:footnoteReference w:id="22"/>
      </w:r>
      <w:r w:rsidRPr="00EF7F27">
        <w:t xml:space="preserve"> esittää ehdotus sen varmistamiseksi, että unionissa kiellettyjä vaarallisia kemikaaleja ei tuoteta vientiin;</w:t>
      </w:r>
    </w:p>
    <w:p w14:paraId="0F343864" w14:textId="77777777" w:rsidR="003634DB" w:rsidRPr="00EF7F27" w:rsidRDefault="003634DB" w:rsidP="00724AE6">
      <w:pPr>
        <w:pStyle w:val="NormalHanging12a"/>
        <w:widowControl/>
        <w:rPr>
          <w:bCs/>
          <w:szCs w:val="24"/>
        </w:rPr>
      </w:pPr>
      <w:r w:rsidRPr="00EF7F27">
        <w:t>7.</w:t>
      </w:r>
      <w:r w:rsidRPr="00EF7F27">
        <w:tab/>
        <w:t>on tyytyväinen siihen, että komissio myönsi lopulta 11. syyskuuta 2020 päivätyssä kirjeessään parlamentin jäsenille, että muuntogeenisiä organismeja koskevissa lupapäätöksissä on otettava huomioon kestävyysnäkökohdat</w:t>
      </w:r>
      <w:r w:rsidRPr="00EF7F27">
        <w:rPr>
          <w:rStyle w:val="FootnoteReference"/>
        </w:rPr>
        <w:footnoteReference w:id="23"/>
      </w:r>
      <w:r w:rsidRPr="00EF7F27">
        <w:t>; on kuitenkin erittäin pettynyt siihen, että komissio on sen jälkeen edelleen myöntänyt lupia muuntogeenisten organismien tuonnille unioniin, vaikka parlamentti vastustaa sitä jatkuvasti ja jäsenvaltioiden enemmistö äänestää sitä vastaan;</w:t>
      </w:r>
    </w:p>
    <w:p w14:paraId="61640182" w14:textId="77777777" w:rsidR="003634DB" w:rsidRPr="00EF7F27" w:rsidRDefault="003634DB" w:rsidP="00724AE6">
      <w:pPr>
        <w:pStyle w:val="NormalHanging12a"/>
        <w:widowControl/>
        <w:rPr>
          <w:bCs/>
          <w:szCs w:val="24"/>
        </w:rPr>
      </w:pPr>
      <w:r w:rsidRPr="00EF7F27">
        <w:t>8.</w:t>
      </w:r>
      <w:r w:rsidRPr="00EF7F27">
        <w:tab/>
        <w:t>kehottaa jälleen kerran komissiota ottamaan huomioon kansainvälisistä sopimuksista, kuten Pariisin ilmastosopimuksesta, YK:n biodiversiteettisopimuksesta ja YK:n kestävän kehityksen tavoitteista, johtuvat unionin velvoitteet; toistaa jälleen kehotuksensa liittää ehdotuksiin täytäntöönpanosäädöksiksi perustelut, joissa selitetään, miten niissä varmistetaan vahingon välttämisen periaatteen noudattaminen</w:t>
      </w:r>
      <w:r w:rsidRPr="00EF7F27">
        <w:rPr>
          <w:rStyle w:val="FootnoteReference"/>
        </w:rPr>
        <w:footnoteReference w:id="24"/>
      </w:r>
      <w:r w:rsidRPr="00EF7F27">
        <w:t>;</w:t>
      </w:r>
    </w:p>
    <w:p w14:paraId="5F88E28F" w14:textId="4EBCE3B4" w:rsidR="00E365E1" w:rsidRPr="00EF7F27" w:rsidRDefault="003634DB" w:rsidP="00724AE6">
      <w:pPr>
        <w:pStyle w:val="NormalHanging12a"/>
        <w:widowControl/>
      </w:pPr>
      <w:r w:rsidRPr="00EF7F27">
        <w:t>9.</w:t>
      </w:r>
      <w:r w:rsidRPr="00EF7F27">
        <w:tab/>
        <w:t>kehottaa puhemiestä välittämään tämän päätöslauselman neuvostolle ja komissiolle sekä jäsenvaltioiden hallituksille ja parlamenteille.</w:t>
      </w:r>
    </w:p>
    <w:sectPr w:rsidR="00E365E1" w:rsidRPr="00EF7F27" w:rsidSect="00F71BB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50D8C" w14:textId="77777777" w:rsidR="00B73A22" w:rsidRPr="00F71BBA" w:rsidRDefault="00B73A22">
      <w:r w:rsidRPr="00F71BBA">
        <w:separator/>
      </w:r>
    </w:p>
  </w:endnote>
  <w:endnote w:type="continuationSeparator" w:id="0">
    <w:p w14:paraId="061FCD35" w14:textId="77777777" w:rsidR="00B73A22" w:rsidRPr="00F71BBA" w:rsidRDefault="00B73A22">
      <w:r w:rsidRPr="00F71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DD157" w14:textId="77777777" w:rsidR="00B73A22" w:rsidRPr="00F71BBA" w:rsidRDefault="00B73A22">
      <w:r w:rsidRPr="00F71BBA">
        <w:separator/>
      </w:r>
    </w:p>
  </w:footnote>
  <w:footnote w:type="continuationSeparator" w:id="0">
    <w:p w14:paraId="448E4015" w14:textId="77777777" w:rsidR="00B73A22" w:rsidRPr="00F71BBA" w:rsidRDefault="00B73A22">
      <w:r w:rsidRPr="00F71BBA">
        <w:continuationSeparator/>
      </w:r>
    </w:p>
  </w:footnote>
  <w:footnote w:id="1">
    <w:p w14:paraId="3964AB15" w14:textId="77777777" w:rsidR="00671FCD" w:rsidRPr="00C414D3" w:rsidRDefault="00671FCD" w:rsidP="00671FCD">
      <w:pPr>
        <w:pStyle w:val="FootnoteText"/>
        <w:ind w:left="567" w:hanging="567"/>
        <w:rPr>
          <w:sz w:val="24"/>
          <w:szCs w:val="24"/>
          <w:lang w:val="fi-FI"/>
        </w:rPr>
      </w:pPr>
      <w:r w:rsidRPr="00C414D3">
        <w:rPr>
          <w:rStyle w:val="FootnoteReference"/>
          <w:sz w:val="24"/>
        </w:rPr>
        <w:footnoteRef/>
      </w:r>
      <w:r w:rsidRPr="00C414D3">
        <w:rPr>
          <w:sz w:val="24"/>
          <w:szCs w:val="24"/>
          <w:lang w:val="fi-FI"/>
        </w:rPr>
        <w:t xml:space="preserve"> </w:t>
      </w:r>
      <w:r w:rsidRPr="00C414D3">
        <w:rPr>
          <w:sz w:val="24"/>
          <w:szCs w:val="24"/>
          <w:lang w:val="fi-FI"/>
        </w:rPr>
        <w:tab/>
        <w:t xml:space="preserve">EUVL L, 2025/1898, 23.9.2025, ELI: </w:t>
      </w:r>
      <w:hyperlink r:id="rId1" w:history="1">
        <w:r w:rsidRPr="00C414D3">
          <w:rPr>
            <w:rStyle w:val="Hyperlink"/>
            <w:sz w:val="24"/>
            <w:szCs w:val="24"/>
            <w:lang w:val="fi-FI"/>
          </w:rPr>
          <w:t>http://data.eu</w:t>
        </w:r>
        <w:r w:rsidRPr="00C414D3">
          <w:rPr>
            <w:rStyle w:val="Hyperlink"/>
            <w:sz w:val="24"/>
            <w:szCs w:val="24"/>
            <w:lang w:val="fi-FI"/>
          </w:rPr>
          <w:t>r</w:t>
        </w:r>
        <w:r w:rsidRPr="00C414D3">
          <w:rPr>
            <w:rStyle w:val="Hyperlink"/>
            <w:sz w:val="24"/>
            <w:szCs w:val="24"/>
            <w:lang w:val="fi-FI"/>
          </w:rPr>
          <w:t>opa.eu/eli/dec_impl/2025/1898/oj</w:t>
        </w:r>
      </w:hyperlink>
      <w:r w:rsidRPr="00C414D3">
        <w:rPr>
          <w:sz w:val="24"/>
          <w:szCs w:val="24"/>
          <w:lang w:val="fi-FI"/>
        </w:rPr>
        <w:t>.</w:t>
      </w:r>
    </w:p>
  </w:footnote>
  <w:footnote w:id="2">
    <w:p w14:paraId="50B904CD" w14:textId="668C8B2B" w:rsidR="003634DB" w:rsidRPr="00C414D3" w:rsidRDefault="003634DB" w:rsidP="00F71BBA">
      <w:pPr>
        <w:pStyle w:val="FootnoteText"/>
        <w:ind w:left="567" w:hanging="567"/>
        <w:rPr>
          <w:b/>
          <w:bCs/>
          <w:sz w:val="24"/>
          <w:szCs w:val="24"/>
          <w:lang w:val="fr-BE"/>
        </w:rPr>
      </w:pPr>
      <w:r w:rsidRPr="00C414D3">
        <w:rPr>
          <w:rStyle w:val="FootnoteReference"/>
          <w:sz w:val="24"/>
          <w:lang w:val="fi-FI"/>
        </w:rPr>
        <w:footnoteRef/>
      </w:r>
      <w:r w:rsidR="00F71BBA" w:rsidRPr="00C414D3">
        <w:rPr>
          <w:sz w:val="24"/>
          <w:szCs w:val="24"/>
          <w:lang w:val="fr-BE"/>
        </w:rPr>
        <w:t xml:space="preserve"> </w:t>
      </w:r>
      <w:r w:rsidR="00F71BBA" w:rsidRPr="00C414D3">
        <w:rPr>
          <w:sz w:val="24"/>
          <w:szCs w:val="24"/>
          <w:lang w:val="fr-BE"/>
        </w:rPr>
        <w:tab/>
      </w:r>
      <w:r w:rsidRPr="00C414D3">
        <w:rPr>
          <w:sz w:val="24"/>
          <w:szCs w:val="24"/>
          <w:lang w:val="fr-BE"/>
        </w:rPr>
        <w:t xml:space="preserve">EUVL L 268, 18.10.2003, s. 1, </w:t>
      </w:r>
      <w:proofErr w:type="gramStart"/>
      <w:r w:rsidRPr="00C414D3">
        <w:rPr>
          <w:sz w:val="24"/>
          <w:szCs w:val="24"/>
          <w:lang w:val="fr-BE"/>
        </w:rPr>
        <w:t>ELI:</w:t>
      </w:r>
      <w:proofErr w:type="gramEnd"/>
      <w:r w:rsidRPr="00C414D3">
        <w:rPr>
          <w:sz w:val="24"/>
          <w:szCs w:val="24"/>
          <w:lang w:val="fr-BE"/>
        </w:rPr>
        <w:t> </w:t>
      </w:r>
      <w:hyperlink r:id="rId2" w:history="1">
        <w:r w:rsidRPr="00C414D3">
          <w:rPr>
            <w:rStyle w:val="Hyperlink"/>
            <w:sz w:val="24"/>
            <w:szCs w:val="24"/>
            <w:lang w:val="fr-BE"/>
          </w:rPr>
          <w:t>http://data.europa.eu/eli/reg/2003/1829/oj</w:t>
        </w:r>
      </w:hyperlink>
      <w:r w:rsidRPr="00C414D3">
        <w:rPr>
          <w:sz w:val="24"/>
          <w:szCs w:val="24"/>
          <w:u w:val="single"/>
          <w:lang w:val="fr-BE"/>
        </w:rPr>
        <w:t>.</w:t>
      </w:r>
    </w:p>
  </w:footnote>
  <w:footnote w:id="3">
    <w:p w14:paraId="64FA0197" w14:textId="5730BD59" w:rsidR="003634DB" w:rsidRPr="00EF7F27" w:rsidRDefault="003634DB" w:rsidP="00F71BBA">
      <w:pPr>
        <w:pStyle w:val="FootnoteText"/>
        <w:ind w:left="567" w:hanging="567"/>
        <w:rPr>
          <w:sz w:val="24"/>
          <w:szCs w:val="24"/>
          <w:lang w:val="fr-BE"/>
        </w:rPr>
      </w:pPr>
      <w:r w:rsidRPr="00C414D3">
        <w:rPr>
          <w:rStyle w:val="FootnoteReference"/>
          <w:sz w:val="24"/>
          <w:lang w:val="fi-FI"/>
        </w:rPr>
        <w:footnoteRef/>
      </w:r>
      <w:r w:rsidR="00F71BBA" w:rsidRPr="00EF7F27">
        <w:rPr>
          <w:sz w:val="24"/>
          <w:szCs w:val="24"/>
          <w:lang w:val="fr-BE"/>
        </w:rPr>
        <w:t xml:space="preserve"> </w:t>
      </w:r>
      <w:r w:rsidR="00F71BBA" w:rsidRPr="00EF7F27">
        <w:rPr>
          <w:sz w:val="24"/>
          <w:szCs w:val="24"/>
          <w:lang w:val="fr-BE"/>
        </w:rPr>
        <w:tab/>
      </w:r>
      <w:r w:rsidRPr="00EF7F27">
        <w:rPr>
          <w:sz w:val="24"/>
          <w:szCs w:val="24"/>
          <w:lang w:val="fr-BE"/>
        </w:rPr>
        <w:t xml:space="preserve">EUVL L 55, 28.2.2011, s. 13, </w:t>
      </w:r>
      <w:proofErr w:type="gramStart"/>
      <w:r w:rsidRPr="00EF7F27">
        <w:rPr>
          <w:sz w:val="24"/>
          <w:szCs w:val="24"/>
          <w:lang w:val="fr-BE"/>
        </w:rPr>
        <w:t>ELI:</w:t>
      </w:r>
      <w:proofErr w:type="gramEnd"/>
      <w:r w:rsidRPr="00EF7F27">
        <w:rPr>
          <w:sz w:val="24"/>
          <w:szCs w:val="24"/>
          <w:lang w:val="fr-BE"/>
        </w:rPr>
        <w:t xml:space="preserve"> </w:t>
      </w:r>
      <w:hyperlink r:id="rId3" w:history="1">
        <w:r w:rsidRPr="00EF7F27">
          <w:rPr>
            <w:rStyle w:val="Hyperlink"/>
            <w:sz w:val="24"/>
            <w:szCs w:val="24"/>
            <w:lang w:val="fr-BE"/>
          </w:rPr>
          <w:t>http://data.europa.eu/eli/reg/2011/182/oj</w:t>
        </w:r>
      </w:hyperlink>
      <w:r w:rsidRPr="00EF7F27">
        <w:rPr>
          <w:sz w:val="24"/>
          <w:szCs w:val="24"/>
          <w:lang w:val="fr-BE"/>
        </w:rPr>
        <w:t>.</w:t>
      </w:r>
    </w:p>
  </w:footnote>
  <w:footnote w:id="4">
    <w:p w14:paraId="661BE4E1" w14:textId="3F7EEC2C" w:rsidR="003634DB" w:rsidRPr="00EF7F27" w:rsidRDefault="003634DB" w:rsidP="00F71BBA">
      <w:pPr>
        <w:pStyle w:val="FootnoteText"/>
        <w:ind w:left="567" w:hanging="567"/>
        <w:rPr>
          <w:sz w:val="24"/>
          <w:szCs w:val="24"/>
          <w:lang w:val="fr-BE"/>
        </w:rPr>
      </w:pPr>
      <w:r w:rsidRPr="00C414D3">
        <w:rPr>
          <w:rStyle w:val="Funotenzeichen"/>
          <w:sz w:val="24"/>
          <w:szCs w:val="24"/>
          <w:lang w:val="fi-FI"/>
        </w:rPr>
        <w:footnoteRef/>
      </w:r>
      <w:r w:rsidR="00F71BBA" w:rsidRPr="00EF7F27">
        <w:rPr>
          <w:sz w:val="24"/>
          <w:szCs w:val="24"/>
          <w:lang w:val="fr-BE"/>
        </w:rPr>
        <w:t xml:space="preserve"> </w:t>
      </w:r>
      <w:r w:rsidR="00F71BBA" w:rsidRPr="00EF7F27">
        <w:rPr>
          <w:sz w:val="24"/>
          <w:szCs w:val="24"/>
          <w:lang w:val="fr-BE"/>
        </w:rPr>
        <w:tab/>
      </w:r>
      <w:proofErr w:type="spellStart"/>
      <w:r w:rsidRPr="00EF7F27">
        <w:rPr>
          <w:sz w:val="24"/>
          <w:szCs w:val="24"/>
          <w:lang w:val="fr-BE"/>
        </w:rPr>
        <w:t>Muuntogeenisiä</w:t>
      </w:r>
      <w:proofErr w:type="spellEnd"/>
      <w:r w:rsidRPr="00EF7F27">
        <w:rPr>
          <w:sz w:val="24"/>
          <w:szCs w:val="24"/>
          <w:lang w:val="fr-BE"/>
        </w:rPr>
        <w:t xml:space="preserve"> </w:t>
      </w:r>
      <w:proofErr w:type="spellStart"/>
      <w:r w:rsidRPr="00EF7F27">
        <w:rPr>
          <w:sz w:val="24"/>
          <w:szCs w:val="24"/>
          <w:lang w:val="fr-BE"/>
        </w:rPr>
        <w:t>organismeja</w:t>
      </w:r>
      <w:proofErr w:type="spellEnd"/>
      <w:r w:rsidRPr="00EF7F27">
        <w:rPr>
          <w:sz w:val="24"/>
          <w:szCs w:val="24"/>
          <w:lang w:val="fr-BE"/>
        </w:rPr>
        <w:t xml:space="preserve"> </w:t>
      </w:r>
      <w:proofErr w:type="spellStart"/>
      <w:r w:rsidRPr="00EF7F27">
        <w:rPr>
          <w:sz w:val="24"/>
          <w:szCs w:val="24"/>
          <w:lang w:val="fr-BE"/>
        </w:rPr>
        <w:t>käsittelevän</w:t>
      </w:r>
      <w:proofErr w:type="spellEnd"/>
      <w:r w:rsidRPr="00EF7F27">
        <w:rPr>
          <w:sz w:val="24"/>
          <w:szCs w:val="24"/>
          <w:lang w:val="fr-BE"/>
        </w:rPr>
        <w:t xml:space="preserve"> </w:t>
      </w:r>
      <w:proofErr w:type="spellStart"/>
      <w:r w:rsidRPr="00EF7F27">
        <w:rPr>
          <w:sz w:val="24"/>
          <w:szCs w:val="24"/>
          <w:lang w:val="fr-BE"/>
        </w:rPr>
        <w:t>EFSAn</w:t>
      </w:r>
      <w:proofErr w:type="spellEnd"/>
      <w:r w:rsidRPr="00EF7F27">
        <w:rPr>
          <w:sz w:val="24"/>
          <w:szCs w:val="24"/>
          <w:lang w:val="fr-BE"/>
        </w:rPr>
        <w:t xml:space="preserve"> </w:t>
      </w:r>
      <w:proofErr w:type="spellStart"/>
      <w:r w:rsidRPr="00EF7F27">
        <w:rPr>
          <w:sz w:val="24"/>
          <w:szCs w:val="24"/>
          <w:lang w:val="fr-BE"/>
        </w:rPr>
        <w:t>tiedelautakunnan</w:t>
      </w:r>
      <w:proofErr w:type="spellEnd"/>
      <w:r w:rsidRPr="00EF7F27">
        <w:rPr>
          <w:sz w:val="24"/>
          <w:szCs w:val="24"/>
          <w:lang w:val="fr-BE"/>
        </w:rPr>
        <w:t xml:space="preserve"> </w:t>
      </w:r>
      <w:proofErr w:type="spellStart"/>
      <w:r w:rsidRPr="00EF7F27">
        <w:rPr>
          <w:sz w:val="24"/>
          <w:szCs w:val="24"/>
          <w:lang w:val="fr-BE"/>
        </w:rPr>
        <w:t>tieteellinen</w:t>
      </w:r>
      <w:proofErr w:type="spellEnd"/>
      <w:r w:rsidRPr="00EF7F27">
        <w:rPr>
          <w:sz w:val="24"/>
          <w:szCs w:val="24"/>
          <w:lang w:val="fr-BE"/>
        </w:rPr>
        <w:t xml:space="preserve"> </w:t>
      </w:r>
      <w:proofErr w:type="spellStart"/>
      <w:r w:rsidRPr="00EF7F27">
        <w:rPr>
          <w:sz w:val="24"/>
          <w:szCs w:val="24"/>
          <w:lang w:val="fr-BE"/>
        </w:rPr>
        <w:t>lausunto</w:t>
      </w:r>
      <w:proofErr w:type="spellEnd"/>
      <w:r w:rsidRPr="00EF7F27">
        <w:rPr>
          <w:sz w:val="24"/>
          <w:szCs w:val="24"/>
          <w:lang w:val="fr-BE"/>
        </w:rPr>
        <w:t xml:space="preserve"> ”</w:t>
      </w:r>
      <w:proofErr w:type="spellStart"/>
      <w:r w:rsidRPr="00EF7F27">
        <w:rPr>
          <w:sz w:val="24"/>
          <w:szCs w:val="24"/>
          <w:lang w:val="fr-BE"/>
        </w:rPr>
        <w:t>Assessment</w:t>
      </w:r>
      <w:proofErr w:type="spellEnd"/>
      <w:r w:rsidRPr="00EF7F27">
        <w:rPr>
          <w:sz w:val="24"/>
          <w:szCs w:val="24"/>
          <w:lang w:val="fr-BE"/>
        </w:rPr>
        <w:t xml:space="preserve"> of </w:t>
      </w:r>
      <w:proofErr w:type="spellStart"/>
      <w:r w:rsidRPr="00EF7F27">
        <w:rPr>
          <w:sz w:val="24"/>
          <w:szCs w:val="24"/>
          <w:lang w:val="fr-BE"/>
        </w:rPr>
        <w:t>genetically</w:t>
      </w:r>
      <w:proofErr w:type="spellEnd"/>
      <w:r w:rsidRPr="00EF7F27">
        <w:rPr>
          <w:sz w:val="24"/>
          <w:szCs w:val="24"/>
          <w:lang w:val="fr-BE"/>
        </w:rPr>
        <w:t xml:space="preserve"> </w:t>
      </w:r>
      <w:proofErr w:type="spellStart"/>
      <w:r w:rsidRPr="00EF7F27">
        <w:rPr>
          <w:sz w:val="24"/>
          <w:szCs w:val="24"/>
          <w:lang w:val="fr-BE"/>
        </w:rPr>
        <w:t>modified</w:t>
      </w:r>
      <w:proofErr w:type="spellEnd"/>
      <w:r w:rsidRPr="00EF7F27">
        <w:rPr>
          <w:sz w:val="24"/>
          <w:szCs w:val="24"/>
          <w:lang w:val="fr-BE"/>
        </w:rPr>
        <w:t xml:space="preserve"> </w:t>
      </w:r>
      <w:proofErr w:type="spellStart"/>
      <w:r w:rsidRPr="00EF7F27">
        <w:rPr>
          <w:sz w:val="24"/>
          <w:szCs w:val="24"/>
          <w:lang w:val="fr-BE"/>
        </w:rPr>
        <w:t>maize</w:t>
      </w:r>
      <w:proofErr w:type="spellEnd"/>
      <w:r w:rsidRPr="00EF7F27">
        <w:rPr>
          <w:sz w:val="24"/>
          <w:szCs w:val="24"/>
          <w:lang w:val="fr-BE"/>
        </w:rPr>
        <w:t xml:space="preserve"> DP51291 (application GMFF-2021-0071)”, EFSA Journal </w:t>
      </w:r>
      <w:proofErr w:type="gramStart"/>
      <w:r w:rsidRPr="00EF7F27">
        <w:rPr>
          <w:sz w:val="24"/>
          <w:szCs w:val="24"/>
          <w:lang w:val="fr-BE"/>
        </w:rPr>
        <w:t>2024;</w:t>
      </w:r>
      <w:proofErr w:type="gramEnd"/>
      <w:r w:rsidRPr="00EF7F27">
        <w:rPr>
          <w:sz w:val="24"/>
          <w:szCs w:val="24"/>
          <w:lang w:val="fr-BE"/>
        </w:rPr>
        <w:t xml:space="preserve"> 22(11):9059; </w:t>
      </w:r>
      <w:hyperlink r:id="rId4" w:history="1">
        <w:r w:rsidRPr="00EF7F27">
          <w:rPr>
            <w:rStyle w:val="Hyperlink"/>
            <w:sz w:val="24"/>
            <w:szCs w:val="24"/>
            <w:lang w:val="fr-BE"/>
          </w:rPr>
          <w:t>https://doi.org/10.2903/j.efsa.2024.9059</w:t>
        </w:r>
      </w:hyperlink>
      <w:r w:rsidRPr="00EF7F27">
        <w:rPr>
          <w:sz w:val="24"/>
          <w:szCs w:val="24"/>
          <w:lang w:val="fr-BE"/>
        </w:rPr>
        <w:t>.</w:t>
      </w:r>
    </w:p>
  </w:footnote>
  <w:footnote w:id="5">
    <w:p w14:paraId="57288293" w14:textId="0E5EF05D" w:rsidR="003634DB" w:rsidRPr="00C414D3" w:rsidRDefault="003634DB" w:rsidP="00F71BBA">
      <w:pPr>
        <w:pStyle w:val="FootnoteText"/>
        <w:ind w:left="567" w:hanging="567"/>
        <w:rPr>
          <w:color w:val="000000" w:themeColor="text1"/>
          <w:sz w:val="24"/>
          <w:szCs w:val="24"/>
          <w:vertAlign w:val="superscript"/>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Kahdeksannella vaalikaudella parlamentti hyväksyi 36 päätöslauselmaa ja yhdeksännellä vaalikaudella 38 päätöslauselmaa, joissa vastustettiin lupien myöntämistä muuntogeenisille organismeille.</w:t>
      </w:r>
      <w:r w:rsidRPr="00C414D3">
        <w:rPr>
          <w:color w:val="000000" w:themeColor="text1"/>
          <w:sz w:val="24"/>
          <w:szCs w:val="24"/>
          <w:lang w:val="fi-FI"/>
        </w:rPr>
        <w:t xml:space="preserve"> Lisäksi parlamentti on antanut kymmenennellä vaalikaudella seuraavat päätöslauselmat:</w:t>
      </w:r>
    </w:p>
    <w:p w14:paraId="48261E63" w14:textId="6B37E4CB" w:rsidR="003634DB" w:rsidRPr="00C414D3" w:rsidRDefault="00F71BBA" w:rsidP="00F71BBA">
      <w:pPr>
        <w:pStyle w:val="FootnoteText"/>
        <w:ind w:left="567" w:hanging="567"/>
        <w:rPr>
          <w:color w:val="000000" w:themeColor="text1"/>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5" w:history="1">
        <w:r w:rsidR="003634DB" w:rsidRPr="00C414D3">
          <w:rPr>
            <w:rStyle w:val="Hyperlink"/>
            <w:sz w:val="24"/>
            <w:szCs w:val="24"/>
            <w:lang w:val="fi-FI"/>
          </w:rPr>
          <w:t>http://data.europa.eu/eli/C/2025/1797/oj</w:t>
        </w:r>
      </w:hyperlink>
      <w:r w:rsidR="003634DB" w:rsidRPr="00C414D3">
        <w:rPr>
          <w:color w:val="000000" w:themeColor="text1"/>
          <w:sz w:val="24"/>
          <w:szCs w:val="24"/>
          <w:lang w:val="fi-FI"/>
        </w:rPr>
        <w:t>).</w:t>
      </w:r>
    </w:p>
    <w:p w14:paraId="7968A5C3" w14:textId="5A5124C0" w:rsidR="003634DB" w:rsidRPr="00C414D3" w:rsidRDefault="00F71BBA" w:rsidP="00F71BBA">
      <w:pPr>
        <w:pStyle w:val="FootnoteText"/>
        <w:ind w:left="567" w:hanging="567"/>
        <w:rPr>
          <w:color w:val="000000" w:themeColor="text1"/>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6" w:history="1">
        <w:r w:rsidR="003634DB" w:rsidRPr="00C414D3">
          <w:rPr>
            <w:rStyle w:val="Hyperlink"/>
            <w:sz w:val="24"/>
            <w:szCs w:val="24"/>
            <w:lang w:val="fi-FI"/>
          </w:rPr>
          <w:t>http://data.europa.eu/eli/C/2025/1798/oj</w:t>
        </w:r>
      </w:hyperlink>
      <w:r w:rsidR="003634DB" w:rsidRPr="00C414D3">
        <w:rPr>
          <w:color w:val="000000" w:themeColor="text1"/>
          <w:sz w:val="24"/>
          <w:szCs w:val="24"/>
          <w:lang w:val="fi-FI"/>
        </w:rPr>
        <w:t>).</w:t>
      </w:r>
    </w:p>
    <w:p w14:paraId="3EAC15F6" w14:textId="75FBADE4" w:rsidR="003634DB" w:rsidRPr="00C414D3" w:rsidRDefault="00F71BBA" w:rsidP="00F71BBA">
      <w:pPr>
        <w:pStyle w:val="FootnoteText"/>
        <w:ind w:left="567" w:hanging="567"/>
        <w:rPr>
          <w:color w:val="000000" w:themeColor="text1"/>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7" w:history="1">
        <w:r w:rsidR="003634DB" w:rsidRPr="00C414D3">
          <w:rPr>
            <w:rStyle w:val="Hyperlink"/>
            <w:sz w:val="24"/>
            <w:szCs w:val="24"/>
            <w:lang w:val="fi-FI"/>
          </w:rPr>
          <w:t>http://data.europa.eu/eli/C/2025/1799/oj</w:t>
        </w:r>
      </w:hyperlink>
      <w:r w:rsidR="003634DB" w:rsidRPr="00C414D3">
        <w:rPr>
          <w:color w:val="000000" w:themeColor="text1"/>
          <w:sz w:val="24"/>
          <w:szCs w:val="24"/>
          <w:lang w:val="fi-FI"/>
        </w:rPr>
        <w:t>).</w:t>
      </w:r>
    </w:p>
    <w:p w14:paraId="6AD35C66" w14:textId="534B035B" w:rsidR="003634DB" w:rsidRPr="00C414D3" w:rsidRDefault="00F71BBA" w:rsidP="00F71BBA">
      <w:pPr>
        <w:pStyle w:val="FootnoteText"/>
        <w:ind w:left="567" w:hanging="567"/>
        <w:rPr>
          <w:color w:val="000000" w:themeColor="text1"/>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8" w:history="1">
        <w:r w:rsidR="003634DB" w:rsidRPr="00C414D3">
          <w:rPr>
            <w:rStyle w:val="Hyperlink"/>
            <w:sz w:val="24"/>
            <w:szCs w:val="24"/>
            <w:lang w:val="fi-FI"/>
          </w:rPr>
          <w:t>http://data.europa.eu/eli/C/2025/1800/oj</w:t>
        </w:r>
      </w:hyperlink>
      <w:r w:rsidR="003634DB" w:rsidRPr="00C414D3">
        <w:rPr>
          <w:color w:val="000000" w:themeColor="text1"/>
          <w:sz w:val="24"/>
          <w:szCs w:val="24"/>
          <w:lang w:val="fi-FI"/>
        </w:rPr>
        <w:t>).</w:t>
      </w:r>
    </w:p>
    <w:p w14:paraId="498CB3AF" w14:textId="7FCC99E3" w:rsidR="003634DB" w:rsidRPr="00C414D3" w:rsidRDefault="00F71BBA" w:rsidP="00F71BBA">
      <w:pPr>
        <w:pStyle w:val="FootnoteText"/>
        <w:ind w:left="567" w:hanging="567"/>
        <w:rPr>
          <w:color w:val="000000" w:themeColor="text1"/>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t xml:space="preserve">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9" w:history="1">
        <w:r w:rsidR="003634DB" w:rsidRPr="00C414D3">
          <w:rPr>
            <w:rStyle w:val="Hyperlink"/>
            <w:sz w:val="24"/>
            <w:szCs w:val="24"/>
            <w:lang w:val="fi-FI"/>
          </w:rPr>
          <w:t>http://data.europa.eu/eli/C/2025/1801/oj</w:t>
        </w:r>
      </w:hyperlink>
      <w:r w:rsidR="003634DB" w:rsidRPr="00C414D3">
        <w:rPr>
          <w:color w:val="000000" w:themeColor="text1"/>
          <w:sz w:val="24"/>
          <w:szCs w:val="24"/>
          <w:lang w:val="fi-FI"/>
        </w:rPr>
        <w:t>).</w:t>
      </w:r>
    </w:p>
    <w:p w14:paraId="35D61984" w14:textId="6738A5E1" w:rsidR="003634DB" w:rsidRPr="00C414D3" w:rsidRDefault="00F71BBA" w:rsidP="00F71BBA">
      <w:pPr>
        <w:pStyle w:val="FootnoteText"/>
        <w:ind w:left="567" w:hanging="567"/>
        <w:rPr>
          <w:color w:val="000000" w:themeColor="text1"/>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t xml:space="preserve">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10" w:history="1">
        <w:r w:rsidR="003634DB" w:rsidRPr="00C414D3">
          <w:rPr>
            <w:rStyle w:val="Hyperlink"/>
            <w:sz w:val="24"/>
            <w:szCs w:val="24"/>
            <w:lang w:val="fi-FI"/>
          </w:rPr>
          <w:t>http://data.europa.eu/eli/C/2025/1802/oj</w:t>
        </w:r>
      </w:hyperlink>
      <w:r w:rsidR="003634DB" w:rsidRPr="00C414D3">
        <w:rPr>
          <w:color w:val="000000" w:themeColor="text1"/>
          <w:sz w:val="24"/>
          <w:szCs w:val="24"/>
          <w:lang w:val="fi-FI"/>
        </w:rPr>
        <w:t>).</w:t>
      </w:r>
    </w:p>
    <w:p w14:paraId="719DA7BB" w14:textId="034091DE" w:rsidR="003634DB" w:rsidRPr="00C414D3" w:rsidRDefault="00F71BBA" w:rsidP="00F71BBA">
      <w:pPr>
        <w:pStyle w:val="FootnoteText"/>
        <w:ind w:left="567" w:hanging="567"/>
        <w:rPr>
          <w:color w:val="000000" w:themeColor="text1"/>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t xml:space="preserve">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1" w:history="1">
        <w:r w:rsidR="003634DB" w:rsidRPr="00C414D3">
          <w:rPr>
            <w:rStyle w:val="Hyperlink"/>
            <w:sz w:val="24"/>
            <w:szCs w:val="24"/>
            <w:lang w:val="fi-FI"/>
          </w:rPr>
          <w:t>http://data.europa.eu/eli/C/2025/1803/oj</w:t>
        </w:r>
      </w:hyperlink>
      <w:r w:rsidR="003634DB" w:rsidRPr="00C414D3">
        <w:rPr>
          <w:color w:val="000000" w:themeColor="text1"/>
          <w:sz w:val="24"/>
          <w:szCs w:val="24"/>
          <w:lang w:val="fi-FI"/>
        </w:rPr>
        <w:t>).</w:t>
      </w:r>
    </w:p>
    <w:p w14:paraId="4838956A" w14:textId="5F289F0E" w:rsidR="003634DB" w:rsidRPr="00C414D3" w:rsidRDefault="00F71BBA" w:rsidP="00F71BBA">
      <w:pPr>
        <w:pStyle w:val="FootnoteText"/>
        <w:ind w:left="567" w:hanging="567"/>
        <w:rPr>
          <w:color w:val="000000" w:themeColor="text1"/>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t xml:space="preserve">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2" w:history="1">
        <w:r w:rsidR="003634DB" w:rsidRPr="00C414D3">
          <w:rPr>
            <w:rStyle w:val="Hyperlink"/>
            <w:sz w:val="24"/>
            <w:szCs w:val="24"/>
            <w:lang w:val="fi-FI"/>
          </w:rPr>
          <w:t>http://data.europa.eu/eli/C/2025/1804/oj</w:t>
        </w:r>
      </w:hyperlink>
      <w:r w:rsidR="003634DB" w:rsidRPr="00C414D3">
        <w:rPr>
          <w:color w:val="000000" w:themeColor="text1"/>
          <w:sz w:val="24"/>
          <w:szCs w:val="24"/>
          <w:lang w:val="fi-FI"/>
        </w:rPr>
        <w:t>).</w:t>
      </w:r>
    </w:p>
    <w:p w14:paraId="3DC8CD50" w14:textId="346AB8C7" w:rsidR="003634DB" w:rsidRPr="00C414D3" w:rsidRDefault="00F71BBA" w:rsidP="00F71BBA">
      <w:pPr>
        <w:pStyle w:val="FootnoteText"/>
        <w:ind w:left="567" w:hanging="567"/>
        <w:rPr>
          <w:sz w:val="24"/>
          <w:szCs w:val="24"/>
          <w:vertAlign w:val="superscript"/>
          <w:lang w:val="fi-FI"/>
        </w:rPr>
      </w:pPr>
      <w:r w:rsidRPr="00C414D3">
        <w:rPr>
          <w:color w:val="000000" w:themeColor="text1"/>
          <w:sz w:val="24"/>
          <w:szCs w:val="24"/>
          <w:lang w:val="fi-FI"/>
        </w:rPr>
        <w:t xml:space="preserve"> </w:t>
      </w:r>
      <w:r w:rsidRPr="00C414D3">
        <w:rPr>
          <w:color w:val="000000" w:themeColor="text1"/>
          <w:sz w:val="24"/>
          <w:szCs w:val="24"/>
          <w:lang w:val="fi-FI"/>
        </w:rPr>
        <w:tab/>
      </w:r>
      <w:r w:rsidR="003634DB" w:rsidRPr="00C414D3">
        <w:rPr>
          <w:color w:val="000000" w:themeColor="text1"/>
          <w:sz w:val="24"/>
          <w:szCs w:val="24"/>
          <w:lang w:val="fi-FI"/>
        </w:rPr>
        <w:t>–</w:t>
      </w:r>
      <w:r w:rsidR="003634DB" w:rsidRPr="00C414D3">
        <w:rPr>
          <w:color w:val="000000" w:themeColor="text1"/>
          <w:sz w:val="24"/>
          <w:szCs w:val="24"/>
          <w:lang w:val="fi-FI"/>
        </w:rPr>
        <w:tab/>
      </w:r>
      <w:r w:rsidR="003634DB" w:rsidRPr="00C414D3">
        <w:rPr>
          <w:sz w:val="24"/>
          <w:szCs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3" w:tooltip="Linkki asiakirjaan sen ELI-tunnukseen perustuvan URI-osoitteen kautta." w:history="1">
        <w:r w:rsidR="003634DB" w:rsidRPr="00C414D3">
          <w:rPr>
            <w:rStyle w:val="Hyperlink"/>
            <w:sz w:val="24"/>
            <w:szCs w:val="24"/>
            <w:lang w:val="fi-FI"/>
          </w:rPr>
          <w:t>http://data.europa.eu/eli/C/2025/2246/oj</w:t>
        </w:r>
      </w:hyperlink>
      <w:r w:rsidR="003634DB" w:rsidRPr="00C414D3">
        <w:rPr>
          <w:sz w:val="24"/>
          <w:szCs w:val="24"/>
          <w:lang w:val="fi-FI"/>
        </w:rPr>
        <w:t>).</w:t>
      </w:r>
    </w:p>
    <w:p w14:paraId="5B794CAE" w14:textId="7D3F68DB" w:rsidR="003634DB" w:rsidRPr="00C414D3" w:rsidRDefault="00F71BBA" w:rsidP="00F71BBA">
      <w:pPr>
        <w:pStyle w:val="FootnoteText"/>
        <w:ind w:left="567" w:hanging="567"/>
        <w:rPr>
          <w:sz w:val="24"/>
          <w:szCs w:val="24"/>
          <w:vertAlign w:val="superscript"/>
          <w:lang w:val="fi-FI"/>
        </w:rPr>
      </w:pPr>
      <w:r w:rsidRPr="00C414D3">
        <w:rPr>
          <w:sz w:val="24"/>
          <w:szCs w:val="24"/>
          <w:lang w:val="fi-FI"/>
        </w:rPr>
        <w:t xml:space="preserve"> </w:t>
      </w:r>
      <w:r w:rsidRPr="00C414D3">
        <w:rPr>
          <w:sz w:val="24"/>
          <w:szCs w:val="24"/>
          <w:lang w:val="fi-FI"/>
        </w:rPr>
        <w:tab/>
      </w:r>
      <w:r w:rsidR="003634DB" w:rsidRPr="00C414D3">
        <w:rPr>
          <w:sz w:val="24"/>
          <w:szCs w:val="24"/>
          <w:lang w:val="fi-FI"/>
        </w:rPr>
        <w:t>–</w:t>
      </w:r>
      <w:r w:rsidR="003634DB" w:rsidRPr="00C414D3">
        <w:rPr>
          <w:sz w:val="24"/>
          <w:szCs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4" w:tooltip="Linkki asiakirjaan sen ELI-tunnukseen perustuvan URI-osoitteen kautta." w:history="1">
        <w:r w:rsidR="003634DB" w:rsidRPr="00C414D3">
          <w:rPr>
            <w:rStyle w:val="Hyperlink"/>
            <w:sz w:val="24"/>
            <w:szCs w:val="24"/>
            <w:lang w:val="fi-FI"/>
          </w:rPr>
          <w:t>http://data.europa.eu/eli/C/2025/2247/oj</w:t>
        </w:r>
      </w:hyperlink>
      <w:r w:rsidR="003634DB" w:rsidRPr="00C414D3">
        <w:rPr>
          <w:sz w:val="24"/>
          <w:szCs w:val="24"/>
          <w:lang w:val="fi-FI"/>
        </w:rPr>
        <w:t>).</w:t>
      </w:r>
    </w:p>
    <w:p w14:paraId="577F8826" w14:textId="04A68D1A" w:rsidR="003634DB" w:rsidRPr="00C414D3" w:rsidRDefault="00F71BBA" w:rsidP="00F71BBA">
      <w:pPr>
        <w:pStyle w:val="FootnoteText"/>
        <w:ind w:left="567" w:hanging="567"/>
        <w:rPr>
          <w:sz w:val="24"/>
          <w:szCs w:val="24"/>
          <w:lang w:val="fi-FI"/>
        </w:rPr>
      </w:pPr>
      <w:r w:rsidRPr="00C414D3">
        <w:rPr>
          <w:sz w:val="24"/>
          <w:szCs w:val="24"/>
          <w:lang w:val="fi-FI"/>
        </w:rPr>
        <w:t xml:space="preserve"> </w:t>
      </w:r>
      <w:r w:rsidRPr="00C414D3">
        <w:rPr>
          <w:sz w:val="24"/>
          <w:szCs w:val="24"/>
          <w:lang w:val="fi-FI"/>
        </w:rPr>
        <w:tab/>
      </w:r>
      <w:r w:rsidR="003634DB" w:rsidRPr="00C414D3">
        <w:rPr>
          <w:sz w:val="24"/>
          <w:szCs w:val="24"/>
          <w:lang w:val="fi-FI"/>
        </w:rPr>
        <w:t>–</w:t>
      </w:r>
      <w:r w:rsidR="003634DB" w:rsidRPr="00C414D3">
        <w:rPr>
          <w:sz w:val="24"/>
          <w:szCs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(P10_</w:t>
      </w:r>
      <w:proofErr w:type="gramStart"/>
      <w:r w:rsidR="003634DB" w:rsidRPr="00C414D3">
        <w:rPr>
          <w:sz w:val="24"/>
          <w:szCs w:val="24"/>
          <w:lang w:val="fi-FI"/>
        </w:rPr>
        <w:t>TA(</w:t>
      </w:r>
      <w:proofErr w:type="gramEnd"/>
      <w:r w:rsidR="003634DB" w:rsidRPr="00C414D3">
        <w:rPr>
          <w:sz w:val="24"/>
          <w:szCs w:val="24"/>
          <w:lang w:val="fi-FI"/>
        </w:rPr>
        <w:t>2025)0106).</w:t>
      </w:r>
    </w:p>
  </w:footnote>
  <w:footnote w:id="6">
    <w:p w14:paraId="52970AF2" w14:textId="247375ED"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 xml:space="preserve">Euroopan parlamentin ja neuvoston asetus (EY) N:o 1107/2009, annettu 21. lokakuuta 2009, kasvinsuojeluaineiden markkinoille saattamisesta sekä neuvoston direktiivien 79/117/ETY ja 91/414/ETY kumoamisesta (EUVL L 309, 24.11.2009, s. 1, ELI: </w:t>
      </w:r>
      <w:hyperlink r:id="rId15" w:tooltip="Linkki asiakirjaan sen ELI-tunnukseen perustuvan URI-osoitteen kautta." w:history="1">
        <w:r w:rsidRPr="00C414D3">
          <w:rPr>
            <w:rStyle w:val="Hyperlink"/>
            <w:sz w:val="24"/>
            <w:szCs w:val="24"/>
            <w:lang w:val="fi-FI"/>
          </w:rPr>
          <w:t>http://data.europa.eu/eli/reg/2009/1107/oj</w:t>
        </w:r>
      </w:hyperlink>
      <w:r w:rsidRPr="00C414D3">
        <w:rPr>
          <w:sz w:val="24"/>
          <w:szCs w:val="24"/>
          <w:lang w:val="fi-FI"/>
        </w:rPr>
        <w:t>).</w:t>
      </w:r>
    </w:p>
  </w:footnote>
  <w:footnote w:id="7">
    <w:p w14:paraId="078BCA66" w14:textId="136F2813"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hyperlink r:id="rId16" w:history="1">
        <w:r w:rsidRPr="00C414D3">
          <w:rPr>
            <w:rStyle w:val="Hyperlink"/>
            <w:sz w:val="24"/>
            <w:szCs w:val="24"/>
            <w:lang w:val="fi-FI"/>
          </w:rPr>
          <w:t>https://www.testbiotech.org/wp-content/uploads/2024/12/Testbiotech_comment_‌maize_DP51291.pdf</w:t>
        </w:r>
      </w:hyperlink>
      <w:r w:rsidRPr="00C414D3">
        <w:rPr>
          <w:sz w:val="24"/>
          <w:szCs w:val="24"/>
          <w:lang w:val="fi-FI"/>
        </w:rPr>
        <w:t>.</w:t>
      </w:r>
    </w:p>
  </w:footnote>
  <w:footnote w:id="8">
    <w:p w14:paraId="18E04E6C" w14:textId="3F505058"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 xml:space="preserve">Komission täytäntöönpanoasetus (EU) N:o 503/2013, annettu 3. huhtikuuta 2013, Euroopan parlamentin ja neuvoston asetuksen (EY) N:o 1829/2003 mukaisista muuntogeenisten elintarvikkeiden ja rehujen lupahakemuksista sekä asetusten (EY) N:o 641/2004 ja (EY) N:o 1981/2006 muuttamisesta (EUVL L 157, 8.6.2013, s. 1, ELI: </w:t>
      </w:r>
      <w:hyperlink r:id="rId17" w:history="1">
        <w:r w:rsidRPr="00C414D3">
          <w:rPr>
            <w:rStyle w:val="Hyperlink"/>
            <w:sz w:val="24"/>
            <w:szCs w:val="24"/>
            <w:lang w:val="fi-FI"/>
          </w:rPr>
          <w:t>http://data.europa.eu/eli/reg_impl/2013/503/oj</w:t>
        </w:r>
      </w:hyperlink>
      <w:r w:rsidRPr="00C414D3">
        <w:rPr>
          <w:sz w:val="24"/>
          <w:szCs w:val="24"/>
          <w:lang w:val="fi-FI"/>
        </w:rPr>
        <w:t>).</w:t>
      </w:r>
    </w:p>
  </w:footnote>
  <w:footnote w:id="9">
    <w:p w14:paraId="702D54E1" w14:textId="0821EDD9"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proofErr w:type="spellStart"/>
      <w:r w:rsidRPr="00C414D3">
        <w:rPr>
          <w:sz w:val="24"/>
          <w:szCs w:val="24"/>
          <w:lang w:val="fi-FI"/>
        </w:rPr>
        <w:t>Trtikova</w:t>
      </w:r>
      <w:proofErr w:type="spellEnd"/>
      <w:r w:rsidRPr="00C414D3">
        <w:rPr>
          <w:sz w:val="24"/>
          <w:szCs w:val="24"/>
          <w:lang w:val="fi-FI"/>
        </w:rPr>
        <w:t xml:space="preserve">, M., Wikmark O. G., </w:t>
      </w:r>
      <w:proofErr w:type="spellStart"/>
      <w:r w:rsidRPr="00C414D3">
        <w:rPr>
          <w:sz w:val="24"/>
          <w:szCs w:val="24"/>
          <w:lang w:val="fi-FI"/>
        </w:rPr>
        <w:t>Zemp</w:t>
      </w:r>
      <w:proofErr w:type="spellEnd"/>
      <w:r w:rsidRPr="00C414D3">
        <w:rPr>
          <w:sz w:val="24"/>
          <w:szCs w:val="24"/>
          <w:lang w:val="fi-FI"/>
        </w:rPr>
        <w:t xml:space="preserve">, N., </w:t>
      </w:r>
      <w:proofErr w:type="spellStart"/>
      <w:r w:rsidRPr="00C414D3">
        <w:rPr>
          <w:sz w:val="24"/>
          <w:szCs w:val="24"/>
          <w:lang w:val="fi-FI"/>
        </w:rPr>
        <w:t>Widmer</w:t>
      </w:r>
      <w:proofErr w:type="spellEnd"/>
      <w:r w:rsidRPr="00C414D3">
        <w:rPr>
          <w:sz w:val="24"/>
          <w:szCs w:val="24"/>
          <w:lang w:val="fi-FI"/>
        </w:rPr>
        <w:t xml:space="preserve">, A., </w:t>
      </w:r>
      <w:proofErr w:type="spellStart"/>
      <w:r w:rsidRPr="00C414D3">
        <w:rPr>
          <w:sz w:val="24"/>
          <w:szCs w:val="24"/>
          <w:lang w:val="fi-FI"/>
        </w:rPr>
        <w:t>Hilbeck</w:t>
      </w:r>
      <w:proofErr w:type="spellEnd"/>
      <w:r w:rsidRPr="00C414D3">
        <w:rPr>
          <w:sz w:val="24"/>
          <w:szCs w:val="24"/>
          <w:lang w:val="fi-FI"/>
        </w:rPr>
        <w:t>, A., (2015) ”</w:t>
      </w:r>
      <w:proofErr w:type="spellStart"/>
      <w:r w:rsidRPr="00C414D3">
        <w:rPr>
          <w:sz w:val="24"/>
          <w:szCs w:val="24"/>
          <w:lang w:val="fi-FI"/>
        </w:rPr>
        <w:t>Transgene</w:t>
      </w:r>
      <w:proofErr w:type="spellEnd"/>
      <w:r w:rsidRPr="00C414D3">
        <w:rPr>
          <w:sz w:val="24"/>
          <w:szCs w:val="24"/>
          <w:lang w:val="fi-FI"/>
        </w:rPr>
        <w:t xml:space="preserve"> </w:t>
      </w:r>
      <w:proofErr w:type="spellStart"/>
      <w:r w:rsidRPr="00C414D3">
        <w:rPr>
          <w:sz w:val="24"/>
          <w:szCs w:val="24"/>
          <w:lang w:val="fi-FI"/>
        </w:rPr>
        <w:t>Expression</w:t>
      </w:r>
      <w:proofErr w:type="spellEnd"/>
      <w:r w:rsidRPr="00C414D3">
        <w:rPr>
          <w:sz w:val="24"/>
          <w:szCs w:val="24"/>
          <w:lang w:val="fi-FI"/>
        </w:rPr>
        <w:t xml:space="preserve"> and </w:t>
      </w:r>
      <w:proofErr w:type="spellStart"/>
      <w:r w:rsidRPr="00C414D3">
        <w:rPr>
          <w:sz w:val="24"/>
          <w:szCs w:val="24"/>
          <w:lang w:val="fi-FI"/>
        </w:rPr>
        <w:t>Bt</w:t>
      </w:r>
      <w:proofErr w:type="spellEnd"/>
      <w:r w:rsidRPr="00C414D3">
        <w:rPr>
          <w:sz w:val="24"/>
          <w:szCs w:val="24"/>
          <w:lang w:val="fi-FI"/>
        </w:rPr>
        <w:t> </w:t>
      </w:r>
      <w:proofErr w:type="spellStart"/>
      <w:r w:rsidRPr="00C414D3">
        <w:rPr>
          <w:sz w:val="24"/>
          <w:szCs w:val="24"/>
          <w:lang w:val="fi-FI"/>
        </w:rPr>
        <w:t>Protein</w:t>
      </w:r>
      <w:proofErr w:type="spellEnd"/>
      <w:r w:rsidRPr="00C414D3">
        <w:rPr>
          <w:sz w:val="24"/>
          <w:szCs w:val="24"/>
          <w:lang w:val="fi-FI"/>
        </w:rPr>
        <w:t xml:space="preserve"> Content in </w:t>
      </w:r>
      <w:proofErr w:type="spellStart"/>
      <w:r w:rsidRPr="00C414D3">
        <w:rPr>
          <w:sz w:val="24"/>
          <w:szCs w:val="24"/>
          <w:lang w:val="fi-FI"/>
        </w:rPr>
        <w:t>Transgenic</w:t>
      </w:r>
      <w:proofErr w:type="spellEnd"/>
      <w:r w:rsidRPr="00C414D3">
        <w:rPr>
          <w:sz w:val="24"/>
          <w:szCs w:val="24"/>
          <w:lang w:val="fi-FI"/>
        </w:rPr>
        <w:t xml:space="preserve"> </w:t>
      </w:r>
      <w:proofErr w:type="spellStart"/>
      <w:r w:rsidRPr="00C414D3">
        <w:rPr>
          <w:sz w:val="24"/>
          <w:szCs w:val="24"/>
          <w:lang w:val="fi-FI"/>
        </w:rPr>
        <w:t>Bt</w:t>
      </w:r>
      <w:proofErr w:type="spellEnd"/>
      <w:r w:rsidRPr="00C414D3">
        <w:rPr>
          <w:sz w:val="24"/>
          <w:szCs w:val="24"/>
          <w:lang w:val="fi-FI"/>
        </w:rPr>
        <w:t xml:space="preserve"> </w:t>
      </w:r>
      <w:proofErr w:type="spellStart"/>
      <w:r w:rsidRPr="00C414D3">
        <w:rPr>
          <w:sz w:val="24"/>
          <w:szCs w:val="24"/>
          <w:lang w:val="fi-FI"/>
        </w:rPr>
        <w:t>Maize</w:t>
      </w:r>
      <w:proofErr w:type="spellEnd"/>
      <w:r w:rsidRPr="00C414D3">
        <w:rPr>
          <w:sz w:val="24"/>
          <w:szCs w:val="24"/>
          <w:lang w:val="fi-FI"/>
        </w:rPr>
        <w:t xml:space="preserve"> (MON810) </w:t>
      </w:r>
      <w:proofErr w:type="spellStart"/>
      <w:r w:rsidRPr="00C414D3">
        <w:rPr>
          <w:sz w:val="24"/>
          <w:szCs w:val="24"/>
          <w:lang w:val="fi-FI"/>
        </w:rPr>
        <w:t>under</w:t>
      </w:r>
      <w:proofErr w:type="spellEnd"/>
      <w:r w:rsidRPr="00C414D3">
        <w:rPr>
          <w:sz w:val="24"/>
          <w:szCs w:val="24"/>
          <w:lang w:val="fi-FI"/>
        </w:rPr>
        <w:t xml:space="preserve"> </w:t>
      </w:r>
      <w:proofErr w:type="spellStart"/>
      <w:r w:rsidRPr="00C414D3">
        <w:rPr>
          <w:sz w:val="24"/>
          <w:szCs w:val="24"/>
          <w:lang w:val="fi-FI"/>
        </w:rPr>
        <w:t>Optimal</w:t>
      </w:r>
      <w:proofErr w:type="spellEnd"/>
      <w:r w:rsidRPr="00C414D3">
        <w:rPr>
          <w:sz w:val="24"/>
          <w:szCs w:val="24"/>
          <w:lang w:val="fi-FI"/>
        </w:rPr>
        <w:t xml:space="preserve"> and </w:t>
      </w:r>
      <w:proofErr w:type="spellStart"/>
      <w:r w:rsidRPr="00C414D3">
        <w:rPr>
          <w:sz w:val="24"/>
          <w:szCs w:val="24"/>
          <w:lang w:val="fi-FI"/>
        </w:rPr>
        <w:t>Stressful</w:t>
      </w:r>
      <w:proofErr w:type="spellEnd"/>
      <w:r w:rsidRPr="00C414D3">
        <w:rPr>
          <w:sz w:val="24"/>
          <w:szCs w:val="24"/>
          <w:lang w:val="fi-FI"/>
        </w:rPr>
        <w:t xml:space="preserve"> </w:t>
      </w:r>
      <w:proofErr w:type="spellStart"/>
      <w:r w:rsidRPr="00C414D3">
        <w:rPr>
          <w:sz w:val="24"/>
          <w:szCs w:val="24"/>
          <w:lang w:val="fi-FI"/>
        </w:rPr>
        <w:t>Environmental</w:t>
      </w:r>
      <w:proofErr w:type="spellEnd"/>
      <w:r w:rsidRPr="00C414D3">
        <w:rPr>
          <w:sz w:val="24"/>
          <w:szCs w:val="24"/>
          <w:lang w:val="fi-FI"/>
        </w:rPr>
        <w:t xml:space="preserve"> </w:t>
      </w:r>
      <w:proofErr w:type="spellStart"/>
      <w:r w:rsidRPr="00C414D3">
        <w:rPr>
          <w:sz w:val="24"/>
          <w:szCs w:val="24"/>
          <w:lang w:val="fi-FI"/>
        </w:rPr>
        <w:t>Conditions</w:t>
      </w:r>
      <w:proofErr w:type="spellEnd"/>
      <w:r w:rsidRPr="00C414D3">
        <w:rPr>
          <w:sz w:val="24"/>
          <w:szCs w:val="24"/>
          <w:lang w:val="fi-FI"/>
        </w:rPr>
        <w:t xml:space="preserve">”, </w:t>
      </w:r>
      <w:proofErr w:type="spellStart"/>
      <w:r w:rsidRPr="00C414D3">
        <w:rPr>
          <w:sz w:val="24"/>
          <w:szCs w:val="24"/>
          <w:lang w:val="fi-FI"/>
        </w:rPr>
        <w:t>PLoS</w:t>
      </w:r>
      <w:proofErr w:type="spellEnd"/>
      <w:r w:rsidRPr="00C414D3">
        <w:rPr>
          <w:sz w:val="24"/>
          <w:szCs w:val="24"/>
          <w:lang w:val="fi-FI"/>
        </w:rPr>
        <w:t xml:space="preserve"> ONE 10(4): e0123011, </w:t>
      </w:r>
      <w:hyperlink r:id="rId18" w:history="1">
        <w:r w:rsidRPr="00C414D3">
          <w:rPr>
            <w:rStyle w:val="Hyperlink"/>
            <w:sz w:val="24"/>
            <w:szCs w:val="24"/>
            <w:lang w:val="fi-FI"/>
          </w:rPr>
          <w:t>https://doi.org/10.1371/journal.pone.0123011</w:t>
        </w:r>
      </w:hyperlink>
      <w:r w:rsidRPr="00C414D3">
        <w:rPr>
          <w:sz w:val="24"/>
          <w:szCs w:val="24"/>
          <w:lang w:val="fi-FI"/>
        </w:rPr>
        <w:t>.</w:t>
      </w:r>
    </w:p>
  </w:footnote>
  <w:footnote w:id="10">
    <w:p w14:paraId="161E3F2A" w14:textId="5EBD460A"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 xml:space="preserve">Ks. </w:t>
      </w:r>
      <w:proofErr w:type="spellStart"/>
      <w:r w:rsidRPr="00C414D3">
        <w:rPr>
          <w:sz w:val="24"/>
          <w:szCs w:val="24"/>
          <w:lang w:val="fi-FI"/>
        </w:rPr>
        <w:t>edsim</w:t>
      </w:r>
      <w:proofErr w:type="spellEnd"/>
      <w:r w:rsidRPr="00C414D3">
        <w:rPr>
          <w:sz w:val="24"/>
          <w:szCs w:val="24"/>
          <w:lang w:val="fi-FI"/>
        </w:rPr>
        <w:t xml:space="preserve">. </w:t>
      </w:r>
      <w:proofErr w:type="spellStart"/>
      <w:r w:rsidRPr="00C414D3">
        <w:rPr>
          <w:sz w:val="24"/>
          <w:szCs w:val="24"/>
          <w:lang w:val="fi-FI"/>
        </w:rPr>
        <w:t>Schulz</w:t>
      </w:r>
      <w:proofErr w:type="spellEnd"/>
      <w:r w:rsidRPr="00C414D3">
        <w:rPr>
          <w:sz w:val="24"/>
          <w:szCs w:val="24"/>
          <w:lang w:val="fi-FI"/>
        </w:rPr>
        <w:t xml:space="preserve">, R., </w:t>
      </w:r>
      <w:proofErr w:type="spellStart"/>
      <w:r w:rsidRPr="00C414D3">
        <w:rPr>
          <w:sz w:val="24"/>
          <w:szCs w:val="24"/>
          <w:lang w:val="fi-FI"/>
        </w:rPr>
        <w:t>Bub</w:t>
      </w:r>
      <w:proofErr w:type="spellEnd"/>
      <w:r w:rsidRPr="00C414D3">
        <w:rPr>
          <w:sz w:val="24"/>
          <w:szCs w:val="24"/>
          <w:lang w:val="fi-FI"/>
        </w:rPr>
        <w:t xml:space="preserve">, S., </w:t>
      </w:r>
      <w:proofErr w:type="spellStart"/>
      <w:r w:rsidRPr="00C414D3">
        <w:rPr>
          <w:sz w:val="24"/>
          <w:szCs w:val="24"/>
          <w:lang w:val="fi-FI"/>
        </w:rPr>
        <w:t>Petschick</w:t>
      </w:r>
      <w:proofErr w:type="spellEnd"/>
      <w:r w:rsidRPr="00C414D3">
        <w:rPr>
          <w:sz w:val="24"/>
          <w:szCs w:val="24"/>
          <w:lang w:val="fi-FI"/>
        </w:rPr>
        <w:t xml:space="preserve">, L. L., </w:t>
      </w:r>
      <w:proofErr w:type="spellStart"/>
      <w:r w:rsidRPr="00C414D3">
        <w:rPr>
          <w:sz w:val="24"/>
          <w:szCs w:val="24"/>
          <w:lang w:val="fi-FI"/>
        </w:rPr>
        <w:t>Stehle</w:t>
      </w:r>
      <w:proofErr w:type="spellEnd"/>
      <w:r w:rsidRPr="00C414D3">
        <w:rPr>
          <w:sz w:val="24"/>
          <w:szCs w:val="24"/>
          <w:lang w:val="fi-FI"/>
        </w:rPr>
        <w:t xml:space="preserve">, S., </w:t>
      </w:r>
      <w:proofErr w:type="spellStart"/>
      <w:r w:rsidRPr="00C414D3">
        <w:rPr>
          <w:sz w:val="24"/>
          <w:szCs w:val="24"/>
          <w:lang w:val="fi-FI"/>
        </w:rPr>
        <w:t>Wolfram</w:t>
      </w:r>
      <w:proofErr w:type="spellEnd"/>
      <w:r w:rsidRPr="00C414D3">
        <w:rPr>
          <w:sz w:val="24"/>
          <w:szCs w:val="24"/>
          <w:lang w:val="fi-FI"/>
        </w:rPr>
        <w:t>, J., (2021) ”</w:t>
      </w:r>
      <w:proofErr w:type="spellStart"/>
      <w:r w:rsidRPr="00C414D3">
        <w:rPr>
          <w:sz w:val="24"/>
          <w:szCs w:val="24"/>
          <w:lang w:val="fi-FI"/>
        </w:rPr>
        <w:t>Applied</w:t>
      </w:r>
      <w:proofErr w:type="spellEnd"/>
      <w:r w:rsidRPr="00C414D3">
        <w:rPr>
          <w:sz w:val="24"/>
          <w:szCs w:val="24"/>
          <w:lang w:val="fi-FI"/>
        </w:rPr>
        <w:t xml:space="preserve"> </w:t>
      </w:r>
      <w:proofErr w:type="spellStart"/>
      <w:r w:rsidRPr="00C414D3">
        <w:rPr>
          <w:sz w:val="24"/>
          <w:szCs w:val="24"/>
          <w:lang w:val="fi-FI"/>
        </w:rPr>
        <w:t>pesticide</w:t>
      </w:r>
      <w:proofErr w:type="spellEnd"/>
      <w:r w:rsidRPr="00C414D3">
        <w:rPr>
          <w:sz w:val="24"/>
          <w:szCs w:val="24"/>
          <w:lang w:val="fi-FI"/>
        </w:rPr>
        <w:t xml:space="preserve"> </w:t>
      </w:r>
      <w:proofErr w:type="spellStart"/>
      <w:r w:rsidRPr="00C414D3">
        <w:rPr>
          <w:sz w:val="24"/>
          <w:szCs w:val="24"/>
          <w:lang w:val="fi-FI"/>
        </w:rPr>
        <w:t>toxicity</w:t>
      </w:r>
      <w:proofErr w:type="spellEnd"/>
      <w:r w:rsidRPr="00C414D3">
        <w:rPr>
          <w:sz w:val="24"/>
          <w:szCs w:val="24"/>
          <w:lang w:val="fi-FI"/>
        </w:rPr>
        <w:t xml:space="preserve"> </w:t>
      </w:r>
      <w:proofErr w:type="spellStart"/>
      <w:r w:rsidRPr="00C414D3">
        <w:rPr>
          <w:sz w:val="24"/>
          <w:szCs w:val="24"/>
          <w:lang w:val="fi-FI"/>
        </w:rPr>
        <w:t>shifts</w:t>
      </w:r>
      <w:proofErr w:type="spellEnd"/>
      <w:r w:rsidRPr="00C414D3">
        <w:rPr>
          <w:sz w:val="24"/>
          <w:szCs w:val="24"/>
          <w:lang w:val="fi-FI"/>
        </w:rPr>
        <w:t xml:space="preserve"> </w:t>
      </w:r>
      <w:proofErr w:type="spellStart"/>
      <w:r w:rsidRPr="00C414D3">
        <w:rPr>
          <w:sz w:val="24"/>
          <w:szCs w:val="24"/>
          <w:lang w:val="fi-FI"/>
        </w:rPr>
        <w:t>toward</w:t>
      </w:r>
      <w:proofErr w:type="spellEnd"/>
      <w:r w:rsidRPr="00C414D3">
        <w:rPr>
          <w:sz w:val="24"/>
          <w:szCs w:val="24"/>
          <w:lang w:val="fi-FI"/>
        </w:rPr>
        <w:t xml:space="preserve"> </w:t>
      </w:r>
      <w:proofErr w:type="spellStart"/>
      <w:r w:rsidRPr="00C414D3">
        <w:rPr>
          <w:sz w:val="24"/>
          <w:szCs w:val="24"/>
          <w:lang w:val="fi-FI"/>
        </w:rPr>
        <w:t>plants</w:t>
      </w:r>
      <w:proofErr w:type="spellEnd"/>
      <w:r w:rsidRPr="00C414D3">
        <w:rPr>
          <w:sz w:val="24"/>
          <w:szCs w:val="24"/>
          <w:lang w:val="fi-FI"/>
        </w:rPr>
        <w:t xml:space="preserve"> and </w:t>
      </w:r>
      <w:proofErr w:type="spellStart"/>
      <w:r w:rsidRPr="00C414D3">
        <w:rPr>
          <w:sz w:val="24"/>
          <w:szCs w:val="24"/>
          <w:lang w:val="fi-FI"/>
        </w:rPr>
        <w:t>invertebrates</w:t>
      </w:r>
      <w:proofErr w:type="spellEnd"/>
      <w:r w:rsidRPr="00C414D3">
        <w:rPr>
          <w:sz w:val="24"/>
          <w:szCs w:val="24"/>
          <w:lang w:val="fi-FI"/>
        </w:rPr>
        <w:t xml:space="preserve">, </w:t>
      </w:r>
      <w:proofErr w:type="spellStart"/>
      <w:r w:rsidRPr="00C414D3">
        <w:rPr>
          <w:sz w:val="24"/>
          <w:szCs w:val="24"/>
          <w:lang w:val="fi-FI"/>
        </w:rPr>
        <w:t>even</w:t>
      </w:r>
      <w:proofErr w:type="spellEnd"/>
      <w:r w:rsidRPr="00C414D3">
        <w:rPr>
          <w:sz w:val="24"/>
          <w:szCs w:val="24"/>
          <w:lang w:val="fi-FI"/>
        </w:rPr>
        <w:t xml:space="preserve"> in GM </w:t>
      </w:r>
      <w:proofErr w:type="spellStart"/>
      <w:r w:rsidRPr="00C414D3">
        <w:rPr>
          <w:sz w:val="24"/>
          <w:szCs w:val="24"/>
          <w:lang w:val="fi-FI"/>
        </w:rPr>
        <w:t>crops</w:t>
      </w:r>
      <w:proofErr w:type="spellEnd"/>
      <w:r w:rsidRPr="00C414D3">
        <w:rPr>
          <w:sz w:val="24"/>
          <w:szCs w:val="24"/>
          <w:lang w:val="fi-FI"/>
        </w:rPr>
        <w:t xml:space="preserve">”, Science 372(6537), s. 81–84, </w:t>
      </w:r>
      <w:hyperlink r:id="rId19" w:history="1">
        <w:r w:rsidRPr="00C414D3">
          <w:rPr>
            <w:rStyle w:val="Hyperlink"/>
            <w:sz w:val="24"/>
            <w:szCs w:val="24"/>
            <w:lang w:val="fi-FI"/>
          </w:rPr>
          <w:t>https://doi.org/10.1126/science.abe1148</w:t>
        </w:r>
      </w:hyperlink>
      <w:r w:rsidRPr="00C414D3">
        <w:rPr>
          <w:sz w:val="24"/>
          <w:szCs w:val="24"/>
          <w:lang w:val="fi-FI"/>
        </w:rPr>
        <w:t xml:space="preserve">; </w:t>
      </w:r>
      <w:proofErr w:type="spellStart"/>
      <w:r w:rsidRPr="00C414D3">
        <w:rPr>
          <w:sz w:val="24"/>
          <w:szCs w:val="24"/>
          <w:lang w:val="fi-FI"/>
        </w:rPr>
        <w:t>Bonny</w:t>
      </w:r>
      <w:proofErr w:type="spellEnd"/>
      <w:r w:rsidRPr="00C414D3">
        <w:rPr>
          <w:sz w:val="24"/>
          <w:szCs w:val="24"/>
          <w:lang w:val="fi-FI"/>
        </w:rPr>
        <w:t>, S., ”</w:t>
      </w:r>
      <w:proofErr w:type="spellStart"/>
      <w:r w:rsidRPr="00C414D3">
        <w:rPr>
          <w:sz w:val="24"/>
          <w:szCs w:val="24"/>
          <w:lang w:val="fi-FI"/>
        </w:rPr>
        <w:t>Genetically</w:t>
      </w:r>
      <w:proofErr w:type="spellEnd"/>
      <w:r w:rsidRPr="00C414D3">
        <w:rPr>
          <w:sz w:val="24"/>
          <w:szCs w:val="24"/>
          <w:lang w:val="fi-FI"/>
        </w:rPr>
        <w:t xml:space="preserve"> </w:t>
      </w:r>
      <w:proofErr w:type="spellStart"/>
      <w:r w:rsidRPr="00C414D3">
        <w:rPr>
          <w:sz w:val="24"/>
          <w:szCs w:val="24"/>
          <w:lang w:val="fi-FI"/>
        </w:rPr>
        <w:t>Modified</w:t>
      </w:r>
      <w:proofErr w:type="spellEnd"/>
      <w:r w:rsidRPr="00C414D3">
        <w:rPr>
          <w:sz w:val="24"/>
          <w:szCs w:val="24"/>
          <w:lang w:val="fi-FI"/>
        </w:rPr>
        <w:t xml:space="preserve"> </w:t>
      </w:r>
      <w:proofErr w:type="spellStart"/>
      <w:r w:rsidRPr="00C414D3">
        <w:rPr>
          <w:sz w:val="24"/>
          <w:szCs w:val="24"/>
          <w:lang w:val="fi-FI"/>
        </w:rPr>
        <w:t>Herbicide-Tolerant</w:t>
      </w:r>
      <w:proofErr w:type="spellEnd"/>
      <w:r w:rsidRPr="00C414D3">
        <w:rPr>
          <w:sz w:val="24"/>
          <w:szCs w:val="24"/>
          <w:lang w:val="fi-FI"/>
        </w:rPr>
        <w:t xml:space="preserve"> </w:t>
      </w:r>
      <w:proofErr w:type="spellStart"/>
      <w:r w:rsidRPr="00C414D3">
        <w:rPr>
          <w:sz w:val="24"/>
          <w:szCs w:val="24"/>
          <w:lang w:val="fi-FI"/>
        </w:rPr>
        <w:t>Crops</w:t>
      </w:r>
      <w:proofErr w:type="spellEnd"/>
      <w:r w:rsidRPr="00C414D3">
        <w:rPr>
          <w:sz w:val="24"/>
          <w:szCs w:val="24"/>
          <w:lang w:val="fi-FI"/>
        </w:rPr>
        <w:t xml:space="preserve">, </w:t>
      </w:r>
      <w:proofErr w:type="spellStart"/>
      <w:r w:rsidRPr="00C414D3">
        <w:rPr>
          <w:sz w:val="24"/>
          <w:szCs w:val="24"/>
          <w:lang w:val="fi-FI"/>
        </w:rPr>
        <w:t>Weeds</w:t>
      </w:r>
      <w:proofErr w:type="spellEnd"/>
      <w:r w:rsidRPr="00C414D3">
        <w:rPr>
          <w:sz w:val="24"/>
          <w:szCs w:val="24"/>
          <w:lang w:val="fi-FI"/>
        </w:rPr>
        <w:t xml:space="preserve">, and </w:t>
      </w:r>
      <w:proofErr w:type="spellStart"/>
      <w:r w:rsidRPr="00C414D3">
        <w:rPr>
          <w:sz w:val="24"/>
          <w:szCs w:val="24"/>
          <w:lang w:val="fi-FI"/>
        </w:rPr>
        <w:t>Herbicides</w:t>
      </w:r>
      <w:proofErr w:type="spellEnd"/>
      <w:r w:rsidRPr="00C414D3">
        <w:rPr>
          <w:sz w:val="24"/>
          <w:szCs w:val="24"/>
          <w:lang w:val="fi-FI"/>
        </w:rPr>
        <w:t xml:space="preserve">: </w:t>
      </w:r>
      <w:proofErr w:type="spellStart"/>
      <w:r w:rsidRPr="00C414D3">
        <w:rPr>
          <w:sz w:val="24"/>
          <w:szCs w:val="24"/>
          <w:lang w:val="fi-FI"/>
        </w:rPr>
        <w:t>Overview</w:t>
      </w:r>
      <w:proofErr w:type="spellEnd"/>
      <w:r w:rsidRPr="00C414D3">
        <w:rPr>
          <w:sz w:val="24"/>
          <w:szCs w:val="24"/>
          <w:lang w:val="fi-FI"/>
        </w:rPr>
        <w:t xml:space="preserve"> and </w:t>
      </w:r>
      <w:proofErr w:type="spellStart"/>
      <w:r w:rsidRPr="00C414D3">
        <w:rPr>
          <w:sz w:val="24"/>
          <w:szCs w:val="24"/>
          <w:lang w:val="fi-FI"/>
        </w:rPr>
        <w:t>Impact</w:t>
      </w:r>
      <w:proofErr w:type="spellEnd"/>
      <w:r w:rsidRPr="00C414D3">
        <w:rPr>
          <w:sz w:val="24"/>
          <w:szCs w:val="24"/>
          <w:lang w:val="fi-FI"/>
        </w:rPr>
        <w:t xml:space="preserve">”, </w:t>
      </w:r>
      <w:proofErr w:type="spellStart"/>
      <w:r w:rsidRPr="00C414D3">
        <w:rPr>
          <w:sz w:val="24"/>
          <w:szCs w:val="24"/>
          <w:lang w:val="fi-FI"/>
        </w:rPr>
        <w:t>Environmental</w:t>
      </w:r>
      <w:proofErr w:type="spellEnd"/>
      <w:r w:rsidRPr="00C414D3">
        <w:rPr>
          <w:sz w:val="24"/>
          <w:szCs w:val="24"/>
          <w:lang w:val="fi-FI"/>
        </w:rPr>
        <w:t xml:space="preserve"> Management, tammikuu 2016; 57(1), s. 31–48, </w:t>
      </w:r>
      <w:hyperlink r:id="rId20" w:history="1">
        <w:r w:rsidRPr="00C414D3">
          <w:rPr>
            <w:rStyle w:val="Hyperlink"/>
            <w:sz w:val="24"/>
            <w:szCs w:val="24"/>
            <w:lang w:val="fi-FI"/>
          </w:rPr>
          <w:t>https://www.ncbi.nlm.nih.gov/pubmed/26296738</w:t>
        </w:r>
      </w:hyperlink>
      <w:r w:rsidRPr="00C414D3">
        <w:rPr>
          <w:sz w:val="24"/>
          <w:szCs w:val="24"/>
          <w:lang w:val="fi-FI"/>
        </w:rPr>
        <w:t xml:space="preserve">; sekä </w:t>
      </w:r>
      <w:proofErr w:type="spellStart"/>
      <w:r w:rsidRPr="00C414D3">
        <w:rPr>
          <w:sz w:val="24"/>
          <w:szCs w:val="24"/>
          <w:lang w:val="fi-FI"/>
        </w:rPr>
        <w:t>Benbrook</w:t>
      </w:r>
      <w:proofErr w:type="spellEnd"/>
      <w:r w:rsidRPr="00C414D3">
        <w:rPr>
          <w:sz w:val="24"/>
          <w:szCs w:val="24"/>
          <w:lang w:val="fi-FI"/>
        </w:rPr>
        <w:t>, C. M., ”</w:t>
      </w:r>
      <w:proofErr w:type="spellStart"/>
      <w:r w:rsidRPr="00C414D3">
        <w:rPr>
          <w:sz w:val="24"/>
          <w:szCs w:val="24"/>
          <w:lang w:val="fi-FI"/>
        </w:rPr>
        <w:t>Impacts</w:t>
      </w:r>
      <w:proofErr w:type="spellEnd"/>
      <w:r w:rsidRPr="00C414D3">
        <w:rPr>
          <w:sz w:val="24"/>
          <w:szCs w:val="24"/>
          <w:lang w:val="fi-FI"/>
        </w:rPr>
        <w:t xml:space="preserve"> of </w:t>
      </w:r>
      <w:proofErr w:type="spellStart"/>
      <w:r w:rsidRPr="00C414D3">
        <w:rPr>
          <w:sz w:val="24"/>
          <w:szCs w:val="24"/>
          <w:lang w:val="fi-FI"/>
        </w:rPr>
        <w:t>genetically</w:t>
      </w:r>
      <w:proofErr w:type="spellEnd"/>
      <w:r w:rsidRPr="00C414D3">
        <w:rPr>
          <w:sz w:val="24"/>
          <w:szCs w:val="24"/>
          <w:lang w:val="fi-FI"/>
        </w:rPr>
        <w:t xml:space="preserve"> </w:t>
      </w:r>
      <w:proofErr w:type="spellStart"/>
      <w:r w:rsidRPr="00C414D3">
        <w:rPr>
          <w:sz w:val="24"/>
          <w:szCs w:val="24"/>
          <w:lang w:val="fi-FI"/>
        </w:rPr>
        <w:t>engineered</w:t>
      </w:r>
      <w:proofErr w:type="spellEnd"/>
      <w:r w:rsidRPr="00C414D3">
        <w:rPr>
          <w:sz w:val="24"/>
          <w:szCs w:val="24"/>
          <w:lang w:val="fi-FI"/>
        </w:rPr>
        <w:t xml:space="preserve"> </w:t>
      </w:r>
      <w:proofErr w:type="spellStart"/>
      <w:r w:rsidRPr="00C414D3">
        <w:rPr>
          <w:sz w:val="24"/>
          <w:szCs w:val="24"/>
          <w:lang w:val="fi-FI"/>
        </w:rPr>
        <w:t>crops</w:t>
      </w:r>
      <w:proofErr w:type="spellEnd"/>
      <w:r w:rsidRPr="00C414D3">
        <w:rPr>
          <w:sz w:val="24"/>
          <w:szCs w:val="24"/>
          <w:lang w:val="fi-FI"/>
        </w:rPr>
        <w:t xml:space="preserve"> on </w:t>
      </w:r>
      <w:proofErr w:type="spellStart"/>
      <w:r w:rsidRPr="00C414D3">
        <w:rPr>
          <w:sz w:val="24"/>
          <w:szCs w:val="24"/>
          <w:lang w:val="fi-FI"/>
        </w:rPr>
        <w:t>pesticide</w:t>
      </w:r>
      <w:proofErr w:type="spellEnd"/>
      <w:r w:rsidRPr="00C414D3">
        <w:rPr>
          <w:sz w:val="24"/>
          <w:szCs w:val="24"/>
          <w:lang w:val="fi-FI"/>
        </w:rPr>
        <w:t xml:space="preserve"> </w:t>
      </w:r>
      <w:proofErr w:type="spellStart"/>
      <w:r w:rsidRPr="00C414D3">
        <w:rPr>
          <w:sz w:val="24"/>
          <w:szCs w:val="24"/>
          <w:lang w:val="fi-FI"/>
        </w:rPr>
        <w:t>use</w:t>
      </w:r>
      <w:proofErr w:type="spellEnd"/>
      <w:r w:rsidRPr="00C414D3">
        <w:rPr>
          <w:sz w:val="24"/>
          <w:szCs w:val="24"/>
          <w:lang w:val="fi-FI"/>
        </w:rPr>
        <w:t xml:space="preserve"> in </w:t>
      </w:r>
      <w:proofErr w:type="spellStart"/>
      <w:r w:rsidRPr="00C414D3">
        <w:rPr>
          <w:sz w:val="24"/>
          <w:szCs w:val="24"/>
          <w:lang w:val="fi-FI"/>
        </w:rPr>
        <w:t>the</w:t>
      </w:r>
      <w:proofErr w:type="spellEnd"/>
      <w:r w:rsidRPr="00C414D3">
        <w:rPr>
          <w:sz w:val="24"/>
          <w:szCs w:val="24"/>
          <w:lang w:val="fi-FI"/>
        </w:rPr>
        <w:t xml:space="preserve"> U.S. – </w:t>
      </w:r>
      <w:proofErr w:type="spellStart"/>
      <w:r w:rsidRPr="00C414D3">
        <w:rPr>
          <w:sz w:val="24"/>
          <w:szCs w:val="24"/>
          <w:lang w:val="fi-FI"/>
        </w:rPr>
        <w:t>the</w:t>
      </w:r>
      <w:proofErr w:type="spellEnd"/>
      <w:r w:rsidRPr="00C414D3">
        <w:rPr>
          <w:sz w:val="24"/>
          <w:szCs w:val="24"/>
          <w:lang w:val="fi-FI"/>
        </w:rPr>
        <w:t xml:space="preserve"> </w:t>
      </w:r>
      <w:proofErr w:type="spellStart"/>
      <w:r w:rsidRPr="00C414D3">
        <w:rPr>
          <w:sz w:val="24"/>
          <w:szCs w:val="24"/>
          <w:lang w:val="fi-FI"/>
        </w:rPr>
        <w:t>first</w:t>
      </w:r>
      <w:proofErr w:type="spellEnd"/>
      <w:r w:rsidRPr="00C414D3">
        <w:rPr>
          <w:sz w:val="24"/>
          <w:szCs w:val="24"/>
          <w:lang w:val="fi-FI"/>
        </w:rPr>
        <w:t xml:space="preserve"> </w:t>
      </w:r>
      <w:proofErr w:type="spellStart"/>
      <w:r w:rsidRPr="00C414D3">
        <w:rPr>
          <w:sz w:val="24"/>
          <w:szCs w:val="24"/>
          <w:lang w:val="fi-FI"/>
        </w:rPr>
        <w:t>sixteen</w:t>
      </w:r>
      <w:proofErr w:type="spellEnd"/>
      <w:r w:rsidRPr="00C414D3">
        <w:rPr>
          <w:sz w:val="24"/>
          <w:szCs w:val="24"/>
          <w:lang w:val="fi-FI"/>
        </w:rPr>
        <w:t xml:space="preserve"> </w:t>
      </w:r>
      <w:proofErr w:type="spellStart"/>
      <w:r w:rsidRPr="00C414D3">
        <w:rPr>
          <w:sz w:val="24"/>
          <w:szCs w:val="24"/>
          <w:lang w:val="fi-FI"/>
        </w:rPr>
        <w:t>years</w:t>
      </w:r>
      <w:proofErr w:type="spellEnd"/>
      <w:r w:rsidRPr="00C414D3">
        <w:rPr>
          <w:sz w:val="24"/>
          <w:szCs w:val="24"/>
          <w:lang w:val="fi-FI"/>
        </w:rPr>
        <w:t xml:space="preserve">”, </w:t>
      </w:r>
      <w:proofErr w:type="spellStart"/>
      <w:r w:rsidRPr="00C414D3">
        <w:rPr>
          <w:sz w:val="24"/>
          <w:szCs w:val="24"/>
          <w:lang w:val="fi-FI"/>
        </w:rPr>
        <w:t>Environmental</w:t>
      </w:r>
      <w:proofErr w:type="spellEnd"/>
      <w:r w:rsidRPr="00C414D3">
        <w:rPr>
          <w:sz w:val="24"/>
          <w:szCs w:val="24"/>
          <w:lang w:val="fi-FI"/>
        </w:rPr>
        <w:t xml:space="preserve"> Sciences Europe, 28. syyskuuta 2012, Vol. 24(24), </w:t>
      </w:r>
      <w:hyperlink r:id="rId21" w:history="1">
        <w:r w:rsidRPr="00C414D3">
          <w:rPr>
            <w:rStyle w:val="Hyperlink"/>
            <w:sz w:val="24"/>
            <w:szCs w:val="24"/>
            <w:lang w:val="fi-FI"/>
          </w:rPr>
          <w:t>https://doi.org/10.1186/2190-4715-24-24</w:t>
        </w:r>
      </w:hyperlink>
      <w:r w:rsidRPr="00C414D3">
        <w:rPr>
          <w:sz w:val="24"/>
          <w:szCs w:val="24"/>
          <w:lang w:val="fi-FI"/>
        </w:rPr>
        <w:t>.</w:t>
      </w:r>
    </w:p>
  </w:footnote>
  <w:footnote w:id="11">
    <w:p w14:paraId="2169F8D0" w14:textId="1EEBCA53" w:rsidR="003634DB" w:rsidRPr="00EF7F27" w:rsidRDefault="003634DB" w:rsidP="00F71BBA">
      <w:pPr>
        <w:pStyle w:val="FootnoteText"/>
        <w:ind w:left="567" w:hanging="567"/>
        <w:rPr>
          <w:sz w:val="24"/>
          <w:szCs w:val="24"/>
          <w:lang w:val="en-GB"/>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 xml:space="preserve">Katsaus aiheeseen, ks. </w:t>
      </w:r>
      <w:r w:rsidRPr="00EF7F27">
        <w:rPr>
          <w:sz w:val="24"/>
          <w:szCs w:val="24"/>
          <w:lang w:val="en-GB"/>
        </w:rPr>
        <w:t>Rubio-Infante, N., Moreno-</w:t>
      </w:r>
      <w:proofErr w:type="spellStart"/>
      <w:r w:rsidRPr="00EF7F27">
        <w:rPr>
          <w:sz w:val="24"/>
          <w:szCs w:val="24"/>
          <w:lang w:val="en-GB"/>
        </w:rPr>
        <w:t>Fierros</w:t>
      </w:r>
      <w:proofErr w:type="spellEnd"/>
      <w:r w:rsidRPr="00EF7F27">
        <w:rPr>
          <w:sz w:val="24"/>
          <w:szCs w:val="24"/>
          <w:lang w:val="en-GB"/>
        </w:rPr>
        <w:t xml:space="preserve">, L., ”An overview of the safety and biological effects of </w:t>
      </w:r>
      <w:r w:rsidRPr="00EF7F27">
        <w:rPr>
          <w:i/>
          <w:iCs/>
          <w:sz w:val="24"/>
          <w:szCs w:val="24"/>
          <w:lang w:val="en-GB"/>
        </w:rPr>
        <w:t>Bacillus thuringiensis</w:t>
      </w:r>
      <w:r w:rsidRPr="00EF7F27">
        <w:rPr>
          <w:sz w:val="24"/>
          <w:szCs w:val="24"/>
          <w:lang w:val="en-GB"/>
        </w:rPr>
        <w:t xml:space="preserve"> Cry toxins in mammals”, Journal of Applied Toxicology, </w:t>
      </w:r>
      <w:proofErr w:type="spellStart"/>
      <w:r w:rsidRPr="00EF7F27">
        <w:rPr>
          <w:sz w:val="24"/>
          <w:szCs w:val="24"/>
          <w:lang w:val="en-GB"/>
        </w:rPr>
        <w:t>toukokuu</w:t>
      </w:r>
      <w:proofErr w:type="spellEnd"/>
      <w:r w:rsidRPr="00EF7F27">
        <w:rPr>
          <w:sz w:val="24"/>
          <w:szCs w:val="24"/>
          <w:lang w:val="en-GB"/>
        </w:rPr>
        <w:t xml:space="preserve"> 2016, 36(5), s. 630–648, </w:t>
      </w:r>
      <w:hyperlink r:id="rId22" w:history="1">
        <w:r w:rsidRPr="00EF7F27">
          <w:rPr>
            <w:rStyle w:val="Hyperlink"/>
            <w:sz w:val="24"/>
            <w:szCs w:val="24"/>
            <w:lang w:val="en-GB"/>
          </w:rPr>
          <w:t>https://onlinelibrary.wiley.com/doi/full/10.1002/jat.3252</w:t>
        </w:r>
      </w:hyperlink>
      <w:r w:rsidRPr="00EF7F27">
        <w:rPr>
          <w:sz w:val="24"/>
          <w:szCs w:val="24"/>
          <w:lang w:val="en-GB"/>
        </w:rPr>
        <w:t>.</w:t>
      </w:r>
    </w:p>
  </w:footnote>
  <w:footnote w:id="12">
    <w:p w14:paraId="797B1322" w14:textId="63C24E50" w:rsidR="003634DB" w:rsidRPr="00EF7F27" w:rsidRDefault="003634DB" w:rsidP="00F71BBA">
      <w:pPr>
        <w:pStyle w:val="FootnoteText"/>
        <w:ind w:left="567" w:hanging="567"/>
        <w:rPr>
          <w:sz w:val="24"/>
          <w:szCs w:val="24"/>
          <w:lang w:val="en-GB"/>
        </w:rPr>
      </w:pPr>
      <w:r w:rsidRPr="00C414D3">
        <w:rPr>
          <w:rStyle w:val="FootnoteReference"/>
          <w:sz w:val="24"/>
          <w:lang w:val="fi-FI"/>
        </w:rPr>
        <w:footnoteRef/>
      </w:r>
      <w:r w:rsidR="00F71BBA" w:rsidRPr="00EF7F27">
        <w:rPr>
          <w:sz w:val="24"/>
          <w:szCs w:val="24"/>
          <w:lang w:val="en-GB"/>
        </w:rPr>
        <w:t xml:space="preserve"> </w:t>
      </w:r>
      <w:r w:rsidR="00F71BBA" w:rsidRPr="00EF7F27">
        <w:rPr>
          <w:sz w:val="24"/>
          <w:szCs w:val="24"/>
          <w:lang w:val="en-GB"/>
        </w:rPr>
        <w:tab/>
      </w:r>
      <w:proofErr w:type="spellStart"/>
      <w:r w:rsidRPr="00EF7F27">
        <w:rPr>
          <w:sz w:val="24"/>
          <w:szCs w:val="24"/>
          <w:lang w:val="en-GB"/>
        </w:rPr>
        <w:t>Bøhn</w:t>
      </w:r>
      <w:proofErr w:type="spellEnd"/>
      <w:r w:rsidRPr="00EF7F27">
        <w:rPr>
          <w:sz w:val="24"/>
          <w:szCs w:val="24"/>
          <w:lang w:val="en-GB"/>
        </w:rPr>
        <w:t xml:space="preserve">, T., </w:t>
      </w:r>
      <w:proofErr w:type="spellStart"/>
      <w:r w:rsidRPr="00EF7F27">
        <w:rPr>
          <w:sz w:val="24"/>
          <w:szCs w:val="24"/>
          <w:lang w:val="en-GB"/>
        </w:rPr>
        <w:t>Macagnan</w:t>
      </w:r>
      <w:proofErr w:type="spellEnd"/>
      <w:r w:rsidRPr="00EF7F27">
        <w:rPr>
          <w:sz w:val="24"/>
          <w:szCs w:val="24"/>
          <w:lang w:val="en-GB"/>
        </w:rPr>
        <w:t xml:space="preserve"> Rover, C., </w:t>
      </w:r>
      <w:proofErr w:type="spellStart"/>
      <w:r w:rsidRPr="00EF7F27">
        <w:rPr>
          <w:sz w:val="24"/>
          <w:szCs w:val="24"/>
          <w:lang w:val="en-GB"/>
        </w:rPr>
        <w:t>Semenchuk</w:t>
      </w:r>
      <w:proofErr w:type="spellEnd"/>
      <w:r w:rsidRPr="00EF7F27">
        <w:rPr>
          <w:sz w:val="24"/>
          <w:szCs w:val="24"/>
          <w:lang w:val="en-GB"/>
        </w:rPr>
        <w:t>, P. R., ”</w:t>
      </w:r>
      <w:r w:rsidRPr="00EF7F27">
        <w:rPr>
          <w:i/>
          <w:sz w:val="24"/>
          <w:szCs w:val="24"/>
          <w:lang w:val="en-GB"/>
        </w:rPr>
        <w:t>Daphnia magna</w:t>
      </w:r>
      <w:r w:rsidRPr="00EF7F27">
        <w:rPr>
          <w:sz w:val="24"/>
          <w:szCs w:val="24"/>
          <w:lang w:val="en-GB"/>
        </w:rPr>
        <w:t xml:space="preserve"> negatively affected by chronic exposure to purified Cry-toxins”, Food and Chemical Toxicology, </w:t>
      </w:r>
      <w:proofErr w:type="spellStart"/>
      <w:r w:rsidRPr="00EF7F27">
        <w:rPr>
          <w:sz w:val="24"/>
          <w:szCs w:val="24"/>
          <w:lang w:val="en-GB"/>
        </w:rPr>
        <w:t>toukokuu</w:t>
      </w:r>
      <w:proofErr w:type="spellEnd"/>
      <w:r w:rsidRPr="00EF7F27">
        <w:rPr>
          <w:sz w:val="24"/>
          <w:szCs w:val="24"/>
          <w:lang w:val="en-GB"/>
        </w:rPr>
        <w:t xml:space="preserve"> 2016, </w:t>
      </w:r>
      <w:proofErr w:type="spellStart"/>
      <w:r w:rsidRPr="00EF7F27">
        <w:rPr>
          <w:sz w:val="24"/>
          <w:szCs w:val="24"/>
          <w:lang w:val="en-GB"/>
        </w:rPr>
        <w:t>osa</w:t>
      </w:r>
      <w:proofErr w:type="spellEnd"/>
      <w:r w:rsidRPr="00EF7F27">
        <w:rPr>
          <w:sz w:val="24"/>
          <w:szCs w:val="24"/>
          <w:lang w:val="en-GB"/>
        </w:rPr>
        <w:t xml:space="preserve"> 91, s. 130–140, </w:t>
      </w:r>
      <w:hyperlink r:id="rId23" w:history="1">
        <w:r w:rsidRPr="00EF7F27">
          <w:rPr>
            <w:rStyle w:val="Hyperlink"/>
            <w:sz w:val="24"/>
            <w:szCs w:val="24"/>
            <w:lang w:val="en-GB"/>
          </w:rPr>
          <w:t>https://doi.org/10.1016/j.fct.2016.03.009</w:t>
        </w:r>
      </w:hyperlink>
      <w:r w:rsidRPr="00EF7F27">
        <w:rPr>
          <w:sz w:val="24"/>
          <w:szCs w:val="24"/>
          <w:lang w:val="en-GB"/>
        </w:rPr>
        <w:t>.</w:t>
      </w:r>
    </w:p>
  </w:footnote>
  <w:footnote w:id="13">
    <w:p w14:paraId="0199FBD0" w14:textId="0B00E15D" w:rsidR="003634DB" w:rsidRPr="00EF7F27" w:rsidRDefault="003634DB" w:rsidP="00F71BBA">
      <w:pPr>
        <w:pStyle w:val="FootnoteText"/>
        <w:ind w:left="567" w:hanging="567"/>
        <w:rPr>
          <w:sz w:val="24"/>
          <w:szCs w:val="24"/>
          <w:lang w:val="en-GB"/>
        </w:rPr>
      </w:pPr>
      <w:r w:rsidRPr="00C414D3">
        <w:rPr>
          <w:rStyle w:val="FootnoteReference"/>
          <w:sz w:val="24"/>
          <w:lang w:val="fi-FI"/>
        </w:rPr>
        <w:footnoteRef/>
      </w:r>
      <w:r w:rsidR="00F71BBA" w:rsidRPr="00EF7F27">
        <w:rPr>
          <w:sz w:val="24"/>
          <w:szCs w:val="24"/>
          <w:lang w:val="en-GB"/>
        </w:rPr>
        <w:t xml:space="preserve"> </w:t>
      </w:r>
      <w:r w:rsidR="00F71BBA" w:rsidRPr="00EF7F27">
        <w:rPr>
          <w:sz w:val="24"/>
          <w:szCs w:val="24"/>
          <w:lang w:val="en-GB"/>
        </w:rPr>
        <w:tab/>
      </w:r>
      <w:proofErr w:type="spellStart"/>
      <w:r w:rsidRPr="00EF7F27">
        <w:rPr>
          <w:sz w:val="24"/>
          <w:szCs w:val="24"/>
          <w:lang w:val="en-GB"/>
        </w:rPr>
        <w:t>Trtikova</w:t>
      </w:r>
      <w:proofErr w:type="spellEnd"/>
      <w:r w:rsidRPr="00EF7F27">
        <w:rPr>
          <w:sz w:val="24"/>
          <w:szCs w:val="24"/>
          <w:lang w:val="en-GB"/>
        </w:rPr>
        <w:t xml:space="preserve">, M., </w:t>
      </w:r>
      <w:proofErr w:type="spellStart"/>
      <w:r w:rsidRPr="00EF7F27">
        <w:rPr>
          <w:sz w:val="24"/>
          <w:szCs w:val="24"/>
          <w:lang w:val="en-GB"/>
        </w:rPr>
        <w:t>Lohn</w:t>
      </w:r>
      <w:proofErr w:type="spellEnd"/>
      <w:r w:rsidRPr="00EF7F27">
        <w:rPr>
          <w:sz w:val="24"/>
          <w:szCs w:val="24"/>
          <w:lang w:val="en-GB"/>
        </w:rPr>
        <w:t xml:space="preserve">, A., </w:t>
      </w:r>
      <w:proofErr w:type="spellStart"/>
      <w:r w:rsidRPr="00EF7F27">
        <w:rPr>
          <w:sz w:val="24"/>
          <w:szCs w:val="24"/>
          <w:lang w:val="en-GB"/>
        </w:rPr>
        <w:t>Binimelis</w:t>
      </w:r>
      <w:proofErr w:type="spellEnd"/>
      <w:r w:rsidRPr="00EF7F27">
        <w:rPr>
          <w:sz w:val="24"/>
          <w:szCs w:val="24"/>
          <w:lang w:val="en-GB"/>
        </w:rPr>
        <w:t xml:space="preserve">, R., </w:t>
      </w:r>
      <w:proofErr w:type="spellStart"/>
      <w:r w:rsidRPr="00EF7F27">
        <w:rPr>
          <w:sz w:val="24"/>
          <w:szCs w:val="24"/>
          <w:lang w:val="en-GB"/>
        </w:rPr>
        <w:t>Chapela</w:t>
      </w:r>
      <w:proofErr w:type="spellEnd"/>
      <w:r w:rsidRPr="00EF7F27">
        <w:rPr>
          <w:sz w:val="24"/>
          <w:szCs w:val="24"/>
          <w:lang w:val="en-GB"/>
        </w:rPr>
        <w:t xml:space="preserve">, I., </w:t>
      </w:r>
      <w:proofErr w:type="spellStart"/>
      <w:r w:rsidRPr="00EF7F27">
        <w:rPr>
          <w:sz w:val="24"/>
          <w:szCs w:val="24"/>
          <w:lang w:val="en-GB"/>
        </w:rPr>
        <w:t>Oehen</w:t>
      </w:r>
      <w:proofErr w:type="spellEnd"/>
      <w:r w:rsidRPr="00EF7F27">
        <w:rPr>
          <w:sz w:val="24"/>
          <w:szCs w:val="24"/>
          <w:lang w:val="en-GB"/>
        </w:rPr>
        <w:t xml:space="preserve">, B., </w:t>
      </w:r>
      <w:proofErr w:type="spellStart"/>
      <w:r w:rsidRPr="00EF7F27">
        <w:rPr>
          <w:sz w:val="24"/>
          <w:szCs w:val="24"/>
          <w:lang w:val="en-GB"/>
        </w:rPr>
        <w:t>Zemp</w:t>
      </w:r>
      <w:proofErr w:type="spellEnd"/>
      <w:r w:rsidRPr="00EF7F27">
        <w:rPr>
          <w:sz w:val="24"/>
          <w:szCs w:val="24"/>
          <w:lang w:val="en-GB"/>
        </w:rPr>
        <w:t xml:space="preserve">, N., Widmer, A., </w:t>
      </w:r>
      <w:proofErr w:type="spellStart"/>
      <w:r w:rsidRPr="00EF7F27">
        <w:rPr>
          <w:sz w:val="24"/>
          <w:szCs w:val="24"/>
          <w:lang w:val="en-GB"/>
        </w:rPr>
        <w:t>Hilbeck</w:t>
      </w:r>
      <w:proofErr w:type="spellEnd"/>
      <w:r w:rsidRPr="00EF7F27">
        <w:rPr>
          <w:sz w:val="24"/>
          <w:szCs w:val="24"/>
          <w:lang w:val="en-GB"/>
        </w:rPr>
        <w:t xml:space="preserve">, A., (2017), ”Teosinte in Europe – Searching for the Origin of a Novel Weed”, Scientific Reports, 7:1560, </w:t>
      </w:r>
      <w:hyperlink r:id="rId24" w:history="1">
        <w:r w:rsidRPr="00EF7F27">
          <w:rPr>
            <w:rStyle w:val="Hyperlink"/>
            <w:sz w:val="24"/>
            <w:szCs w:val="24"/>
            <w:lang w:val="en-GB"/>
          </w:rPr>
          <w:t>https://doi.org/10.1038/s41598-017-01478-w</w:t>
        </w:r>
      </w:hyperlink>
      <w:r w:rsidRPr="00EF7F27">
        <w:rPr>
          <w:sz w:val="24"/>
          <w:szCs w:val="24"/>
          <w:lang w:val="en-GB"/>
        </w:rPr>
        <w:t>.</w:t>
      </w:r>
    </w:p>
  </w:footnote>
  <w:footnote w:id="14">
    <w:p w14:paraId="0B5E02CD" w14:textId="77435BFA" w:rsidR="003634DB" w:rsidRPr="00C414D3" w:rsidRDefault="003634DB" w:rsidP="00F71BBA">
      <w:pPr>
        <w:pStyle w:val="FootnoteText"/>
        <w:ind w:left="567" w:hanging="567"/>
        <w:rPr>
          <w:sz w:val="24"/>
          <w:szCs w:val="24"/>
          <w:lang w:val="en-GB"/>
        </w:rPr>
      </w:pPr>
      <w:r w:rsidRPr="00C414D3">
        <w:rPr>
          <w:rStyle w:val="FootnoteReference"/>
          <w:sz w:val="24"/>
          <w:lang w:val="fi-FI"/>
        </w:rPr>
        <w:footnoteRef/>
      </w:r>
      <w:r w:rsidR="00F71BBA" w:rsidRPr="00C414D3">
        <w:rPr>
          <w:sz w:val="24"/>
          <w:szCs w:val="24"/>
          <w:lang w:val="en-GB"/>
        </w:rPr>
        <w:t xml:space="preserve"> </w:t>
      </w:r>
      <w:r w:rsidR="00F71BBA" w:rsidRPr="00C414D3">
        <w:rPr>
          <w:sz w:val="24"/>
          <w:szCs w:val="24"/>
          <w:lang w:val="en-GB"/>
        </w:rPr>
        <w:tab/>
      </w:r>
      <w:r w:rsidRPr="00C414D3">
        <w:rPr>
          <w:sz w:val="24"/>
          <w:szCs w:val="24"/>
          <w:lang w:val="en-GB"/>
        </w:rPr>
        <w:t xml:space="preserve">”Strategic Dialogue on the Future of EU Agriculture – A shared prospect for farming and food in Europe”, </w:t>
      </w:r>
      <w:proofErr w:type="spellStart"/>
      <w:r w:rsidRPr="00C414D3">
        <w:rPr>
          <w:sz w:val="24"/>
          <w:szCs w:val="24"/>
          <w:lang w:val="en-GB"/>
        </w:rPr>
        <w:t>syyskuu</w:t>
      </w:r>
      <w:proofErr w:type="spellEnd"/>
      <w:r w:rsidRPr="00C414D3">
        <w:rPr>
          <w:sz w:val="24"/>
          <w:szCs w:val="24"/>
          <w:lang w:val="en-GB"/>
        </w:rPr>
        <w:t xml:space="preserve"> 2024, </w:t>
      </w:r>
      <w:hyperlink r:id="rId25" w:history="1">
        <w:r w:rsidRPr="00C414D3">
          <w:rPr>
            <w:rStyle w:val="Hyperlink"/>
            <w:sz w:val="24"/>
            <w:szCs w:val="24"/>
            <w:lang w:val="en-GB"/>
          </w:rPr>
          <w:t>https://agriculture.ec.europa.eu/document/download/171329ff-0f50-4fa5-946f-aea11032172e_en?filename=strategic-dialogue-report-2024_en.pdf</w:t>
        </w:r>
      </w:hyperlink>
      <w:r w:rsidRPr="00C414D3">
        <w:rPr>
          <w:sz w:val="24"/>
          <w:szCs w:val="24"/>
          <w:lang w:val="en-GB"/>
        </w:rPr>
        <w:t>.</w:t>
      </w:r>
    </w:p>
  </w:footnote>
  <w:footnote w:id="15">
    <w:p w14:paraId="309E3AB5" w14:textId="2191EA1A" w:rsidR="003634DB" w:rsidRPr="00C414D3" w:rsidRDefault="003634DB" w:rsidP="00F71BBA">
      <w:pPr>
        <w:pStyle w:val="FootnoteText"/>
        <w:ind w:left="567" w:hanging="567"/>
        <w:rPr>
          <w:sz w:val="24"/>
          <w:szCs w:val="24"/>
          <w:lang w:val="en-GB"/>
        </w:rPr>
      </w:pPr>
      <w:r w:rsidRPr="00C414D3">
        <w:rPr>
          <w:rStyle w:val="FootnoteReference"/>
          <w:sz w:val="24"/>
          <w:lang w:val="fi-FI"/>
        </w:rPr>
        <w:footnoteRef/>
      </w:r>
      <w:r w:rsidR="00F71BBA" w:rsidRPr="00C414D3">
        <w:rPr>
          <w:sz w:val="24"/>
          <w:szCs w:val="24"/>
          <w:lang w:val="en-GB"/>
        </w:rPr>
        <w:t xml:space="preserve"> </w:t>
      </w:r>
      <w:r w:rsidR="00F71BBA" w:rsidRPr="00C414D3">
        <w:rPr>
          <w:sz w:val="24"/>
          <w:szCs w:val="24"/>
          <w:lang w:val="en-GB"/>
        </w:rPr>
        <w:tab/>
      </w:r>
      <w:hyperlink r:id="rId26" w:history="1">
        <w:r w:rsidRPr="00C414D3">
          <w:rPr>
            <w:rStyle w:val="Hyperlink"/>
            <w:sz w:val="24"/>
            <w:szCs w:val="24"/>
            <w:lang w:val="en-GB"/>
          </w:rPr>
          <w:t>https://www.ohchr.org/en/documents/thematic-reports/ahrc3448-report-special-rapporteur-right-food</w:t>
        </w:r>
      </w:hyperlink>
      <w:r w:rsidRPr="00C414D3">
        <w:rPr>
          <w:sz w:val="24"/>
          <w:szCs w:val="24"/>
          <w:lang w:val="en-GB"/>
        </w:rPr>
        <w:t>.</w:t>
      </w:r>
    </w:p>
  </w:footnote>
  <w:footnote w:id="16">
    <w:p w14:paraId="413EF4A1" w14:textId="1A8C6D50" w:rsidR="003634DB" w:rsidRPr="00C414D3" w:rsidRDefault="003634DB" w:rsidP="00F71BBA">
      <w:pPr>
        <w:pStyle w:val="FootnoteText"/>
        <w:ind w:left="567" w:hanging="567"/>
        <w:rPr>
          <w:sz w:val="24"/>
          <w:szCs w:val="24"/>
          <w:lang w:val="en-GB"/>
        </w:rPr>
      </w:pPr>
      <w:r w:rsidRPr="00C414D3">
        <w:rPr>
          <w:rStyle w:val="FootnoteReference"/>
          <w:sz w:val="24"/>
          <w:lang w:val="fi-FI"/>
        </w:rPr>
        <w:footnoteRef/>
      </w:r>
      <w:r w:rsidR="00F71BBA" w:rsidRPr="00C414D3">
        <w:rPr>
          <w:sz w:val="24"/>
          <w:szCs w:val="24"/>
          <w:lang w:val="en-GB"/>
        </w:rPr>
        <w:t xml:space="preserve"> </w:t>
      </w:r>
      <w:r w:rsidR="00F71BBA" w:rsidRPr="00C414D3">
        <w:rPr>
          <w:sz w:val="24"/>
          <w:szCs w:val="24"/>
          <w:lang w:val="en-GB"/>
        </w:rPr>
        <w:tab/>
      </w:r>
      <w:hyperlink r:id="rId27" w:history="1">
        <w:r w:rsidRPr="00C414D3">
          <w:rPr>
            <w:rStyle w:val="Hyperlink"/>
            <w:sz w:val="24"/>
            <w:szCs w:val="24"/>
            <w:lang w:val="en-GB"/>
          </w:rPr>
          <w:t>https://www.un.org/sustainabledevelopment/health/</w:t>
        </w:r>
      </w:hyperlink>
      <w:r w:rsidRPr="00C414D3">
        <w:rPr>
          <w:sz w:val="24"/>
          <w:szCs w:val="24"/>
          <w:lang w:val="en-GB"/>
        </w:rPr>
        <w:t>.</w:t>
      </w:r>
    </w:p>
  </w:footnote>
  <w:footnote w:id="17">
    <w:p w14:paraId="273B8F88" w14:textId="1F486C3E" w:rsidR="003634DB" w:rsidRPr="00C414D3" w:rsidRDefault="003634DB" w:rsidP="00F71BBA">
      <w:pPr>
        <w:pStyle w:val="FootnoteText"/>
        <w:ind w:left="567" w:hanging="567"/>
        <w:rPr>
          <w:sz w:val="24"/>
          <w:szCs w:val="24"/>
          <w:lang w:val="en-GB"/>
        </w:rPr>
      </w:pPr>
      <w:r w:rsidRPr="00C414D3">
        <w:rPr>
          <w:rStyle w:val="FootnoteReference"/>
          <w:sz w:val="24"/>
          <w:lang w:val="fi-FI"/>
        </w:rPr>
        <w:footnoteRef/>
      </w:r>
      <w:r w:rsidR="00F71BBA" w:rsidRPr="00C414D3">
        <w:rPr>
          <w:sz w:val="24"/>
          <w:szCs w:val="24"/>
          <w:lang w:val="en-GB"/>
        </w:rPr>
        <w:t xml:space="preserve"> </w:t>
      </w:r>
      <w:r w:rsidR="00F71BBA" w:rsidRPr="00C414D3">
        <w:rPr>
          <w:sz w:val="24"/>
          <w:szCs w:val="24"/>
          <w:lang w:val="en-GB"/>
        </w:rPr>
        <w:tab/>
      </w:r>
      <w:hyperlink r:id="rId28" w:history="1">
        <w:r w:rsidRPr="00C414D3">
          <w:rPr>
            <w:rStyle w:val="Hyperlink"/>
            <w:sz w:val="24"/>
            <w:szCs w:val="24"/>
            <w:lang w:val="en-GB"/>
          </w:rPr>
          <w:t>https://ec.europa.eu/commission/presscorner/detail/fi/ip_22_7834</w:t>
        </w:r>
      </w:hyperlink>
      <w:r w:rsidRPr="00C414D3">
        <w:rPr>
          <w:sz w:val="24"/>
          <w:szCs w:val="24"/>
          <w:lang w:val="en-GB"/>
        </w:rPr>
        <w:t>.</w:t>
      </w:r>
    </w:p>
  </w:footnote>
  <w:footnote w:id="18">
    <w:p w14:paraId="32FE17B1" w14:textId="3C83D5B1" w:rsidR="003634DB" w:rsidRPr="00C414D3" w:rsidRDefault="003634DB" w:rsidP="00F71BBA">
      <w:pPr>
        <w:pStyle w:val="FootnoteText"/>
        <w:ind w:left="567" w:hanging="567"/>
        <w:rPr>
          <w:sz w:val="24"/>
          <w:szCs w:val="24"/>
          <w:lang w:val="en-GB"/>
        </w:rPr>
      </w:pPr>
      <w:r w:rsidRPr="00C414D3">
        <w:rPr>
          <w:rStyle w:val="FootnoteReference"/>
          <w:sz w:val="24"/>
          <w:lang w:val="fi-FI"/>
        </w:rPr>
        <w:footnoteRef/>
      </w:r>
      <w:r w:rsidR="00F71BBA" w:rsidRPr="00C414D3">
        <w:rPr>
          <w:sz w:val="24"/>
          <w:szCs w:val="24"/>
          <w:lang w:val="en-GB"/>
        </w:rPr>
        <w:t xml:space="preserve"> </w:t>
      </w:r>
      <w:r w:rsidR="00F71BBA" w:rsidRPr="00C414D3">
        <w:rPr>
          <w:sz w:val="24"/>
          <w:szCs w:val="24"/>
          <w:lang w:val="en-GB"/>
        </w:rPr>
        <w:tab/>
      </w:r>
      <w:hyperlink r:id="rId29" w:history="1">
        <w:r w:rsidRPr="00C414D3">
          <w:rPr>
            <w:rStyle w:val="Hyperlink"/>
            <w:sz w:val="24"/>
            <w:szCs w:val="24"/>
            <w:lang w:val="en-GB"/>
          </w:rPr>
          <w:t>https://commission.europa.eu/document/2c64e540-c07a-4376-a1da-368d289f4afe_en</w:t>
        </w:r>
      </w:hyperlink>
      <w:r w:rsidRPr="00C414D3">
        <w:rPr>
          <w:sz w:val="24"/>
          <w:szCs w:val="24"/>
          <w:lang w:val="en-GB"/>
        </w:rPr>
        <w:t>.</w:t>
      </w:r>
    </w:p>
  </w:footnote>
  <w:footnote w:id="19">
    <w:p w14:paraId="58DFBF7C" w14:textId="7EA09B24"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Asetuksen (EU) N:o 182/2011 6 artiklan 3 kohdan mukaisesti komissio ”voi hyväksyä” luvan – eikä ”hyväksyy” luvan –, jos jäsenvaltiot eivät muutoksenhakukomiteassa anna määräenemmistöllä puoltavaa lausuntoa.</w:t>
      </w:r>
    </w:p>
  </w:footnote>
  <w:footnote w:id="20">
    <w:p w14:paraId="1AC1DE40" w14:textId="3C2A8563"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hyperlink r:id="rId30" w:history="1">
        <w:r w:rsidRPr="00C414D3">
          <w:rPr>
            <w:rStyle w:val="Hyperlink"/>
            <w:sz w:val="24"/>
            <w:szCs w:val="24"/>
            <w:lang w:val="fi-FI"/>
          </w:rPr>
          <w:t>https://food.ec.europa.eu/document/download/ee1a5aed-5303-4c32-bb59-813143a1df47_en?filename=sc_modif-genet_20250613_sum.pdf</w:t>
        </w:r>
      </w:hyperlink>
      <w:r w:rsidRPr="00C414D3">
        <w:rPr>
          <w:sz w:val="24"/>
          <w:szCs w:val="24"/>
          <w:lang w:val="fi-FI"/>
        </w:rPr>
        <w:t>.</w:t>
      </w:r>
    </w:p>
  </w:footnote>
  <w:footnote w:id="21">
    <w:p w14:paraId="1A780DCD" w14:textId="45930B93"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 xml:space="preserve">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31" w:history="1">
        <w:r w:rsidRPr="00C414D3">
          <w:rPr>
            <w:rStyle w:val="Hyperlink"/>
            <w:sz w:val="24"/>
            <w:szCs w:val="24"/>
            <w:lang w:val="fi-FI"/>
          </w:rPr>
          <w:t>http://data.europa.eu/eli/reg/2002/178/oj</w:t>
        </w:r>
      </w:hyperlink>
      <w:r w:rsidRPr="00C414D3">
        <w:rPr>
          <w:sz w:val="24"/>
          <w:szCs w:val="24"/>
          <w:lang w:val="fi-FI"/>
        </w:rPr>
        <w:t>).</w:t>
      </w:r>
    </w:p>
  </w:footnote>
  <w:footnote w:id="22">
    <w:p w14:paraId="0AB62F11" w14:textId="0939350D"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Kuten esitetään 14. lokakuuta 2020 annetun komission tiedonannon ”Kestävyyttä edistävä kemikaalistrategia – Kohti myrkytöntä ympäristöä” (</w:t>
      </w:r>
      <w:proofErr w:type="gramStart"/>
      <w:r w:rsidRPr="00C414D3">
        <w:rPr>
          <w:sz w:val="24"/>
          <w:szCs w:val="24"/>
          <w:lang w:val="fi-FI"/>
        </w:rPr>
        <w:t>COM(</w:t>
      </w:r>
      <w:proofErr w:type="gramEnd"/>
      <w:r w:rsidRPr="00C414D3">
        <w:rPr>
          <w:sz w:val="24"/>
          <w:szCs w:val="24"/>
          <w:lang w:val="fi-FI"/>
        </w:rPr>
        <w:t xml:space="preserve">2020)0667) liitteessä, </w:t>
      </w:r>
      <w:hyperlink r:id="rId32" w:anchor="document2" w:history="1">
        <w:r w:rsidRPr="00C414D3">
          <w:rPr>
            <w:rStyle w:val="Hyperlink"/>
            <w:sz w:val="24"/>
            <w:szCs w:val="24"/>
            <w:lang w:val="fi-FI"/>
          </w:rPr>
          <w:t>https://eur-lex.europa.eu/legal-content/FI/TXT/?uri=COM%3A2020%3A667%3AFIN#document2</w:t>
        </w:r>
      </w:hyperlink>
      <w:r w:rsidRPr="00C414D3">
        <w:rPr>
          <w:sz w:val="24"/>
          <w:szCs w:val="24"/>
          <w:lang w:val="fi-FI"/>
        </w:rPr>
        <w:t>.</w:t>
      </w:r>
    </w:p>
  </w:footnote>
  <w:footnote w:id="23">
    <w:p w14:paraId="0A385E7E" w14:textId="2B964573" w:rsidR="003634DB" w:rsidRPr="00C414D3"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hyperlink r:id="rId33" w:history="1">
        <w:r w:rsidRPr="00C414D3">
          <w:rPr>
            <w:rStyle w:val="Hyperlink"/>
            <w:sz w:val="24"/>
            <w:szCs w:val="24"/>
            <w:lang w:val="fi-FI"/>
          </w:rPr>
          <w:t>https://tillymetz.lu/wp-content/uploads/2020/09/Co-signed-letter-MEP-Metz.pdf</w:t>
        </w:r>
      </w:hyperlink>
      <w:r w:rsidRPr="00C414D3">
        <w:rPr>
          <w:sz w:val="24"/>
          <w:szCs w:val="24"/>
          <w:lang w:val="fi-FI"/>
        </w:rPr>
        <w:t>.</w:t>
      </w:r>
    </w:p>
  </w:footnote>
  <w:footnote w:id="24">
    <w:p w14:paraId="2F8DCDE8" w14:textId="0725CBF8" w:rsidR="003634DB" w:rsidRPr="00671FCD" w:rsidRDefault="003634DB" w:rsidP="00F71BBA">
      <w:pPr>
        <w:pStyle w:val="FootnoteText"/>
        <w:ind w:left="567" w:hanging="567"/>
        <w:rPr>
          <w:sz w:val="24"/>
          <w:szCs w:val="24"/>
          <w:lang w:val="fi-FI"/>
        </w:rPr>
      </w:pPr>
      <w:r w:rsidRPr="00C414D3">
        <w:rPr>
          <w:rStyle w:val="FootnoteReference"/>
          <w:sz w:val="24"/>
          <w:lang w:val="fi-FI"/>
        </w:rPr>
        <w:footnoteRef/>
      </w:r>
      <w:r w:rsidR="00F71BBA" w:rsidRPr="00C414D3">
        <w:rPr>
          <w:sz w:val="24"/>
          <w:szCs w:val="24"/>
          <w:lang w:val="fi-FI"/>
        </w:rPr>
        <w:t xml:space="preserve"> </w:t>
      </w:r>
      <w:r w:rsidR="00F71BBA" w:rsidRPr="00C414D3">
        <w:rPr>
          <w:sz w:val="24"/>
          <w:szCs w:val="24"/>
          <w:lang w:val="fi-FI"/>
        </w:rPr>
        <w:tab/>
      </w:r>
      <w:r w:rsidRPr="00C414D3">
        <w:rPr>
          <w:sz w:val="24"/>
          <w:szCs w:val="24"/>
          <w:lang w:val="fi-FI"/>
        </w:rPr>
        <w:t>Euroopan parlamentin päätöslauselma, annettu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7267373">
    <w:abstractNumId w:val="9"/>
  </w:num>
  <w:num w:numId="2" w16cid:durableId="958530429">
    <w:abstractNumId w:val="9"/>
  </w:num>
  <w:num w:numId="3" w16cid:durableId="1539197239">
    <w:abstractNumId w:val="7"/>
  </w:num>
  <w:num w:numId="4" w16cid:durableId="541406856">
    <w:abstractNumId w:val="7"/>
  </w:num>
  <w:num w:numId="5" w16cid:durableId="239562716">
    <w:abstractNumId w:val="6"/>
  </w:num>
  <w:num w:numId="6" w16cid:durableId="1762750242">
    <w:abstractNumId w:val="6"/>
  </w:num>
  <w:num w:numId="7" w16cid:durableId="618922152">
    <w:abstractNumId w:val="5"/>
  </w:num>
  <w:num w:numId="8" w16cid:durableId="340861001">
    <w:abstractNumId w:val="5"/>
  </w:num>
  <w:num w:numId="9" w16cid:durableId="429738561">
    <w:abstractNumId w:val="4"/>
  </w:num>
  <w:num w:numId="10" w16cid:durableId="2115854469">
    <w:abstractNumId w:val="4"/>
  </w:num>
  <w:num w:numId="11" w16cid:durableId="1692149047">
    <w:abstractNumId w:val="8"/>
  </w:num>
  <w:num w:numId="12" w16cid:durableId="951327410">
    <w:abstractNumId w:val="8"/>
  </w:num>
  <w:num w:numId="13" w16cid:durableId="448742260">
    <w:abstractNumId w:val="3"/>
  </w:num>
  <w:num w:numId="14" w16cid:durableId="17659619">
    <w:abstractNumId w:val="3"/>
  </w:num>
  <w:num w:numId="15" w16cid:durableId="979502268">
    <w:abstractNumId w:val="2"/>
  </w:num>
  <w:num w:numId="16" w16cid:durableId="1996912514">
    <w:abstractNumId w:val="2"/>
  </w:num>
  <w:num w:numId="17" w16cid:durableId="1885288055">
    <w:abstractNumId w:val="1"/>
  </w:num>
  <w:num w:numId="18" w16cid:durableId="767041401">
    <w:abstractNumId w:val="1"/>
  </w:num>
  <w:num w:numId="19" w16cid:durableId="1201212413">
    <w:abstractNumId w:val="0"/>
  </w:num>
  <w:num w:numId="20" w16cid:durableId="576285850">
    <w:abstractNumId w:val="0"/>
  </w:num>
  <w:num w:numId="21" w16cid:durableId="1538003653">
    <w:abstractNumId w:val="9"/>
  </w:num>
  <w:num w:numId="22" w16cid:durableId="2005621675">
    <w:abstractNumId w:val="7"/>
  </w:num>
  <w:num w:numId="23" w16cid:durableId="2081248917">
    <w:abstractNumId w:val="6"/>
  </w:num>
  <w:num w:numId="24" w16cid:durableId="1164009888">
    <w:abstractNumId w:val="5"/>
  </w:num>
  <w:num w:numId="25" w16cid:durableId="1802962150">
    <w:abstractNumId w:val="4"/>
  </w:num>
  <w:num w:numId="26" w16cid:durableId="1307934499">
    <w:abstractNumId w:val="8"/>
  </w:num>
  <w:num w:numId="27" w16cid:durableId="1278372335">
    <w:abstractNumId w:val="3"/>
  </w:num>
  <w:num w:numId="28" w16cid:durableId="377707881">
    <w:abstractNumId w:val="2"/>
  </w:num>
  <w:num w:numId="29" w16cid:durableId="2005425568">
    <w:abstractNumId w:val="1"/>
  </w:num>
  <w:num w:numId="30" w16cid:durableId="1803159705">
    <w:abstractNumId w:val="0"/>
  </w:num>
  <w:num w:numId="31" w16cid:durableId="1874338906">
    <w:abstractNumId w:val="9"/>
  </w:num>
  <w:num w:numId="32" w16cid:durableId="1348096850">
    <w:abstractNumId w:val="7"/>
  </w:num>
  <w:num w:numId="33" w16cid:durableId="1878279748">
    <w:abstractNumId w:val="6"/>
  </w:num>
  <w:num w:numId="34" w16cid:durableId="1579513600">
    <w:abstractNumId w:val="5"/>
  </w:num>
  <w:num w:numId="35" w16cid:durableId="348797389">
    <w:abstractNumId w:val="4"/>
  </w:num>
  <w:num w:numId="36" w16cid:durableId="1314407387">
    <w:abstractNumId w:val="8"/>
  </w:num>
  <w:num w:numId="37" w16cid:durableId="1633637197">
    <w:abstractNumId w:val="3"/>
  </w:num>
  <w:num w:numId="38" w16cid:durableId="1491365282">
    <w:abstractNumId w:val="2"/>
  </w:num>
  <w:num w:numId="39" w16cid:durableId="1025400978">
    <w:abstractNumId w:val="1"/>
  </w:num>
  <w:num w:numId="40" w16cid:durableId="884491725">
    <w:abstractNumId w:val="0"/>
  </w:num>
  <w:num w:numId="41" w16cid:durableId="2105030163">
    <w:abstractNumId w:val="10"/>
  </w:num>
  <w:num w:numId="42" w16cid:durableId="793057910">
    <w:abstractNumId w:val="10"/>
  </w:num>
  <w:num w:numId="43" w16cid:durableId="1404987361">
    <w:abstractNumId w:val="10"/>
  </w:num>
  <w:num w:numId="44" w16cid:durableId="1437889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FI"/>
    <w:docVar w:name="dvnumam" w:val="0"/>
    <w:docVar w:name="dvpe" w:val="775.588"/>
    <w:docVar w:name="dvtitre" w:val="Euroopan parlamentin päätöslauselma xx. lokakuuta 2025 ehdotuksesta komission täytäntöönpanopäätökseksi luvan antamisesta muuntogeenistä maissia DP51291 sisältävien, siitä koostuvien tai siitä valmistettujen tuotteiden saattamiseksi markkinoille Euroopan parlamentin ja neuvoston asetuksen (EY) N:o 1829/2003 mukaisesti(D108064/03 – 2025/2807(RSP))"/>
  </w:docVars>
  <w:rsids>
    <w:rsidRoot w:val="00B73A22"/>
    <w:rsid w:val="00002272"/>
    <w:rsid w:val="00064002"/>
    <w:rsid w:val="000677B9"/>
    <w:rsid w:val="000831BA"/>
    <w:rsid w:val="000A42CC"/>
    <w:rsid w:val="000E7DD9"/>
    <w:rsid w:val="0010095E"/>
    <w:rsid w:val="00125B37"/>
    <w:rsid w:val="00187494"/>
    <w:rsid w:val="001F32AE"/>
    <w:rsid w:val="00212C8A"/>
    <w:rsid w:val="00245553"/>
    <w:rsid w:val="002767FF"/>
    <w:rsid w:val="002B18FE"/>
    <w:rsid w:val="002B5493"/>
    <w:rsid w:val="002D6D02"/>
    <w:rsid w:val="00343214"/>
    <w:rsid w:val="00361C00"/>
    <w:rsid w:val="003634DB"/>
    <w:rsid w:val="00372CBE"/>
    <w:rsid w:val="00390B59"/>
    <w:rsid w:val="00395FA1"/>
    <w:rsid w:val="003E15D4"/>
    <w:rsid w:val="00411CCE"/>
    <w:rsid w:val="00415BB8"/>
    <w:rsid w:val="0041666E"/>
    <w:rsid w:val="00421060"/>
    <w:rsid w:val="00442587"/>
    <w:rsid w:val="00471C19"/>
    <w:rsid w:val="004867E3"/>
    <w:rsid w:val="00494A28"/>
    <w:rsid w:val="004C0004"/>
    <w:rsid w:val="004C5D52"/>
    <w:rsid w:val="004E21D1"/>
    <w:rsid w:val="0050519A"/>
    <w:rsid w:val="005072A1"/>
    <w:rsid w:val="00514517"/>
    <w:rsid w:val="00545827"/>
    <w:rsid w:val="00560270"/>
    <w:rsid w:val="005C2568"/>
    <w:rsid w:val="005F1B17"/>
    <w:rsid w:val="006037C0"/>
    <w:rsid w:val="006631B6"/>
    <w:rsid w:val="00671FCD"/>
    <w:rsid w:val="00680577"/>
    <w:rsid w:val="006F74FA"/>
    <w:rsid w:val="00724AE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3BD"/>
    <w:rsid w:val="009509D8"/>
    <w:rsid w:val="00950B64"/>
    <w:rsid w:val="00981893"/>
    <w:rsid w:val="009A093C"/>
    <w:rsid w:val="009C10B6"/>
    <w:rsid w:val="00A1687D"/>
    <w:rsid w:val="00A43E52"/>
    <w:rsid w:val="00A4678D"/>
    <w:rsid w:val="00A60F38"/>
    <w:rsid w:val="00A778C7"/>
    <w:rsid w:val="00AB441E"/>
    <w:rsid w:val="00AB6293"/>
    <w:rsid w:val="00AC51B6"/>
    <w:rsid w:val="00AE0928"/>
    <w:rsid w:val="00AF14F3"/>
    <w:rsid w:val="00AF3B82"/>
    <w:rsid w:val="00B12E95"/>
    <w:rsid w:val="00B22876"/>
    <w:rsid w:val="00B558F0"/>
    <w:rsid w:val="00B73A22"/>
    <w:rsid w:val="00BD48FE"/>
    <w:rsid w:val="00BD7BD8"/>
    <w:rsid w:val="00BE6ADC"/>
    <w:rsid w:val="00BE6DAF"/>
    <w:rsid w:val="00C05BFE"/>
    <w:rsid w:val="00C23CD4"/>
    <w:rsid w:val="00C414D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F27"/>
    <w:rsid w:val="00F04346"/>
    <w:rsid w:val="00F075DC"/>
    <w:rsid w:val="00F149E9"/>
    <w:rsid w:val="00F5134D"/>
    <w:rsid w:val="00F71BBA"/>
    <w:rsid w:val="00F74202"/>
    <w:rsid w:val="00F87713"/>
    <w:rsid w:val="00FB08F9"/>
    <w:rsid w:val="00FB4360"/>
    <w:rsid w:val="00FD0C70"/>
    <w:rsid w:val="00FE39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6EDA0"/>
  <w15:chartTrackingRefBased/>
  <w15:docId w15:val="{00340803-D681-4ADF-BC8D-C15BEBD6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4AE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724AE6"/>
    <w:rPr>
      <w:szCs w:val="24"/>
      <w:shd w:val="clear" w:color="auto" w:fill="FFFFFF"/>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34DB"/>
    <w:pPr>
      <w:spacing w:before="480" w:after="240"/>
    </w:pPr>
  </w:style>
  <w:style w:type="paragraph" w:customStyle="1" w:styleId="NormalHanging12a">
    <w:name w:val="NormalHanging12a"/>
    <w:basedOn w:val="Normal"/>
    <w:rsid w:val="003634DB"/>
    <w:pPr>
      <w:spacing w:after="240"/>
      <w:ind w:left="567" w:hanging="567"/>
    </w:pPr>
  </w:style>
  <w:style w:type="paragraph" w:customStyle="1" w:styleId="NormalBold">
    <w:name w:val="NormalBold"/>
    <w:basedOn w:val="Normal"/>
    <w:rsid w:val="003634DB"/>
    <w:rPr>
      <w:b/>
    </w:rPr>
  </w:style>
  <w:style w:type="character" w:styleId="Hyperlink">
    <w:name w:val="Hyperlink"/>
    <w:basedOn w:val="DefaultParagraphFont"/>
    <w:uiPriority w:val="99"/>
    <w:rsid w:val="003634DB"/>
    <w:rPr>
      <w:color w:val="0563C1" w:themeColor="hyperlink"/>
      <w:u w:val="single"/>
    </w:rPr>
  </w:style>
  <w:style w:type="character" w:customStyle="1" w:styleId="Funotenzeichen">
    <w:name w:val="Fußnotenzeichen"/>
    <w:qFormat/>
    <w:rsid w:val="003634DB"/>
    <w:rPr>
      <w:vertAlign w:val="superscript"/>
    </w:rPr>
  </w:style>
  <w:style w:type="paragraph" w:styleId="Footer">
    <w:name w:val="footer"/>
    <w:basedOn w:val="Normal"/>
    <w:link w:val="FooterChar"/>
    <w:rsid w:val="00724AE6"/>
    <w:pPr>
      <w:tabs>
        <w:tab w:val="center" w:pos="4513"/>
        <w:tab w:val="right" w:pos="9026"/>
      </w:tabs>
    </w:pPr>
  </w:style>
  <w:style w:type="character" w:customStyle="1" w:styleId="FooterChar">
    <w:name w:val="Footer Char"/>
    <w:basedOn w:val="DefaultParagraphFont"/>
    <w:link w:val="Footer"/>
    <w:rsid w:val="00724AE6"/>
    <w:rPr>
      <w:sz w:val="24"/>
      <w:lang w:val="fi-FI"/>
    </w:rPr>
  </w:style>
  <w:style w:type="paragraph" w:styleId="Revision">
    <w:name w:val="Revision"/>
    <w:hidden/>
    <w:uiPriority w:val="99"/>
    <w:semiHidden/>
    <w:rsid w:val="00671FCD"/>
    <w:rPr>
      <w:sz w:val="24"/>
      <w:lang w:val="fi-FI"/>
    </w:rPr>
  </w:style>
  <w:style w:type="character" w:styleId="CommentReference">
    <w:name w:val="annotation reference"/>
    <w:basedOn w:val="DefaultParagraphFont"/>
    <w:rsid w:val="00BE6DAF"/>
    <w:rPr>
      <w:sz w:val="16"/>
      <w:szCs w:val="16"/>
    </w:rPr>
  </w:style>
  <w:style w:type="paragraph" w:styleId="CommentText">
    <w:name w:val="annotation text"/>
    <w:basedOn w:val="Normal"/>
    <w:link w:val="CommentTextChar"/>
    <w:rsid w:val="00BE6DAF"/>
    <w:rPr>
      <w:sz w:val="20"/>
    </w:rPr>
  </w:style>
  <w:style w:type="character" w:customStyle="1" w:styleId="CommentTextChar">
    <w:name w:val="Comment Text Char"/>
    <w:basedOn w:val="DefaultParagraphFont"/>
    <w:link w:val="CommentText"/>
    <w:rsid w:val="00BE6DAF"/>
    <w:rPr>
      <w:lang w:val="fi-FI"/>
    </w:rPr>
  </w:style>
  <w:style w:type="paragraph" w:styleId="CommentSubject">
    <w:name w:val="annotation subject"/>
    <w:basedOn w:val="CommentText"/>
    <w:next w:val="CommentText"/>
    <w:link w:val="CommentSubjectChar"/>
    <w:rsid w:val="00BE6DAF"/>
    <w:rPr>
      <w:b/>
      <w:bCs/>
    </w:rPr>
  </w:style>
  <w:style w:type="character" w:customStyle="1" w:styleId="CommentSubjectChar">
    <w:name w:val="Comment Subject Char"/>
    <w:basedOn w:val="CommentTextChar"/>
    <w:link w:val="CommentSubject"/>
    <w:rsid w:val="00BE6DAF"/>
    <w:rPr>
      <w:b/>
      <w:bCs/>
      <w:lang w:val="fi-FI"/>
    </w:rPr>
  </w:style>
  <w:style w:type="character" w:styleId="FollowedHyperlink">
    <w:name w:val="FollowedHyperlink"/>
    <w:basedOn w:val="DefaultParagraphFont"/>
    <w:rsid w:val="00BE6D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FI/TXT/?uri=CELEX:52020DC0667"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fi/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1854</Words>
  <Characters>15960</Characters>
  <Application>Microsoft Office Word</Application>
  <DocSecurity>0</DocSecurity>
  <Lines>133</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2025-10-08T12:54:00Z</dcterms:created>
  <dcterms:modified xsi:type="dcterms:W3CDTF">2025-10-08T12:54:00Z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B10-0407/2025</vt:lpwstr>
  </property>
  <property fmtid="{D5CDD505-2E9C-101B-9397-08002B2CF9AE}" pid="4" name="&lt;Type&gt;">
    <vt:lpwstr>RR</vt:lpwstr>
  </property>
</Properties>
</file>