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EBC" w14:paraId="33EC43F9" w14:textId="77777777" w:rsidTr="0010095E">
        <w:trPr>
          <w:trHeight w:hRule="exact" w:val="1418"/>
        </w:trPr>
        <w:tc>
          <w:tcPr>
            <w:tcW w:w="6804" w:type="dxa"/>
            <w:shd w:val="clear" w:color="auto" w:fill="auto"/>
            <w:vAlign w:val="center"/>
          </w:tcPr>
          <w:p w14:paraId="68925B3E" w14:textId="77777777" w:rsidR="00751A4A" w:rsidRPr="00DD0EBC" w:rsidRDefault="00E30DF0" w:rsidP="0010095E">
            <w:pPr>
              <w:pStyle w:val="EPName"/>
            </w:pPr>
            <w:r w:rsidRPr="00DD0EBC">
              <w:t>Europski parlament</w:t>
            </w:r>
          </w:p>
          <w:p w14:paraId="51C352D5" w14:textId="77777777" w:rsidR="00751A4A" w:rsidRPr="00DD0EBC" w:rsidRDefault="005F1B17" w:rsidP="005F1B17">
            <w:pPr>
              <w:pStyle w:val="EPTerm"/>
              <w:rPr>
                <w:rStyle w:val="HideTWBExt"/>
                <w:noProof w:val="0"/>
                <w:vanish w:val="0"/>
                <w:color w:val="auto"/>
              </w:rPr>
            </w:pPr>
            <w:r w:rsidRPr="00DD0EBC">
              <w:t>2024</w:t>
            </w:r>
            <w:r w:rsidR="00817416" w:rsidRPr="00DD0EBC">
              <w:t>-202</w:t>
            </w:r>
            <w:r w:rsidRPr="00DD0EBC">
              <w:t>9</w:t>
            </w:r>
          </w:p>
        </w:tc>
        <w:tc>
          <w:tcPr>
            <w:tcW w:w="2268" w:type="dxa"/>
            <w:shd w:val="clear" w:color="auto" w:fill="auto"/>
          </w:tcPr>
          <w:p w14:paraId="4D4D9224" w14:textId="77777777" w:rsidR="00751A4A" w:rsidRPr="00DD0EBC" w:rsidRDefault="00187494" w:rsidP="0010095E">
            <w:pPr>
              <w:pStyle w:val="EPLogo"/>
            </w:pPr>
            <w:r w:rsidRPr="00DD0EBC">
              <w:rPr>
                <w:noProof/>
                <w:lang w:eastAsia="ja-JP"/>
              </w:rPr>
              <w:drawing>
                <wp:inline distT="0" distB="0" distL="0" distR="0" wp14:anchorId="30EFB65B" wp14:editId="773390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F87995" w14:textId="77777777" w:rsidR="00D058B8" w:rsidRPr="00DD0EBC" w:rsidRDefault="00D058B8" w:rsidP="004C5D52">
      <w:pPr>
        <w:pStyle w:val="LineTop"/>
      </w:pPr>
    </w:p>
    <w:p w14:paraId="1C5CFF9B" w14:textId="77777777" w:rsidR="00680577" w:rsidRPr="00DD0EBC" w:rsidRDefault="00E30DF0" w:rsidP="00680577">
      <w:pPr>
        <w:pStyle w:val="EPBodyTA1"/>
      </w:pPr>
      <w:r w:rsidRPr="00DD0EBC">
        <w:t>USVOJENI TEKSTOVI</w:t>
      </w:r>
    </w:p>
    <w:p w14:paraId="36C692CF" w14:textId="77777777" w:rsidR="00D058B8" w:rsidRPr="00DD0EBC" w:rsidRDefault="00D058B8" w:rsidP="00D058B8">
      <w:pPr>
        <w:pStyle w:val="LineBottom"/>
      </w:pPr>
    </w:p>
    <w:p w14:paraId="7AFADD32" w14:textId="145A9E20" w:rsidR="00E30DF0" w:rsidRPr="00DD0EBC" w:rsidRDefault="00E30DF0" w:rsidP="00E30DF0">
      <w:pPr>
        <w:pStyle w:val="ATHeading1"/>
      </w:pPr>
      <w:bookmarkStart w:id="0" w:name="TANumber"/>
      <w:r w:rsidRPr="00DD0EBC">
        <w:t>P10_TA(2025)0</w:t>
      </w:r>
      <w:r w:rsidR="001E3B0E">
        <w:t>222</w:t>
      </w:r>
      <w:bookmarkEnd w:id="0"/>
    </w:p>
    <w:p w14:paraId="0504CABE" w14:textId="50DC61AA" w:rsidR="00E30DF0" w:rsidRPr="00DD0EBC" w:rsidRDefault="008B097B" w:rsidP="00E30DF0">
      <w:pPr>
        <w:pStyle w:val="ATHeading2"/>
      </w:pPr>
      <w:bookmarkStart w:id="1" w:name="title"/>
      <w:r>
        <w:t>G</w:t>
      </w:r>
      <w:r w:rsidR="00E30DF0" w:rsidRPr="00DD0EBC">
        <w:t>enetski modificirani kukuruz DP51291</w:t>
      </w:r>
      <w:bookmarkEnd w:id="1"/>
    </w:p>
    <w:p w14:paraId="23E28D01" w14:textId="77777777" w:rsidR="00E30DF0" w:rsidRPr="00DD0EBC" w:rsidRDefault="00E30DF0" w:rsidP="00E30DF0">
      <w:pPr>
        <w:rPr>
          <w:i/>
          <w:vanish/>
        </w:rPr>
      </w:pPr>
      <w:r w:rsidRPr="00DD0EBC">
        <w:rPr>
          <w:i/>
        </w:rPr>
        <w:fldChar w:fldCharType="begin"/>
      </w:r>
      <w:r w:rsidRPr="00DD0EBC">
        <w:rPr>
          <w:i/>
        </w:rPr>
        <w:instrText xml:space="preserve"> TC"(</w:instrText>
      </w:r>
      <w:bookmarkStart w:id="2" w:name="DocNumber"/>
      <w:r w:rsidRPr="00DD0EBC">
        <w:rPr>
          <w:i/>
        </w:rPr>
        <w:instrText>B10-0407/2025</w:instrText>
      </w:r>
      <w:bookmarkEnd w:id="2"/>
      <w:r w:rsidRPr="00DD0EBC">
        <w:rPr>
          <w:i/>
        </w:rPr>
        <w:instrText xml:space="preserve">)"\l3 \n&gt; \* MERGEFORMAT </w:instrText>
      </w:r>
      <w:r w:rsidRPr="00DD0EBC">
        <w:rPr>
          <w:i/>
        </w:rPr>
        <w:fldChar w:fldCharType="end"/>
      </w:r>
    </w:p>
    <w:p w14:paraId="454818C2" w14:textId="77777777" w:rsidR="00E30DF0" w:rsidRPr="00DD0EBC" w:rsidRDefault="00E30DF0" w:rsidP="00E30DF0">
      <w:pPr>
        <w:rPr>
          <w:vanish/>
        </w:rPr>
      </w:pPr>
      <w:bookmarkStart w:id="3" w:name="PE"/>
      <w:r w:rsidRPr="00DD0EBC">
        <w:rPr>
          <w:vanish/>
        </w:rPr>
        <w:t>PE775.588</w:t>
      </w:r>
      <w:bookmarkEnd w:id="3"/>
    </w:p>
    <w:p w14:paraId="79EAA98F" w14:textId="6B2EC363" w:rsidR="00E30DF0" w:rsidRPr="00DD0EBC" w:rsidRDefault="00E30DF0" w:rsidP="00E30DF0">
      <w:pPr>
        <w:pStyle w:val="ATHeading3"/>
      </w:pPr>
      <w:bookmarkStart w:id="4" w:name="Sujet"/>
      <w:r w:rsidRPr="00DD0EBC">
        <w:t xml:space="preserve">Rezolucija Europskog parlamenta od </w:t>
      </w:r>
      <w:r w:rsidR="0038381E">
        <w:t>8. listopada</w:t>
      </w:r>
      <w:r w:rsidRPr="00DD0EBC">
        <w:t xml:space="preserve"> 2025. o </w:t>
      </w:r>
      <w:r w:rsidR="001E3B0E">
        <w:t>P</w:t>
      </w:r>
      <w:r w:rsidRPr="00DD0EBC">
        <w:t>rovedben</w:t>
      </w:r>
      <w:r w:rsidR="008B097B">
        <w:t>oj</w:t>
      </w:r>
      <w:r w:rsidRPr="00DD0EBC">
        <w:t xml:space="preserve"> odlu</w:t>
      </w:r>
      <w:r w:rsidR="008B097B">
        <w:t>ci</w:t>
      </w:r>
      <w:r w:rsidRPr="00DD0EBC">
        <w:t xml:space="preserve"> Komisije </w:t>
      </w:r>
      <w:r w:rsidR="008B097B" w:rsidRPr="008B097B">
        <w:t>(EU) 2025/1898 o</w:t>
      </w:r>
      <w:r w:rsidR="008B097B">
        <w:t>d</w:t>
      </w:r>
      <w:r w:rsidR="008B097B" w:rsidRPr="008B097B">
        <w:t xml:space="preserve"> 22</w:t>
      </w:r>
      <w:r w:rsidR="008B097B">
        <w:t>. rujna</w:t>
      </w:r>
      <w:r w:rsidR="008B097B" w:rsidRPr="008B097B">
        <w:t xml:space="preserve"> 2025</w:t>
      </w:r>
      <w:r w:rsidR="003E086C">
        <w:t>.</w:t>
      </w:r>
      <w:r w:rsidR="008B097B" w:rsidRPr="008B097B">
        <w:t xml:space="preserve"> </w:t>
      </w:r>
      <w:r w:rsidRPr="00DD0EBC">
        <w:t>o odobravanju stavljanja na tržište proizvoda koji sadržavaju genetski modificirani kukuruz DP51291, sastoje se od njega ili su od njega proizvedeni, na temelju Uredbe (EZ) br. 1829/2003 Europskog parlamenta i Vijeća</w:t>
      </w:r>
      <w:bookmarkEnd w:id="4"/>
      <w:r w:rsidRPr="00DD0EBC">
        <w:t xml:space="preserve"> </w:t>
      </w:r>
      <w:bookmarkStart w:id="5" w:name="References"/>
      <w:r w:rsidRPr="00DD0EBC">
        <w:t>(2025/2807(RSP))</w:t>
      </w:r>
      <w:bookmarkEnd w:id="5"/>
    </w:p>
    <w:p w14:paraId="5E446EB8" w14:textId="77777777" w:rsidR="004F7159" w:rsidRPr="00DD0EBC" w:rsidRDefault="004F7159" w:rsidP="004F7159">
      <w:pPr>
        <w:pStyle w:val="EPComma"/>
        <w:jc w:val="both"/>
      </w:pPr>
      <w:bookmarkStart w:id="6" w:name="TextBodyBegin"/>
      <w:bookmarkEnd w:id="6"/>
      <w:r w:rsidRPr="00DD0EBC">
        <w:rPr>
          <w:i/>
          <w:iCs/>
        </w:rPr>
        <w:t>Europski parlament</w:t>
      </w:r>
      <w:r w:rsidRPr="00DD0EBC">
        <w:t>,</w:t>
      </w:r>
    </w:p>
    <w:p w14:paraId="0258660F" w14:textId="071A7028" w:rsidR="004F7159" w:rsidRPr="00DD0EBC" w:rsidRDefault="004F7159" w:rsidP="004F7159">
      <w:pPr>
        <w:pStyle w:val="NormalHanging12a"/>
        <w:widowControl/>
        <w:rPr>
          <w:szCs w:val="24"/>
        </w:rPr>
      </w:pPr>
      <w:r w:rsidRPr="00DD0EBC">
        <w:t>–</w:t>
      </w:r>
      <w:r w:rsidRPr="00DD0EBC">
        <w:tab/>
        <w:t xml:space="preserve">uzimajući u obzir </w:t>
      </w:r>
      <w:r w:rsidR="00906F7E">
        <w:t>P</w:t>
      </w:r>
      <w:r w:rsidRPr="00DD0EBC">
        <w:t>rovedben</w:t>
      </w:r>
      <w:r w:rsidR="008B097B">
        <w:t>u</w:t>
      </w:r>
      <w:r w:rsidRPr="00DD0EBC">
        <w:t xml:space="preserve"> odluk</w:t>
      </w:r>
      <w:r w:rsidR="008B097B">
        <w:t>u</w:t>
      </w:r>
      <w:r w:rsidRPr="00DD0EBC">
        <w:t xml:space="preserve"> Komisije </w:t>
      </w:r>
      <w:r w:rsidR="008B097B" w:rsidRPr="008B097B">
        <w:t>(EU) 2025/1898 od 22. rujna 2025</w:t>
      </w:r>
      <w:r w:rsidR="003E086C">
        <w:t>.</w:t>
      </w:r>
      <w:r w:rsidR="008B097B" w:rsidRPr="008B097B">
        <w:t xml:space="preserve"> </w:t>
      </w:r>
      <w:r w:rsidRPr="00DD0EBC">
        <w:t>o odobravanju stavljanja na tržište proizvoda koji sadržavaju genetski modificirani kukuruz DP51291, sastoje se od njega ili su od njega proizvedeni, na temelju Uredbe (EZ) br. 1829/2003 Europskog parlamenta i Vijeća</w:t>
      </w:r>
      <w:r w:rsidR="008B097B">
        <w:rPr>
          <w:rStyle w:val="FootnoteReference"/>
        </w:rPr>
        <w:footnoteReference w:id="1"/>
      </w:r>
    </w:p>
    <w:p w14:paraId="144FFF6E" w14:textId="77777777" w:rsidR="004F7159" w:rsidRPr="00DD0EBC" w:rsidRDefault="004F7159" w:rsidP="004F7159">
      <w:pPr>
        <w:pStyle w:val="NormalHanging12a"/>
        <w:widowControl/>
        <w:rPr>
          <w:szCs w:val="24"/>
        </w:rPr>
      </w:pPr>
      <w:r w:rsidRPr="00DD0EBC">
        <w:t>–</w:t>
      </w:r>
      <w:r w:rsidRPr="00DD0EBC">
        <w:tab/>
        <w:t>uzimajući u obzir Uredbu (EZ) br. 1829/2003 Europskog parlamenta i Vijeća od 22. rujna 2003. o genetski modificiranoj hrani i hrani za životinje</w:t>
      </w:r>
      <w:r w:rsidRPr="00DD0EBC">
        <w:rPr>
          <w:rStyle w:val="FootnoteReference"/>
          <w:szCs w:val="24"/>
        </w:rPr>
        <w:footnoteReference w:id="2"/>
      </w:r>
      <w:r w:rsidRPr="00DD0EBC">
        <w:t>, a posebno njezin članak 7. stavak 3. i članak 19. stavak 3.,</w:t>
      </w:r>
    </w:p>
    <w:p w14:paraId="5C06D85B" w14:textId="77777777" w:rsidR="004F7159" w:rsidRPr="00DD0EBC" w:rsidRDefault="004F7159" w:rsidP="004F7159">
      <w:pPr>
        <w:pStyle w:val="NormalHanging12a"/>
        <w:widowControl/>
        <w:rPr>
          <w:szCs w:val="24"/>
        </w:rPr>
      </w:pPr>
      <w:r w:rsidRPr="00DD0EBC">
        <w:t>–</w:t>
      </w:r>
      <w:r w:rsidRPr="00DD0EBC">
        <w:tab/>
        <w:t xml:space="preserve">uzimajući u obzir glasovanje </w:t>
      </w:r>
      <w:r w:rsidRPr="00DD0EBC">
        <w:rPr>
          <w:shd w:val="clear" w:color="auto" w:fill="FFFFFF"/>
        </w:rPr>
        <w:t>Stalnog odbora za bilje, životinje, hranu i hranu za životinje iz članka 35. Uredbe (EZ) br. 1829/2003, koje je održano 13. lipnja 2025. i tijekom kojeg nije doneseno mišljenje, te glasovanje žalbenog odbora od 15. srpnja 2025., kada, isto tako, nije doneseno</w:t>
      </w:r>
      <w:r w:rsidRPr="00DD0EBC">
        <w:t xml:space="preserve"> mišljenje,</w:t>
      </w:r>
    </w:p>
    <w:p w14:paraId="0DA71126" w14:textId="77777777" w:rsidR="004F7159" w:rsidRPr="00DD0EBC" w:rsidRDefault="004F7159" w:rsidP="004F7159">
      <w:pPr>
        <w:pStyle w:val="NormalHanging12a"/>
        <w:widowControl/>
        <w:rPr>
          <w:szCs w:val="24"/>
        </w:rPr>
      </w:pPr>
      <w:r w:rsidRPr="00DD0EBC">
        <w:t>–</w:t>
      </w:r>
      <w:r w:rsidRPr="00DD0EBC">
        <w:tab/>
        <w:t>uzimajući u obzir članak 11. Uredbe (EU) br. 182/2011 Europskog parlamenta i Vijeća od 16. veljače 2011. o utvrđivanju pravila i općih načela u vezi s mehanizmima nadzora država članica nad izvršavanjem provedbenih ovlasti Komisije</w:t>
      </w:r>
      <w:r w:rsidRPr="00DD0EBC">
        <w:rPr>
          <w:rStyle w:val="FootnoteReference"/>
          <w:szCs w:val="24"/>
        </w:rPr>
        <w:footnoteReference w:id="3"/>
      </w:r>
      <w:r w:rsidRPr="00DD0EBC">
        <w:t>,</w:t>
      </w:r>
    </w:p>
    <w:p w14:paraId="5D499C78" w14:textId="77777777" w:rsidR="004F7159" w:rsidRPr="00DD0EBC" w:rsidRDefault="004F7159" w:rsidP="004F7159">
      <w:pPr>
        <w:pStyle w:val="NormalHanging12a"/>
        <w:widowControl/>
        <w:rPr>
          <w:szCs w:val="24"/>
        </w:rPr>
      </w:pPr>
      <w:r w:rsidRPr="00DD0EBC">
        <w:t>–</w:t>
      </w:r>
      <w:r w:rsidRPr="00DD0EBC">
        <w:tab/>
        <w:t>uzimajući u obzir mišljenje Europske agencije za sigurnost hrane (EFSA) usvojeno 2. listopada 2024. i objavljeno 11. studenoga 2024.</w:t>
      </w:r>
      <w:r w:rsidRPr="00DD0EBC">
        <w:rPr>
          <w:rStyle w:val="FootnoteReference"/>
          <w:szCs w:val="24"/>
        </w:rPr>
        <w:footnoteReference w:id="4"/>
      </w:r>
      <w:r w:rsidRPr="00DD0EBC">
        <w:t>,</w:t>
      </w:r>
    </w:p>
    <w:p w14:paraId="6C04943D" w14:textId="77777777" w:rsidR="004F7159" w:rsidRPr="00DD0EBC" w:rsidRDefault="004F7159" w:rsidP="004F7159">
      <w:pPr>
        <w:pStyle w:val="NormalHanging12a"/>
        <w:widowControl/>
        <w:rPr>
          <w:szCs w:val="24"/>
          <w:shd w:val="clear" w:color="auto" w:fill="FFFFFF"/>
        </w:rPr>
      </w:pPr>
      <w:r w:rsidRPr="00DD0EBC">
        <w:lastRenderedPageBreak/>
        <w:t>–</w:t>
      </w:r>
      <w:r w:rsidRPr="00DD0EBC">
        <w:tab/>
      </w:r>
      <w:r w:rsidRPr="00DD0EBC">
        <w:rPr>
          <w:shd w:val="clear" w:color="auto" w:fill="FFFFFF"/>
        </w:rPr>
        <w:t>uzimajući u obzir svoje prethodne rezolucije u kojima se protivi odobravanju genetski modificiranih organizama</w:t>
      </w:r>
      <w:r w:rsidRPr="00DD0EBC">
        <w:rPr>
          <w:rStyle w:val="FootnoteReference"/>
          <w:szCs w:val="24"/>
          <w:shd w:val="clear" w:color="auto" w:fill="FFFFFF"/>
        </w:rPr>
        <w:footnoteReference w:id="5"/>
      </w:r>
      <w:r w:rsidRPr="00DD0EBC">
        <w:rPr>
          <w:shd w:val="clear" w:color="auto" w:fill="FFFFFF"/>
        </w:rPr>
        <w:t>,</w:t>
      </w:r>
    </w:p>
    <w:p w14:paraId="06B7D08A" w14:textId="77777777" w:rsidR="004F7159" w:rsidRPr="00DD0EBC" w:rsidRDefault="004F7159" w:rsidP="004F7159">
      <w:pPr>
        <w:pStyle w:val="NormalHanging12a"/>
        <w:widowControl/>
        <w:rPr>
          <w:szCs w:val="24"/>
        </w:rPr>
      </w:pPr>
      <w:r w:rsidRPr="00DD0EBC">
        <w:lastRenderedPageBreak/>
        <w:t>–</w:t>
      </w:r>
      <w:r w:rsidRPr="00DD0EBC">
        <w:tab/>
        <w:t>uzimajući u obzir članak 115. stavke 2. i 3. Poslovnika,</w:t>
      </w:r>
    </w:p>
    <w:p w14:paraId="54C7F2A8" w14:textId="77777777" w:rsidR="004F7159" w:rsidRPr="00DD0EBC" w:rsidRDefault="004F7159" w:rsidP="004F7159">
      <w:pPr>
        <w:pStyle w:val="NormalHanging12a"/>
        <w:widowControl/>
        <w:rPr>
          <w:szCs w:val="24"/>
        </w:rPr>
      </w:pPr>
      <w:r w:rsidRPr="00DD0EBC">
        <w:t>–</w:t>
      </w:r>
      <w:r w:rsidRPr="00DD0EBC">
        <w:tab/>
        <w:t>uzimajući u obzir prijedlog rezolucije Odbora za okoliš, klimu i sigurnost hrane,</w:t>
      </w:r>
    </w:p>
    <w:p w14:paraId="15B4FD89" w14:textId="77777777" w:rsidR="004F7159" w:rsidRPr="00DD0EBC" w:rsidRDefault="004F7159" w:rsidP="004F7159">
      <w:pPr>
        <w:pStyle w:val="NormalHanging12a"/>
        <w:widowControl/>
        <w:rPr>
          <w:szCs w:val="24"/>
        </w:rPr>
      </w:pPr>
      <w:r w:rsidRPr="00DD0EBC">
        <w:t>A.</w:t>
      </w:r>
      <w:r w:rsidRPr="00DD0EBC">
        <w:tab/>
        <w:t xml:space="preserve">budući da je društvo </w:t>
      </w:r>
      <w:proofErr w:type="spellStart"/>
      <w:r w:rsidRPr="00DD0EBC">
        <w:t>Corteva</w:t>
      </w:r>
      <w:proofErr w:type="spellEnd"/>
      <w:r w:rsidRPr="00DD0EBC">
        <w:t xml:space="preserve"> </w:t>
      </w:r>
      <w:proofErr w:type="spellStart"/>
      <w:r w:rsidRPr="00DD0EBC">
        <w:t>Agriscience</w:t>
      </w:r>
      <w:proofErr w:type="spellEnd"/>
      <w:r w:rsidRPr="00DD0EBC">
        <w:t xml:space="preserve"> </w:t>
      </w:r>
      <w:proofErr w:type="spellStart"/>
      <w:r w:rsidRPr="00DD0EBC">
        <w:t>Belgium</w:t>
      </w:r>
      <w:proofErr w:type="spellEnd"/>
      <w:r w:rsidRPr="00DD0EBC">
        <w:t xml:space="preserve"> B.V., sa sjedištem u Belgiji, u ime društva </w:t>
      </w:r>
      <w:proofErr w:type="spellStart"/>
      <w:r w:rsidRPr="00DD0EBC">
        <w:t>Corteva</w:t>
      </w:r>
      <w:proofErr w:type="spellEnd"/>
      <w:r w:rsidRPr="00DD0EBC">
        <w:t xml:space="preserve"> </w:t>
      </w:r>
      <w:proofErr w:type="spellStart"/>
      <w:r w:rsidRPr="00DD0EBC">
        <w:t>Agriscience</w:t>
      </w:r>
      <w:proofErr w:type="spellEnd"/>
      <w:r w:rsidRPr="00DD0EBC">
        <w:t xml:space="preserve"> LLC, sa sjedištem u Sjedinjenim Američkim Državama, 27. siječnja 2023. nacionalnom nadležnom tijelu Nizozemske podnijelo zahtjev za stavljanje na tržište hrane, sastojaka hrane i hrane za životinje koji sadržavaju genetski modificirani kukuruz DP51291, sastoje se od njega ili su proizvedeni od njega („genetski modificirani kukuruz”);</w:t>
      </w:r>
    </w:p>
    <w:p w14:paraId="5B6F36D3" w14:textId="77777777" w:rsidR="004F7159" w:rsidRPr="00DD0EBC" w:rsidRDefault="004F7159" w:rsidP="004F7159">
      <w:pPr>
        <w:pStyle w:val="NormalHanging12a"/>
        <w:widowControl/>
        <w:rPr>
          <w:szCs w:val="24"/>
        </w:rPr>
      </w:pPr>
      <w:r w:rsidRPr="00DD0EBC">
        <w:t>B.</w:t>
      </w:r>
      <w:r w:rsidRPr="00DD0EBC">
        <w:tab/>
        <w:t xml:space="preserve">budući da genetski modificirani kukuruz proizvodi toksin IPD072Aa za djelovanje protiv kukuruzne zlatice, bjelančevinu </w:t>
      </w:r>
      <w:proofErr w:type="spellStart"/>
      <w:r w:rsidRPr="00DD0EBC">
        <w:t>fosfinotricin-acetil-transferaza</w:t>
      </w:r>
      <w:proofErr w:type="spellEnd"/>
      <w:r w:rsidRPr="00DD0EBC">
        <w:t xml:space="preserve"> (PAT) koja daje toleranciju na herbicide koji sadržavaju </w:t>
      </w:r>
      <w:proofErr w:type="spellStart"/>
      <w:r w:rsidRPr="00DD0EBC">
        <w:t>glufosinat</w:t>
      </w:r>
      <w:proofErr w:type="spellEnd"/>
      <w:r w:rsidRPr="00DD0EBC">
        <w:t xml:space="preserve"> i bjelančevinu PMI kao selekcijski marker;</w:t>
      </w:r>
    </w:p>
    <w:p w14:paraId="5497367C" w14:textId="77777777" w:rsidR="004F7159" w:rsidRPr="00DD0EBC" w:rsidRDefault="004F7159" w:rsidP="004F7159">
      <w:pPr>
        <w:pStyle w:val="NormalHanging12a"/>
        <w:widowControl/>
        <w:rPr>
          <w:szCs w:val="24"/>
        </w:rPr>
      </w:pPr>
      <w:r w:rsidRPr="00DD0EBC">
        <w:t>C.</w:t>
      </w:r>
      <w:r w:rsidRPr="00DD0EBC">
        <w:tab/>
        <w:t xml:space="preserve">budući da se </w:t>
      </w:r>
      <w:proofErr w:type="spellStart"/>
      <w:r w:rsidRPr="00DD0EBC">
        <w:t>glufosinat</w:t>
      </w:r>
      <w:proofErr w:type="spellEnd"/>
      <w:r w:rsidRPr="00DD0EBC">
        <w:t>, koji se smatra komplementarnim herbicidom, klasificira kao reproduktivno toksična tvar u kategoriji 1B i stoga ispunjava kriterije za isključivanje iz Uredbe (EZ) br. 1107/2009 Europskog parlamenta i Vijeća</w:t>
      </w:r>
      <w:r w:rsidRPr="00DD0EBC">
        <w:rPr>
          <w:rStyle w:val="FootnoteReference"/>
          <w:szCs w:val="24"/>
        </w:rPr>
        <w:footnoteReference w:id="6"/>
      </w:r>
      <w:r w:rsidRPr="00DD0EBC">
        <w:t>; budući da je odobrenje za upotrebu glufosinata u Uniji isteklo 31. srpnja 2018.;</w:t>
      </w:r>
    </w:p>
    <w:p w14:paraId="48121A39" w14:textId="77777777" w:rsidR="004F7159" w:rsidRPr="00DD0EBC" w:rsidRDefault="004F7159" w:rsidP="004F7159">
      <w:pPr>
        <w:pStyle w:val="NormalHanging12a"/>
        <w:widowControl/>
        <w:rPr>
          <w:szCs w:val="24"/>
        </w:rPr>
      </w:pPr>
      <w:r w:rsidRPr="00DD0EBC">
        <w:t>D.</w:t>
      </w:r>
      <w:r w:rsidRPr="00DD0EBC">
        <w:tab/>
        <w:t xml:space="preserve">budući da je IPD072Aa insekticidni toksin proizveden bakterijom Pseudomonas chlororaphis, osmišljen da djeluje protiv kukuruzne zlatice; </w:t>
      </w:r>
    </w:p>
    <w:p w14:paraId="7984DB1D" w14:textId="77777777" w:rsidR="004F7159" w:rsidRPr="00DD0EBC" w:rsidRDefault="004F7159" w:rsidP="004F7159">
      <w:pPr>
        <w:pStyle w:val="NormalHanging12a"/>
        <w:widowControl/>
        <w:rPr>
          <w:b/>
          <w:i/>
          <w:iCs/>
          <w:szCs w:val="24"/>
        </w:rPr>
      </w:pPr>
      <w:r w:rsidRPr="00DD0EBC">
        <w:rPr>
          <w:b/>
          <w:i/>
        </w:rPr>
        <w:t>Složeno genetičko inženjerstvo</w:t>
      </w:r>
    </w:p>
    <w:p w14:paraId="78D6E2A4" w14:textId="77777777" w:rsidR="004F7159" w:rsidRPr="00DD0EBC" w:rsidRDefault="004F7159" w:rsidP="004F7159">
      <w:pPr>
        <w:pStyle w:val="NormalHanging12a"/>
        <w:widowControl/>
        <w:rPr>
          <w:szCs w:val="24"/>
        </w:rPr>
      </w:pPr>
      <w:r w:rsidRPr="00DD0EBC">
        <w:t>E.</w:t>
      </w:r>
      <w:r w:rsidRPr="00DD0EBC">
        <w:tab/>
        <w:t>budući da je kukuruz DP51291 razvijen složenim višestupanjskim postupkom genetskog inženjeringa koji je uključivao stvaranje genomskog „sidrišta”, nakon čega su uslijedila istodobna mikroprojektilna bombardiranja s pomoću pet plazmida te naknadna umetanja ekspresijskih kazeta u sidrište s pomoću bakterije Agrobacterium tumefaciens;</w:t>
      </w:r>
    </w:p>
    <w:p w14:paraId="66C19833" w14:textId="77777777" w:rsidR="004F7159" w:rsidRPr="00DD0EBC" w:rsidRDefault="004F7159" w:rsidP="004F7159">
      <w:pPr>
        <w:pStyle w:val="NormalHanging12a"/>
        <w:widowControl/>
        <w:rPr>
          <w:szCs w:val="24"/>
        </w:rPr>
      </w:pPr>
      <w:r w:rsidRPr="00DD0EBC">
        <w:lastRenderedPageBreak/>
        <w:t>F.</w:t>
      </w:r>
      <w:r w:rsidRPr="00DD0EBC">
        <w:tab/>
        <w:t>budući da je taj postupak genetske modifikacije doveo do brisanja 113 baznih parova genomskog DNK-a kukuruza, što je otkriveno bioinformatičkom analizom, i doveo do stvaranja nekoliko novih otvorenih okvira za čitanje, što ukazuje na moguće genomske perturbacije koje proizlaze iz postupka transformacije; budući da je pet od tih otvorenih okvira za čitanje imalo više od 35 % identičnosti sekvenci poznatih alergena, čime je premašen prag koji se obično upotrebljava u procjenama alergenosti</w:t>
      </w:r>
      <w:r w:rsidRPr="00DD0EBC">
        <w:rPr>
          <w:rStyle w:val="FootnoteReference"/>
          <w:szCs w:val="24"/>
        </w:rPr>
        <w:footnoteReference w:id="7"/>
      </w:r>
      <w:r w:rsidRPr="00DD0EBC">
        <w:t xml:space="preserve">; </w:t>
      </w:r>
    </w:p>
    <w:p w14:paraId="2BF8C8A7" w14:textId="77777777" w:rsidR="004F7159" w:rsidRPr="00DD0EBC" w:rsidRDefault="004F7159" w:rsidP="004F7159">
      <w:pPr>
        <w:pStyle w:val="NormalHanging12a"/>
        <w:widowControl/>
        <w:rPr>
          <w:b/>
          <w:i/>
          <w:iCs/>
          <w:szCs w:val="24"/>
        </w:rPr>
      </w:pPr>
      <w:r w:rsidRPr="00DD0EBC">
        <w:rPr>
          <w:b/>
          <w:i/>
        </w:rPr>
        <w:t>Nedostatak podataka o poljoprivrednim praksama i okolišnim čimbenicima</w:t>
      </w:r>
    </w:p>
    <w:p w14:paraId="02366645" w14:textId="77777777" w:rsidR="004F7159" w:rsidRPr="00DD0EBC" w:rsidRDefault="004F7159" w:rsidP="004F7159">
      <w:pPr>
        <w:pStyle w:val="NormalHanging12a"/>
        <w:widowControl/>
        <w:rPr>
          <w:szCs w:val="24"/>
        </w:rPr>
      </w:pPr>
      <w:r w:rsidRPr="00DD0EBC">
        <w:t>G.</w:t>
      </w:r>
      <w:r w:rsidRPr="00DD0EBC">
        <w:tab/>
        <w:t>budući da se Provedbenom uredbom Komisije (EU) br. 503/2013</w:t>
      </w:r>
      <w:r w:rsidRPr="00DD0EBC">
        <w:rPr>
          <w:rStyle w:val="FootnoteReference"/>
          <w:szCs w:val="24"/>
        </w:rPr>
        <w:footnoteReference w:id="8"/>
      </w:r>
      <w:r w:rsidRPr="00DD0EBC">
        <w:t xml:space="preserve"> zahtijeva procjena o tome utječu li očekivane poljoprivredne prakse na ekspresije proučavanih krajnjih točaka; budući da je u skladu s tom Provedbenom uredbom to posebno relevantno za biljke otporne na herbicide;</w:t>
      </w:r>
    </w:p>
    <w:p w14:paraId="7BFE0FFF" w14:textId="77777777" w:rsidR="004F7159" w:rsidRPr="00DD0EBC" w:rsidRDefault="004F7159" w:rsidP="004F7159">
      <w:pPr>
        <w:pStyle w:val="NormalHanging12a"/>
        <w:widowControl/>
        <w:rPr>
          <w:szCs w:val="24"/>
        </w:rPr>
      </w:pPr>
      <w:r w:rsidRPr="00DD0EBC">
        <w:t>H.</w:t>
      </w:r>
      <w:r w:rsidRPr="00DD0EBC">
        <w:tab/>
        <w:t>budući da okolišni stresori, kao što su suša ili ekstremne temperature, mogu izazvati neočekivane obrasce genske ekspresije u novoumetnutim sekvencama DNK-a</w:t>
      </w:r>
      <w:r w:rsidRPr="00DD0EBC">
        <w:rPr>
          <w:rStyle w:val="FootnoteReference"/>
          <w:szCs w:val="24"/>
        </w:rPr>
        <w:footnoteReference w:id="9"/>
      </w:r>
      <w:r w:rsidRPr="00DD0EBC">
        <w:t xml:space="preserve">; </w:t>
      </w:r>
    </w:p>
    <w:p w14:paraId="5CB8ACE9" w14:textId="77777777" w:rsidR="004F7159" w:rsidRPr="00DD0EBC" w:rsidRDefault="004F7159" w:rsidP="004F7159">
      <w:pPr>
        <w:pStyle w:val="NormalHanging12a"/>
        <w:widowControl/>
        <w:rPr>
          <w:szCs w:val="24"/>
        </w:rPr>
      </w:pPr>
      <w:r w:rsidRPr="00DD0EBC">
        <w:t>I.</w:t>
      </w:r>
      <w:r w:rsidRPr="00DD0EBC">
        <w:tab/>
        <w:t>budući da su terenska ispitivanja kojima se podupiru analiza sastava i fenotipske analize genetski modificiranog kukuruza provedena tijekom jedne sezone uzgoja (2021.) u Sjedinjenim Američkim Državama i Kanadi u vremenskim uvjetima koji na odgovarajući način ne predstavljaju raznolikost regija u kojima se uzgaja kukuruz, posebno u zemljama kao što je Brazil;</w:t>
      </w:r>
    </w:p>
    <w:p w14:paraId="33CE608E" w14:textId="77777777" w:rsidR="004F7159" w:rsidRPr="00DD0EBC" w:rsidRDefault="004F7159" w:rsidP="004F7159">
      <w:pPr>
        <w:pStyle w:val="NormalHanging12a"/>
        <w:widowControl/>
        <w:rPr>
          <w:szCs w:val="24"/>
        </w:rPr>
      </w:pPr>
      <w:r w:rsidRPr="00DD0EBC">
        <w:t>J.</w:t>
      </w:r>
      <w:r w:rsidRPr="00DD0EBC">
        <w:tab/>
        <w:t>budući da je na nekim lokacijama ispitivanja bilo dojava o ekstremnim vremenskim uvjetima; budući da nisu provedene posebne istrage kako bi se procijenili budući uvjeti na koje utječu aktualne klimatske promjene;</w:t>
      </w:r>
    </w:p>
    <w:p w14:paraId="0F5AEF5F" w14:textId="77777777" w:rsidR="004F7159" w:rsidRPr="00DD0EBC" w:rsidRDefault="004F7159" w:rsidP="004F7159">
      <w:pPr>
        <w:pStyle w:val="NormalHanging12a"/>
        <w:widowControl/>
        <w:rPr>
          <w:szCs w:val="24"/>
        </w:rPr>
      </w:pPr>
      <w:r w:rsidRPr="00DD0EBC">
        <w:t>K.</w:t>
      </w:r>
      <w:r w:rsidRPr="00DD0EBC">
        <w:tab/>
        <w:t>budući da je u skladu s preporukama EFSA-e o doziranju glufosinat primijenjen samo jednom tijekom terenskih ispitivanja; budući da se, međutim, u stvarnim poljoprivrednim praksama stope i frekvencija primjene herbicida često znatno razlikuju ovisno o regiji i mogu biti više ili učestalije, što znači da podaci o terenskim ispitivanjima možda ne odražavaju u dovoljnoj mjeri cijeli raspon okolišnih i poljoprivrednih uvjeta u kojima je vjerojatno da će se genetski modificirani kukuruz uzgajati ili uvoziti;</w:t>
      </w:r>
    </w:p>
    <w:p w14:paraId="2E9DC370" w14:textId="77777777" w:rsidR="004F7159" w:rsidRPr="00DD0EBC" w:rsidRDefault="004F7159" w:rsidP="004F7159">
      <w:pPr>
        <w:pStyle w:val="NormalHanging12a"/>
        <w:widowControl/>
        <w:rPr>
          <w:b/>
          <w:i/>
          <w:iCs/>
          <w:szCs w:val="24"/>
        </w:rPr>
      </w:pPr>
      <w:r w:rsidRPr="00DD0EBC">
        <w:rPr>
          <w:b/>
          <w:i/>
        </w:rPr>
        <w:t xml:space="preserve">Nedostatna istraženost glufosinata </w:t>
      </w:r>
    </w:p>
    <w:p w14:paraId="755F74CE" w14:textId="77777777" w:rsidR="004F7159" w:rsidRPr="00DD0EBC" w:rsidRDefault="004F7159" w:rsidP="004F7159">
      <w:pPr>
        <w:pStyle w:val="NormalHanging12a"/>
        <w:widowControl/>
        <w:rPr>
          <w:szCs w:val="24"/>
        </w:rPr>
      </w:pPr>
      <w:r w:rsidRPr="00DD0EBC">
        <w:lastRenderedPageBreak/>
        <w:t>L.</w:t>
      </w:r>
      <w:r w:rsidRPr="00DD0EBC">
        <w:tab/>
        <w:t>budući da je glufosinat povezan sa znatnim rizicima za biološku raznolikost, toksičnost te za dugoročno zdravlje ekosustava;</w:t>
      </w:r>
    </w:p>
    <w:p w14:paraId="6A10E9DC" w14:textId="77777777" w:rsidR="004F7159" w:rsidRPr="00DD0EBC" w:rsidRDefault="004F7159" w:rsidP="004F7159">
      <w:pPr>
        <w:pStyle w:val="NormalHanging12a"/>
        <w:widowControl/>
        <w:rPr>
          <w:szCs w:val="24"/>
        </w:rPr>
      </w:pPr>
      <w:r w:rsidRPr="00DD0EBC">
        <w:t>M.</w:t>
      </w:r>
      <w:r w:rsidRPr="00DD0EBC">
        <w:tab/>
        <w:t>budući da je velika većina genetski modificiranih usjeva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veća upotreba komplementarnih herbicida, velikim dijelom zbog pojave korova otpornih na herbicide</w:t>
      </w:r>
      <w:r w:rsidRPr="00DD0EBC">
        <w:rPr>
          <w:rStyle w:val="FootnoteReference"/>
          <w:szCs w:val="24"/>
        </w:rPr>
        <w:footnoteReference w:id="10"/>
      </w:r>
      <w:r w:rsidRPr="00DD0EBC">
        <w:t>;</w:t>
      </w:r>
    </w:p>
    <w:p w14:paraId="25E893D6" w14:textId="77777777" w:rsidR="004F7159" w:rsidRPr="00DD0EBC" w:rsidRDefault="004F7159" w:rsidP="004F7159">
      <w:pPr>
        <w:pStyle w:val="NormalHanging12a"/>
        <w:widowControl/>
        <w:rPr>
          <w:szCs w:val="24"/>
        </w:rPr>
      </w:pPr>
      <w:r w:rsidRPr="00DD0EBC">
        <w:t>N.</w:t>
      </w:r>
      <w:r w:rsidRPr="00DD0EBC">
        <w:tab/>
        <w:t>budući da genetski modificirani usjevi otporni na herbicide poljoprivrednike uvlače u sustav suzbijanja korova koji u velikoj mjeri ili u potpunosti ovisi o herbicidima, i to naplatom dodatka na cijenu za genetski modificirano sjeme, koji se može opravdati samo ako poljoprivrednici koji kupuju takvo sjeme koriste i komplementarne herbicide; budući da će se većim oslanjanjem na komplementarne herbicide na poljoprivrednim gospodarstvima na kojima su posađeni genetski modificirani usjevi ubrzati pojava i širenje korova otpornih na te herbicide, što će dovesti do potrebe za još većom upotrebom herbicida i pojave pod nazivom „začarani krug herbicida”;</w:t>
      </w:r>
    </w:p>
    <w:p w14:paraId="667C3655" w14:textId="77777777" w:rsidR="004F7159" w:rsidRPr="00DD0EBC" w:rsidRDefault="004F7159" w:rsidP="004F7159">
      <w:pPr>
        <w:pStyle w:val="NormalHanging12a"/>
        <w:widowControl/>
        <w:rPr>
          <w:szCs w:val="24"/>
        </w:rPr>
      </w:pPr>
      <w:r w:rsidRPr="00DD0EBC">
        <w:t>O.</w:t>
      </w:r>
      <w:r w:rsidRPr="00DD0EBC">
        <w:tab/>
        <w:t>budući da će se povećati negativni učinci s obzirom na zdravlje tla i kvalitetu vode te na biološku raznolikost iznad i ispod zemlje, koji proizlaze iz prekomjernog oslanjanja na herbicide, te će to dovesti do povećane izloženosti ljudi i životinja tim negativnim učincima, potencijalno i preko povećanja količine ostataka herbicida u hrani i hrani za životinje;</w:t>
      </w:r>
    </w:p>
    <w:p w14:paraId="463D408E" w14:textId="77777777" w:rsidR="004F7159" w:rsidRPr="00DD0EBC" w:rsidRDefault="004F7159" w:rsidP="004F7159">
      <w:pPr>
        <w:pStyle w:val="NormalHanging12a"/>
        <w:widowControl/>
        <w:rPr>
          <w:szCs w:val="24"/>
        </w:rPr>
      </w:pPr>
      <w:r w:rsidRPr="00DD0EBC">
        <w:t>P.</w:t>
      </w:r>
      <w:r w:rsidRPr="00DD0EBC">
        <w:tab/>
        <w:t>budući da se smatra da procjena za ostatke herbicida i metabolite pronađene na genetski modificiranim biljkama nije u nadležnosti Povjerenstva EFSA-e za genetski modificirane organizme te se stoga ne provodi u okviru postupka odobravanja GMO-a;</w:t>
      </w:r>
    </w:p>
    <w:p w14:paraId="36E27415" w14:textId="77777777" w:rsidR="004F7159" w:rsidRPr="00DD0EBC" w:rsidRDefault="004F7159" w:rsidP="004F7159">
      <w:pPr>
        <w:pStyle w:val="NormalHanging12a"/>
        <w:widowControl/>
        <w:rPr>
          <w:b/>
          <w:i/>
          <w:iCs/>
          <w:szCs w:val="24"/>
        </w:rPr>
      </w:pPr>
      <w:r w:rsidRPr="00DD0EBC">
        <w:rPr>
          <w:b/>
          <w:i/>
        </w:rPr>
        <w:t>Otvorena pitanja koja se odnose na toksin IPD072Aa</w:t>
      </w:r>
    </w:p>
    <w:p w14:paraId="288C2412" w14:textId="77777777" w:rsidR="004F7159" w:rsidRPr="00DD0EBC" w:rsidRDefault="004F7159" w:rsidP="004F7159">
      <w:pPr>
        <w:pStyle w:val="NormalHanging12a"/>
        <w:widowControl/>
        <w:rPr>
          <w:szCs w:val="24"/>
        </w:rPr>
      </w:pPr>
      <w:r w:rsidRPr="00DD0EBC">
        <w:t>Q.</w:t>
      </w:r>
      <w:r w:rsidRPr="00DD0EBC">
        <w:tab/>
        <w:t>budući da se Provedbenom uredbom (EU) br. 503/2013 zahtijeva toksikološka procjena kako bi se dokazalo da predviđeni učinci genetske modifikacije ne uključuju štetne učinke na zdravlje ljudi i životinja;</w:t>
      </w:r>
    </w:p>
    <w:p w14:paraId="2350833C" w14:textId="77777777" w:rsidR="004F7159" w:rsidRPr="00DD0EBC" w:rsidRDefault="004F7159" w:rsidP="004F7159">
      <w:pPr>
        <w:pStyle w:val="NormalHanging12a"/>
        <w:widowControl/>
        <w:rPr>
          <w:szCs w:val="24"/>
        </w:rPr>
      </w:pPr>
      <w:r w:rsidRPr="00DD0EBC">
        <w:lastRenderedPageBreak/>
        <w:t>R.</w:t>
      </w:r>
      <w:r w:rsidRPr="00DD0EBC">
        <w:tab/>
        <w:t xml:space="preserve">budući da je IPD072Aa nova bjelančevina, što znači da se njezina upotreba u poljoprivredi i unošenje u prehrambeni lanac ne može u potpunosti oslanjati na prethodno stečeno iskustvo; </w:t>
      </w:r>
    </w:p>
    <w:p w14:paraId="62C74D37" w14:textId="77777777" w:rsidR="004F7159" w:rsidRPr="00DD0EBC" w:rsidRDefault="004F7159" w:rsidP="004F7159">
      <w:pPr>
        <w:pStyle w:val="NormalHanging12a"/>
        <w:widowControl/>
        <w:rPr>
          <w:szCs w:val="24"/>
        </w:rPr>
      </w:pPr>
      <w:r w:rsidRPr="00DD0EBC">
        <w:t>S.</w:t>
      </w:r>
      <w:r w:rsidRPr="00DD0EBC">
        <w:tab/>
        <w:t>budući da, unatoč razlikama, uočene sličnosti između toksina IPD072Aa i Bt ukazuju na potrebu za pažljivim razmatranjem u postupku procjene rizika; budući da je nekoliko studija pokazalo da Bt-toksini mogu izazvati nuspojave povezane s imunosnim sustavom, uključujući moguća adjuvansna svojstva</w:t>
      </w:r>
      <w:r w:rsidRPr="00DD0EBC">
        <w:rPr>
          <w:rStyle w:val="FootnoteReference"/>
          <w:szCs w:val="24"/>
        </w:rPr>
        <w:footnoteReference w:id="11"/>
      </w:r>
      <w:r w:rsidRPr="00DD0EBC">
        <w:t>, što znači da mogu povećati alergenost drugih bjelančevina s kojima dolaze u dodir;</w:t>
      </w:r>
    </w:p>
    <w:p w14:paraId="12EA2E92" w14:textId="77777777" w:rsidR="004F7159" w:rsidRPr="00DD0EBC" w:rsidRDefault="004F7159" w:rsidP="004F7159">
      <w:pPr>
        <w:pStyle w:val="NormalHanging12a"/>
        <w:widowControl/>
        <w:rPr>
          <w:szCs w:val="24"/>
        </w:rPr>
      </w:pPr>
      <w:r w:rsidRPr="00DD0EBC">
        <w:t>T.</w:t>
      </w:r>
      <w:r w:rsidRPr="00DD0EBC">
        <w:tab/>
        <w:t>budući da je u znanstvenom istraživanju utvrđeno da se toksičnost Bt-toksina također može povećati interakcijom s ostacima prskanja herbicidima te su potrebna dodatna istraživanja o kombinatornim učincima višestrukih promjena (genetski modificirani usjevi koji su izmijenjeni kako bi bili otporni na herbicide i kako bi proizvodili insekticide u obliku Bt-toksina)</w:t>
      </w:r>
      <w:r w:rsidRPr="00DD0EBC">
        <w:rPr>
          <w:rStyle w:val="FootnoteReference"/>
          <w:szCs w:val="24"/>
        </w:rPr>
        <w:footnoteReference w:id="12"/>
      </w:r>
      <w:r w:rsidRPr="00DD0EBC">
        <w:t>; budući da se, međutim, smatra da je procjena mogućeg međudjelovanja ostataka herbicida i njihovih metabolita s Bt-toksinima izvan nadležnosti Povjerenstva EFSA-e za GMO te se ona stoga ne provodi u okviru procjene rizika;</w:t>
      </w:r>
    </w:p>
    <w:p w14:paraId="3D09469E" w14:textId="77777777" w:rsidR="004F7159" w:rsidRPr="00DD0EBC" w:rsidRDefault="004F7159" w:rsidP="004F7159">
      <w:pPr>
        <w:pStyle w:val="NormalHanging12a"/>
        <w:widowControl/>
        <w:rPr>
          <w:szCs w:val="24"/>
        </w:rPr>
      </w:pPr>
      <w:r w:rsidRPr="00DD0EBC">
        <w:t>U.</w:t>
      </w:r>
      <w:r w:rsidRPr="00DD0EBC">
        <w:tab/>
        <w:t>budući da procjena toksičnosti toksina IPD072Aa ne uzima u obzir moguće sinergijske ili kumulativne učinke koji proizlaze iz interakcije s biljnim metabolitima ili ostacima herbicida;</w:t>
      </w:r>
    </w:p>
    <w:p w14:paraId="27E7025A" w14:textId="77777777" w:rsidR="004F7159" w:rsidRPr="00DD0EBC" w:rsidRDefault="004F7159" w:rsidP="004F7159">
      <w:pPr>
        <w:pStyle w:val="NormalHanging12a"/>
        <w:widowControl/>
        <w:rPr>
          <w:szCs w:val="24"/>
        </w:rPr>
      </w:pPr>
      <w:r w:rsidRPr="00DD0EBC">
        <w:t>V.</w:t>
      </w:r>
      <w:r w:rsidRPr="00DD0EBC">
        <w:tab/>
        <w:t>budući da nisu dostavljeni podaci o akumulaciji toksina IPD072Aa u prehrambenim mrežama, njegovoj rasprostranjenosti u okolišu, osobito putem otpadnih voda i stajskog gnoja u tlo i vodene ekosustave, ni o njegovim učincima na organizme koji ne pripadaju ciljnoj skupini;</w:t>
      </w:r>
    </w:p>
    <w:p w14:paraId="64520033" w14:textId="77777777" w:rsidR="004F7159" w:rsidRPr="00DD0EBC" w:rsidRDefault="004F7159" w:rsidP="004F7159">
      <w:pPr>
        <w:pStyle w:val="NormalHanging12a"/>
        <w:widowControl/>
        <w:rPr>
          <w:szCs w:val="24"/>
        </w:rPr>
      </w:pPr>
      <w:r w:rsidRPr="00DD0EBC">
        <w:t>W.</w:t>
      </w:r>
      <w:r w:rsidRPr="00DD0EBC">
        <w:tab/>
        <w:t>budući da mogućnost genske migracije u populaciju divljih srodnika kao što je teosint, zabilježene u Španjolskoj i Francuskoj, izaziva zabrinutosti zbog transgene otpornosti u okolišu i njezinih mogućih ekoloških posljedica</w:t>
      </w:r>
      <w:r w:rsidRPr="00DD0EBC">
        <w:rPr>
          <w:rStyle w:val="FootnoteReference"/>
          <w:szCs w:val="24"/>
        </w:rPr>
        <w:footnoteReference w:id="13"/>
      </w:r>
      <w:r w:rsidRPr="00DD0EBC">
        <w:t>;</w:t>
      </w:r>
    </w:p>
    <w:p w14:paraId="38DE85A3" w14:textId="37947D80" w:rsidR="004F7159" w:rsidRPr="00DD0EBC" w:rsidRDefault="004F7159" w:rsidP="004F7159">
      <w:pPr>
        <w:pStyle w:val="NormalHanging12a"/>
        <w:widowControl/>
        <w:rPr>
          <w:szCs w:val="24"/>
        </w:rPr>
      </w:pPr>
      <w:r w:rsidRPr="00DD0EBC">
        <w:t>X.</w:t>
      </w:r>
      <w:r w:rsidRPr="00DD0EBC">
        <w:tab/>
        <w:t>budući da se zahtjevi iz Provedbene uredbe (EU) br. 503/2013 koji se primjenjuju na praćenje nedovoljno provode, usto bez neovisne provjere podataka koje je dostavilo društvo Corteva Agriscience LLC;</w:t>
      </w:r>
      <w:r w:rsidR="008B097B">
        <w:t xml:space="preserve"> </w:t>
      </w:r>
    </w:p>
    <w:p w14:paraId="4BB98146" w14:textId="77777777" w:rsidR="004F7159" w:rsidRPr="00DD0EBC" w:rsidRDefault="004F7159" w:rsidP="004F7159">
      <w:pPr>
        <w:pStyle w:val="NormalHanging12a"/>
        <w:widowControl/>
        <w:rPr>
          <w:b/>
          <w:i/>
          <w:iCs/>
          <w:szCs w:val="24"/>
        </w:rPr>
      </w:pPr>
      <w:r w:rsidRPr="00DD0EBC">
        <w:rPr>
          <w:b/>
          <w:i/>
        </w:rPr>
        <w:t>Osiguravanje jednakih uvjeta na globalnoj razini i poštovanje međunarodnih obveza Unije</w:t>
      </w:r>
    </w:p>
    <w:p w14:paraId="26A14A13" w14:textId="69833862" w:rsidR="004F7159" w:rsidRPr="00DD0EBC" w:rsidRDefault="004F7159" w:rsidP="004F7159">
      <w:pPr>
        <w:pStyle w:val="NormalHanging12a"/>
        <w:widowControl/>
        <w:rPr>
          <w:b/>
          <w:szCs w:val="24"/>
        </w:rPr>
      </w:pPr>
      <w:r w:rsidRPr="00DD0EBC">
        <w:lastRenderedPageBreak/>
        <w:t>Y.</w:t>
      </w:r>
      <w:r w:rsidRPr="00DD0EBC">
        <w:rPr>
          <w:b/>
        </w:rPr>
        <w:tab/>
      </w:r>
      <w:r w:rsidRPr="00DD0EBC">
        <w:t xml:space="preserve">budući da u Uniji nije dopušteno uzgajati genetski modificirani kukuruz; budući da se donošenjem </w:t>
      </w:r>
      <w:r w:rsidR="00906F7E">
        <w:t>P</w:t>
      </w:r>
      <w:r w:rsidR="008B097B">
        <w:t>rovedbene</w:t>
      </w:r>
      <w:r w:rsidRPr="00DD0EBC">
        <w:t xml:space="preserve"> odluke </w:t>
      </w:r>
      <w:r w:rsidR="008B097B" w:rsidRPr="008B097B">
        <w:t xml:space="preserve">(EU) 2025/1898 </w:t>
      </w:r>
      <w:r w:rsidRPr="00DD0EBC">
        <w:t>dopu</w:t>
      </w:r>
      <w:r w:rsidR="00906F7E">
        <w:t>šta</w:t>
      </w:r>
      <w:r w:rsidRPr="00DD0EBC">
        <w:t xml:space="preserve"> uvoz u Uniju koji nije u skladu sa standardima koje poštuju poljoprivrednici Unije, čime bi ih se stavilo u nepovoljan tržišni položaj;</w:t>
      </w:r>
    </w:p>
    <w:p w14:paraId="14A3871B" w14:textId="77777777" w:rsidR="004F7159" w:rsidRPr="00DD0EBC" w:rsidRDefault="004F7159" w:rsidP="004F7159">
      <w:pPr>
        <w:pStyle w:val="NormalHanging12a"/>
        <w:widowControl/>
        <w:rPr>
          <w:b/>
          <w:szCs w:val="24"/>
        </w:rPr>
      </w:pPr>
      <w:r w:rsidRPr="00DD0EBC">
        <w:t>Z.</w:t>
      </w:r>
      <w:r w:rsidRPr="00DD0EBC">
        <w:tab/>
        <w:t>budući da se u zaključcima strateškog dijaloga o budućnosti poljoprivrede u EU-u</w:t>
      </w:r>
      <w:r w:rsidRPr="00DD0EBC">
        <w:rPr>
          <w:rStyle w:val="FootnoteReference"/>
          <w:szCs w:val="24"/>
        </w:rPr>
        <w:footnoteReference w:id="14"/>
      </w:r>
      <w:r w:rsidRPr="00DD0EBC">
        <w:t xml:space="preserve"> Komisija poziva da preispita svoj pristup u pogledu pristupa tržištu za uvoz i izvoz poljoprivredno-prehrambenih proizvoda s obzirom na problem različitih standarda Unije i njezinih trgovinskih partnera; budući da su pravedniji trgovinski odnosi na globalnoj razini, usklađeni s ciljevima u pogledu zdravog okoliša, bili jedan od glavnih zahtjeva poljoprivrednika tijekom prosvjeda održanih 2023. i 2024.;</w:t>
      </w:r>
    </w:p>
    <w:p w14:paraId="6082E63B" w14:textId="77777777" w:rsidR="004F7159" w:rsidRPr="00DD0EBC" w:rsidRDefault="004F7159" w:rsidP="004F7159">
      <w:pPr>
        <w:pStyle w:val="NormalHanging12a"/>
        <w:widowControl/>
        <w:rPr>
          <w:szCs w:val="24"/>
        </w:rPr>
      </w:pPr>
      <w:r w:rsidRPr="00DD0EBC">
        <w:t>AA.</w:t>
      </w:r>
      <w:r w:rsidRPr="00DD0EBC">
        <w:tab/>
        <w:t>budući da se u izvješću posebne izvjestiteljice Ujedinjenih naroda (UN) za pravo na hranu iz 2017. godine zaključuje da opasni pesticidi, posebno u zemljama u razvoju, imaju katastrofalne učinke na zdravlje</w:t>
      </w:r>
      <w:r w:rsidRPr="00DD0EBC">
        <w:rPr>
          <w:rStyle w:val="FootnoteReference"/>
          <w:szCs w:val="24"/>
        </w:rPr>
        <w:footnoteReference w:id="15"/>
      </w:r>
      <w:r w:rsidRPr="00DD0EBC">
        <w:t>; budući da se u okviru cilja održivog razvoja UN-a br. 3.9. do 2030. želi u velikoj mjeri smanjiti broj smrtnih slučajeva i bolesti prouzročenih opasnim kemikalijama te onečišćenjem i kontaminacijom zraka, vode i tla</w:t>
      </w:r>
      <w:r w:rsidRPr="00DD0EBC">
        <w:rPr>
          <w:rStyle w:val="FootnoteReference"/>
          <w:szCs w:val="24"/>
        </w:rPr>
        <w:footnoteReference w:id="16"/>
      </w:r>
      <w:r w:rsidRPr="00DD0EBC">
        <w:t>;</w:t>
      </w:r>
    </w:p>
    <w:p w14:paraId="18C753F5" w14:textId="77777777" w:rsidR="004F7159" w:rsidRPr="00DD0EBC" w:rsidRDefault="004F7159" w:rsidP="004F7159">
      <w:pPr>
        <w:pStyle w:val="NormalHanging12a"/>
        <w:widowControl/>
        <w:rPr>
          <w:szCs w:val="24"/>
        </w:rPr>
      </w:pPr>
      <w:r w:rsidRPr="00DD0EBC">
        <w:t>AB.</w:t>
      </w:r>
      <w:r w:rsidRPr="00DD0EBC">
        <w:tab/>
        <w:t>budući da Globalni okvir za biološku raznolikost iz Kunminga i Montreala, dogovoren na konferenciji COP15 Konvencije UN-a o biološkoj raznolikosti (UN CBD) u prosincu 2022., uključuje globalni cilj smanjenja rizika od pesticida za najmanje 50 % do 2030.</w:t>
      </w:r>
      <w:r w:rsidRPr="00DD0EBC">
        <w:rPr>
          <w:rStyle w:val="FootnoteReference"/>
          <w:szCs w:val="24"/>
        </w:rPr>
        <w:footnoteReference w:id="17"/>
      </w:r>
      <w:r w:rsidRPr="00DD0EBC">
        <w:t>;</w:t>
      </w:r>
    </w:p>
    <w:p w14:paraId="31EC8E69" w14:textId="77777777" w:rsidR="004F7159" w:rsidRPr="00DD0EBC" w:rsidRDefault="004F7159" w:rsidP="004F7159">
      <w:pPr>
        <w:pStyle w:val="NormalHanging12a"/>
        <w:widowControl/>
        <w:rPr>
          <w:szCs w:val="24"/>
        </w:rPr>
      </w:pPr>
      <w:r w:rsidRPr="00DD0EBC">
        <w:t>AC.</w:t>
      </w:r>
      <w:r w:rsidRPr="00DD0EBC">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ti legitimni faktori trebali obuhvaćati obveze Unije u okviru ciljeva održivog razvoja UN-a i Konvencije UN-a o biološkoj raznolikosti;</w:t>
      </w:r>
    </w:p>
    <w:p w14:paraId="5B2012A8" w14:textId="77777777" w:rsidR="004F7159" w:rsidRPr="00DD0EBC" w:rsidRDefault="004F7159" w:rsidP="004F7159">
      <w:pPr>
        <w:pStyle w:val="NormalHanging12a"/>
        <w:widowControl/>
        <w:rPr>
          <w:b/>
          <w:i/>
          <w:iCs/>
          <w:szCs w:val="24"/>
        </w:rPr>
      </w:pPr>
      <w:r w:rsidRPr="00DD0EBC">
        <w:rPr>
          <w:b/>
          <w:i/>
        </w:rPr>
        <w:t>Smanjenje ovisnosti o uvezenoj hrani za životinje</w:t>
      </w:r>
    </w:p>
    <w:p w14:paraId="78789FEE" w14:textId="77777777" w:rsidR="004F7159" w:rsidRPr="00DD0EBC" w:rsidRDefault="004F7159" w:rsidP="004F7159">
      <w:pPr>
        <w:pStyle w:val="NormalHanging12a"/>
        <w:widowControl/>
        <w:rPr>
          <w:szCs w:val="24"/>
        </w:rPr>
      </w:pPr>
      <w:r w:rsidRPr="00DD0EBC">
        <w:t>AD.</w:t>
      </w:r>
      <w:r w:rsidRPr="00DD0EBC">
        <w:tab/>
        <w:t>budući da je jedna od pouka izvučenih iz krize prouzročene bolešću COVID-19 i rata u Ukrajini koji je još u tijeku to da Unija treba okončati ovisnost u pogledu određenih kritičnih materijala; budući da predsjednica Komisije Ursula von der Leyen u mandatnom pismu od novoizabranog povjerenika Christophea Hansena traži da razmotri načine za smanjenje uvoza kritičnih vrsta robe</w:t>
      </w:r>
      <w:r w:rsidRPr="00DD0EBC">
        <w:rPr>
          <w:rStyle w:val="FootnoteReference"/>
          <w:szCs w:val="24"/>
        </w:rPr>
        <w:footnoteReference w:id="18"/>
      </w:r>
      <w:r w:rsidRPr="00DD0EBC">
        <w:t>;</w:t>
      </w:r>
    </w:p>
    <w:p w14:paraId="469C52B0" w14:textId="77777777" w:rsidR="004F7159" w:rsidRPr="00DD0EBC" w:rsidRDefault="004F7159" w:rsidP="004F7159">
      <w:pPr>
        <w:pStyle w:val="NormalHanging12a"/>
        <w:widowControl/>
        <w:rPr>
          <w:b/>
          <w:i/>
          <w:iCs/>
          <w:szCs w:val="24"/>
        </w:rPr>
      </w:pPr>
      <w:r w:rsidRPr="00DD0EBC">
        <w:rPr>
          <w:b/>
          <w:i/>
        </w:rPr>
        <w:t>Nedemokratsko donošenje odluka</w:t>
      </w:r>
    </w:p>
    <w:p w14:paraId="761D130F" w14:textId="77777777" w:rsidR="004F7159" w:rsidRPr="00DD0EBC" w:rsidRDefault="004F7159" w:rsidP="004F7159">
      <w:pPr>
        <w:pStyle w:val="NormalHanging12a"/>
        <w:widowControl/>
        <w:rPr>
          <w:szCs w:val="24"/>
        </w:rPr>
      </w:pPr>
      <w:r w:rsidRPr="00DD0EBC">
        <w:lastRenderedPageBreak/>
        <w:t>AE.</w:t>
      </w:r>
      <w:r w:rsidRPr="00DD0EBC">
        <w:tab/>
        <w:t>budući da je Parlament u svojem osmom sazivu donio ukupno 36 rezolucija u kojima se usprotivio stavljanju na tržište genetski modificiranih organizama za hranu i hranu za životinje (33 rezolucije) i uzgoju genetski modificiranih organizama u Uniji (tri rezolucije); budući da je Parlament u svom devetom sazivu donio 38 rezolucija u kojima se usprotivio stavljanju genetski modificiranih organizama na tržište te još jedanaest rezolucija u kojima se usprotivio stavljanju GMO-a na tržište već u sadašnjem, desetom sazivu;</w:t>
      </w:r>
    </w:p>
    <w:p w14:paraId="54712095" w14:textId="77777777" w:rsidR="004F7159" w:rsidRPr="00DD0EBC" w:rsidRDefault="004F7159" w:rsidP="004F7159">
      <w:pPr>
        <w:pStyle w:val="NormalHanging12a"/>
        <w:widowControl/>
        <w:rPr>
          <w:szCs w:val="24"/>
        </w:rPr>
      </w:pPr>
      <w:r w:rsidRPr="00DD0EBC">
        <w:t>AF.</w:t>
      </w:r>
      <w:r w:rsidRPr="00DD0EBC">
        <w:tab/>
        <w:t>budući da Komisija i dalje izdaje odobrenja za genetski modificirane organizme unatoč tome što je i sama priznala postojanje demokratskih nedostataka te usprkos izostanku potpore država članica i prigovorima Parlamenta;</w:t>
      </w:r>
    </w:p>
    <w:p w14:paraId="12FBD0F8" w14:textId="77777777" w:rsidR="004F7159" w:rsidRPr="00DD0EBC" w:rsidRDefault="004F7159" w:rsidP="004F7159">
      <w:pPr>
        <w:pStyle w:val="NormalHanging12a"/>
        <w:widowControl/>
        <w:rPr>
          <w:szCs w:val="24"/>
        </w:rPr>
      </w:pPr>
      <w:r w:rsidRPr="00DD0EBC">
        <w:t>AG.</w:t>
      </w:r>
      <w:r w:rsidRPr="00DD0EBC">
        <w:tab/>
        <w:t>budući da u slučajevima kad u žalbenom odboru davanje odobrenja nije podržala kvalificirana većina država članica nije potrebno mijenjati zakonodavstvo kako bi se Komisiji omogućilo da uskrati odobrenje za genetski modificirane organizme</w:t>
      </w:r>
      <w:r w:rsidRPr="00DD0EBC">
        <w:rPr>
          <w:rStyle w:val="FootnoteReference"/>
          <w:szCs w:val="24"/>
        </w:rPr>
        <w:footnoteReference w:id="19"/>
      </w:r>
      <w:r w:rsidRPr="00DD0EBC">
        <w:t>;</w:t>
      </w:r>
    </w:p>
    <w:p w14:paraId="618C6F97" w14:textId="77777777" w:rsidR="004F7159" w:rsidRPr="00DD0EBC" w:rsidRDefault="004F7159" w:rsidP="004F7159">
      <w:pPr>
        <w:pStyle w:val="NormalHanging12a"/>
        <w:widowControl/>
        <w:rPr>
          <w:szCs w:val="24"/>
        </w:rPr>
      </w:pPr>
      <w:r w:rsidRPr="00DD0EBC">
        <w:t>AH.</w:t>
      </w:r>
      <w:r w:rsidRPr="00DD0EBC">
        <w:tab/>
        <w:t>budući da na glasovanju Stalnog odbora za bilje, životinje, hranu i hranu za životinje iz članka 35. Uredbe (EZ) br. 1829/2003, koje je održano 13. lipnja 2025., nije doneseno nikakvo mišljenje, što znači da kvalificirana većina država članica nije podržala odobrenje</w:t>
      </w:r>
      <w:r w:rsidRPr="00DD0EBC">
        <w:rPr>
          <w:rStyle w:val="FootnoteReference"/>
          <w:szCs w:val="24"/>
        </w:rPr>
        <w:footnoteReference w:id="20"/>
      </w:r>
      <w:r w:rsidRPr="00DD0EBC">
        <w:t xml:space="preserve">; </w:t>
      </w:r>
      <w:r w:rsidRPr="00DD0EBC">
        <w:rPr>
          <w:shd w:val="clear" w:color="auto" w:fill="FFFFFF"/>
        </w:rPr>
        <w:t>budući da nakon glasovanja 15. srpnja 2025. žalbeni odbor ponovno nije donio mišljenje;</w:t>
      </w:r>
    </w:p>
    <w:p w14:paraId="63A1E838" w14:textId="58F219D0" w:rsidR="004F7159" w:rsidRPr="00DD0EBC" w:rsidRDefault="004F7159" w:rsidP="004F7159">
      <w:pPr>
        <w:pStyle w:val="NormalBold"/>
        <w:widowControl/>
        <w:spacing w:after="240"/>
        <w:ind w:left="567" w:hanging="567"/>
        <w:rPr>
          <w:b w:val="0"/>
          <w:szCs w:val="24"/>
        </w:rPr>
      </w:pPr>
      <w:r w:rsidRPr="00DD0EBC">
        <w:rPr>
          <w:b w:val="0"/>
        </w:rPr>
        <w:t>1.</w:t>
      </w:r>
      <w:r w:rsidRPr="00DD0EBC">
        <w:rPr>
          <w:b w:val="0"/>
        </w:rPr>
        <w:tab/>
        <w:t xml:space="preserve">smatra da </w:t>
      </w:r>
      <w:r w:rsidR="00906F7E">
        <w:rPr>
          <w:b w:val="0"/>
        </w:rPr>
        <w:t>P</w:t>
      </w:r>
      <w:r w:rsidRPr="00DD0EBC">
        <w:rPr>
          <w:b w:val="0"/>
        </w:rPr>
        <w:t>rovedben</w:t>
      </w:r>
      <w:r w:rsidR="00906F7E">
        <w:rPr>
          <w:b w:val="0"/>
        </w:rPr>
        <w:t>a</w:t>
      </w:r>
      <w:r w:rsidRPr="00DD0EBC">
        <w:rPr>
          <w:b w:val="0"/>
        </w:rPr>
        <w:t xml:space="preserve"> odluk</w:t>
      </w:r>
      <w:r w:rsidR="00906F7E">
        <w:rPr>
          <w:b w:val="0"/>
        </w:rPr>
        <w:t>a</w:t>
      </w:r>
      <w:r w:rsidRPr="00DD0EBC">
        <w:rPr>
          <w:b w:val="0"/>
        </w:rPr>
        <w:t xml:space="preserve"> </w:t>
      </w:r>
      <w:r w:rsidR="00906F7E" w:rsidRPr="00906F7E">
        <w:rPr>
          <w:b w:val="0"/>
        </w:rPr>
        <w:t xml:space="preserve">(EU) 2025/1898 </w:t>
      </w:r>
      <w:r w:rsidRPr="00DD0EBC">
        <w:rPr>
          <w:b w:val="0"/>
        </w:rPr>
        <w:t xml:space="preserve"> prekoračuje provedbene ovlasti predviđene Uredbom (EZ) br. 1829/2003;</w:t>
      </w:r>
    </w:p>
    <w:p w14:paraId="5556898E" w14:textId="216A86FD" w:rsidR="004F7159" w:rsidRPr="00DD0EBC" w:rsidRDefault="004F7159" w:rsidP="004F7159">
      <w:pPr>
        <w:pStyle w:val="NormalBold"/>
        <w:widowControl/>
        <w:spacing w:after="240"/>
        <w:ind w:left="567" w:hanging="567"/>
        <w:rPr>
          <w:b w:val="0"/>
          <w:szCs w:val="24"/>
        </w:rPr>
      </w:pPr>
      <w:r w:rsidRPr="00DD0EBC">
        <w:rPr>
          <w:b w:val="0"/>
        </w:rPr>
        <w:t>2.</w:t>
      </w:r>
      <w:r w:rsidRPr="00DD0EBC">
        <w:rPr>
          <w:b w:val="0"/>
        </w:rPr>
        <w:tab/>
        <w:t xml:space="preserve">smatra da </w:t>
      </w:r>
      <w:r w:rsidR="00906F7E">
        <w:rPr>
          <w:b w:val="0"/>
        </w:rPr>
        <w:t>P</w:t>
      </w:r>
      <w:r w:rsidRPr="00DD0EBC">
        <w:rPr>
          <w:b w:val="0"/>
        </w:rPr>
        <w:t>rovedben</w:t>
      </w:r>
      <w:r w:rsidR="00906F7E">
        <w:rPr>
          <w:b w:val="0"/>
        </w:rPr>
        <w:t>a</w:t>
      </w:r>
      <w:r w:rsidRPr="00DD0EBC">
        <w:rPr>
          <w:b w:val="0"/>
        </w:rPr>
        <w:t xml:space="preserve"> odluk</w:t>
      </w:r>
      <w:r w:rsidR="00906F7E">
        <w:rPr>
          <w:b w:val="0"/>
        </w:rPr>
        <w:t>a</w:t>
      </w:r>
      <w:r w:rsidRPr="00DD0EBC">
        <w:rPr>
          <w:b w:val="0"/>
        </w:rPr>
        <w:t xml:space="preserve"> </w:t>
      </w:r>
      <w:r w:rsidR="00906F7E" w:rsidRPr="00906F7E">
        <w:rPr>
          <w:b w:val="0"/>
        </w:rPr>
        <w:t xml:space="preserve">(EU) 2025/1898 </w:t>
      </w:r>
      <w:r w:rsidRPr="00DD0EBC">
        <w:rPr>
          <w:b w:val="0"/>
        </w:rPr>
        <w:t>nije u skladu s pravom Unije jer nije spojiv s ciljem Uredbe (EZ) br. 1829/2003, a on je, u skladu s općim načelima utvrđenima u Uredbi (EZ) br. 178/2002 Europskog parlamenta i Vijeća</w:t>
      </w:r>
      <w:r w:rsidRPr="00DD0EBC">
        <w:rPr>
          <w:rStyle w:val="FootnoteReference"/>
          <w:b w:val="0"/>
          <w:szCs w:val="24"/>
        </w:rPr>
        <w:footnoteReference w:id="21"/>
      </w:r>
      <w:r w:rsidRPr="00DD0EBC">
        <w:rPr>
          <w:b w:val="0"/>
        </w:rPr>
        <w:t>, pružanje osnove za visoku razinu zaštite života i zdravlja ljudi, zdravlja i dobrobiti životinja, interesa okoliša i potrošača u pogledu genetski modificirane hrane i hrane za životinje, uz istovremeno jamčenje uspješnog funkcioniranja unutarnjeg tržišta;</w:t>
      </w:r>
    </w:p>
    <w:p w14:paraId="73E7E4EC" w14:textId="0EF3BFA4" w:rsidR="004F7159" w:rsidRPr="00DD0EBC" w:rsidRDefault="004F7159" w:rsidP="004F7159">
      <w:pPr>
        <w:pStyle w:val="NormalBold"/>
        <w:widowControl/>
        <w:spacing w:after="240"/>
        <w:ind w:left="567" w:hanging="567"/>
        <w:rPr>
          <w:b w:val="0"/>
          <w:szCs w:val="24"/>
        </w:rPr>
      </w:pPr>
      <w:r w:rsidRPr="00DD0EBC">
        <w:rPr>
          <w:b w:val="0"/>
        </w:rPr>
        <w:t>3.</w:t>
      </w:r>
      <w:r w:rsidRPr="00DD0EBC">
        <w:rPr>
          <w:b w:val="0"/>
        </w:rPr>
        <w:tab/>
        <w:t xml:space="preserve">traži od Komisije da </w:t>
      </w:r>
      <w:r w:rsidR="00906F7E">
        <w:rPr>
          <w:b w:val="0"/>
        </w:rPr>
        <w:t>stavi izvan snage</w:t>
      </w:r>
      <w:r w:rsidRPr="00DD0EBC">
        <w:rPr>
          <w:b w:val="0"/>
        </w:rPr>
        <w:t xml:space="preserve"> svoj</w:t>
      </w:r>
      <w:r w:rsidR="00906F7E">
        <w:rPr>
          <w:b w:val="0"/>
        </w:rPr>
        <w:t>u</w:t>
      </w:r>
      <w:r w:rsidRPr="00DD0EBC">
        <w:rPr>
          <w:b w:val="0"/>
        </w:rPr>
        <w:t xml:space="preserve"> </w:t>
      </w:r>
      <w:r w:rsidR="00906F7E">
        <w:rPr>
          <w:b w:val="0"/>
        </w:rPr>
        <w:t>P</w:t>
      </w:r>
      <w:r w:rsidRPr="00DD0EBC">
        <w:rPr>
          <w:b w:val="0"/>
        </w:rPr>
        <w:t>rovedben</w:t>
      </w:r>
      <w:r w:rsidR="00906F7E">
        <w:rPr>
          <w:b w:val="0"/>
        </w:rPr>
        <w:t>u</w:t>
      </w:r>
      <w:r w:rsidRPr="00DD0EBC">
        <w:rPr>
          <w:b w:val="0"/>
        </w:rPr>
        <w:t xml:space="preserve"> odluk</w:t>
      </w:r>
      <w:r w:rsidR="00906F7E">
        <w:rPr>
          <w:b w:val="0"/>
        </w:rPr>
        <w:t xml:space="preserve">u </w:t>
      </w:r>
      <w:r w:rsidR="00906F7E" w:rsidRPr="00906F7E">
        <w:rPr>
          <w:b w:val="0"/>
        </w:rPr>
        <w:t>(EU) 2025/1898</w:t>
      </w:r>
      <w:r w:rsidRPr="00DD0EBC">
        <w:rPr>
          <w:b w:val="0"/>
        </w:rPr>
        <w:t xml:space="preserve"> te da odboru podnese novi nacrt;</w:t>
      </w:r>
    </w:p>
    <w:p w14:paraId="224637DC" w14:textId="77777777" w:rsidR="004F7159" w:rsidRPr="00DD0EBC" w:rsidRDefault="004F7159" w:rsidP="004F7159">
      <w:pPr>
        <w:pStyle w:val="NormalBold"/>
        <w:widowControl/>
        <w:spacing w:after="240"/>
        <w:ind w:left="567" w:hanging="567"/>
        <w:rPr>
          <w:b w:val="0"/>
          <w:szCs w:val="24"/>
        </w:rPr>
      </w:pPr>
      <w:r w:rsidRPr="00DD0EBC">
        <w:rPr>
          <w:b w:val="0"/>
        </w:rPr>
        <w:t>4.</w:t>
      </w:r>
      <w:r w:rsidRPr="00DD0EBC">
        <w:rPr>
          <w:b w:val="0"/>
        </w:rPr>
        <w:tab/>
        <w:t>poziva Komisiju da osigura konvergenciju standarda Unije i njezinih partnera u pregovorima o sporazumu o slobodnoj trgovini kako bi se zadovoljili sigurnosni standardi Unije;</w:t>
      </w:r>
    </w:p>
    <w:p w14:paraId="7AD9ABCA" w14:textId="77777777" w:rsidR="004F7159" w:rsidRPr="00DD0EBC" w:rsidRDefault="004F7159" w:rsidP="004F7159">
      <w:pPr>
        <w:pStyle w:val="NormalBold"/>
        <w:widowControl/>
        <w:spacing w:after="240"/>
        <w:ind w:left="567" w:hanging="567"/>
        <w:rPr>
          <w:b w:val="0"/>
          <w:szCs w:val="24"/>
        </w:rPr>
      </w:pPr>
      <w:r w:rsidRPr="00DD0EBC">
        <w:rPr>
          <w:b w:val="0"/>
        </w:rPr>
        <w:lastRenderedPageBreak/>
        <w:t>5.</w:t>
      </w:r>
      <w:r w:rsidRPr="00DD0EBC">
        <w:rPr>
          <w:b w:val="0"/>
        </w:rPr>
        <w:tab/>
        <w:t>poziva Komisiju da ne odobri genetski modificirani kukuruz zbog povećanih rizika za biološku raznolikost, sigurnost hrane i zdravlje radnika, a u skladu s pristupom „Jedno zdravlje”;</w:t>
      </w:r>
    </w:p>
    <w:p w14:paraId="0BA05F6B" w14:textId="77777777" w:rsidR="004F7159" w:rsidRPr="00DD0EBC" w:rsidRDefault="004F7159" w:rsidP="004F7159">
      <w:pPr>
        <w:pStyle w:val="NormalBold"/>
        <w:widowControl/>
        <w:spacing w:after="240"/>
        <w:ind w:left="567" w:hanging="567"/>
        <w:rPr>
          <w:b w:val="0"/>
          <w:szCs w:val="24"/>
        </w:rPr>
      </w:pPr>
      <w:r w:rsidRPr="00DD0EBC">
        <w:rPr>
          <w:b w:val="0"/>
        </w:rPr>
        <w:t>6.</w:t>
      </w:r>
      <w:r w:rsidRPr="00DD0EBC">
        <w:rPr>
          <w:b w:val="0"/>
        </w:rPr>
        <w:tab/>
        <w:t>očekuje od Komisije da hitno ispuni obvezu</w:t>
      </w:r>
      <w:r w:rsidRPr="00DD0EBC">
        <w:rPr>
          <w:rStyle w:val="FootnoteReference"/>
          <w:b w:val="0"/>
          <w:szCs w:val="24"/>
        </w:rPr>
        <w:footnoteReference w:id="22"/>
      </w:r>
      <w:r w:rsidRPr="00DD0EBC">
        <w:rPr>
          <w:b w:val="0"/>
        </w:rPr>
        <w:t xml:space="preserve"> iznošenja prijedloga kojim će se osigurati da se opasne kemikalije zabranjene u Uniji ne proizvode za izvoz;</w:t>
      </w:r>
    </w:p>
    <w:p w14:paraId="2279493D" w14:textId="77777777" w:rsidR="004F7159" w:rsidRPr="00DD0EBC" w:rsidRDefault="004F7159" w:rsidP="004F7159">
      <w:pPr>
        <w:pStyle w:val="NormalBold"/>
        <w:widowControl/>
        <w:spacing w:after="240"/>
        <w:ind w:left="567" w:hanging="567"/>
        <w:rPr>
          <w:b w:val="0"/>
          <w:szCs w:val="24"/>
        </w:rPr>
      </w:pPr>
      <w:r w:rsidRPr="00DD0EBC">
        <w:rPr>
          <w:b w:val="0"/>
        </w:rPr>
        <w:t>7.</w:t>
      </w:r>
      <w:r w:rsidRPr="00DD0EBC">
        <w:rPr>
          <w:b w:val="0"/>
        </w:rPr>
        <w:tab/>
        <w:t>pozdravlja činjenicu da je Komisija u dopisu zastupnicima od 11. rujna 2020. konačno uvidjela potrebu da se pri donošenju odluka o odobrenju genetski modificiranih organizama u obzir uzme održivost</w:t>
      </w:r>
      <w:r w:rsidRPr="00DD0EBC">
        <w:rPr>
          <w:rStyle w:val="FootnoteReference"/>
          <w:b w:val="0"/>
          <w:szCs w:val="24"/>
        </w:rPr>
        <w:footnoteReference w:id="23"/>
      </w:r>
      <w:r w:rsidRPr="00DD0EBC">
        <w:rPr>
          <w:b w:val="0"/>
        </w:rPr>
        <w:t>; međutim, izražava duboko razočaranje zbog toga što Komisija i dalje odobrava uvoz genetski modificiranih organizama u Uniju unatoč stalnim prigovorima Parlamenta i činjenici da većina država članica glasuje protiv;</w:t>
      </w:r>
    </w:p>
    <w:p w14:paraId="21FB79EF" w14:textId="77777777" w:rsidR="004F7159" w:rsidRPr="00DD0EBC" w:rsidRDefault="004F7159" w:rsidP="004F7159">
      <w:pPr>
        <w:pStyle w:val="NormalBold"/>
        <w:widowControl/>
        <w:spacing w:after="240"/>
        <w:ind w:left="567" w:hanging="567"/>
        <w:rPr>
          <w:b w:val="0"/>
          <w:szCs w:val="24"/>
        </w:rPr>
      </w:pPr>
      <w:r w:rsidRPr="00DD0EBC">
        <w:rPr>
          <w:b w:val="0"/>
        </w:rPr>
        <w:t>8.</w:t>
      </w:r>
      <w:r w:rsidRPr="00DD0EBC">
        <w:rPr>
          <w:b w:val="0"/>
        </w:rPr>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„nenanošenja štete”</w:t>
      </w:r>
      <w:r w:rsidRPr="00DD0EBC">
        <w:rPr>
          <w:rStyle w:val="FootnoteReference"/>
          <w:b w:val="0"/>
          <w:szCs w:val="24"/>
        </w:rPr>
        <w:footnoteReference w:id="24"/>
      </w:r>
      <w:r w:rsidRPr="00DD0EBC">
        <w:rPr>
          <w:b w:val="0"/>
        </w:rPr>
        <w:t>;</w:t>
      </w:r>
    </w:p>
    <w:p w14:paraId="29C2A761" w14:textId="7826D18E" w:rsidR="00E365E1" w:rsidRPr="00DD0EBC" w:rsidRDefault="004F7159" w:rsidP="00DD0EBC">
      <w:pPr>
        <w:pStyle w:val="NormalBold"/>
        <w:widowControl/>
        <w:spacing w:after="240"/>
        <w:ind w:left="567" w:hanging="567"/>
      </w:pPr>
      <w:r w:rsidRPr="00DD0EBC">
        <w:rPr>
          <w:b w:val="0"/>
        </w:rPr>
        <w:t>9.</w:t>
      </w:r>
      <w:r w:rsidRPr="00DD0EBC">
        <w:rPr>
          <w:b w:val="0"/>
        </w:rPr>
        <w:tab/>
        <w:t>nalaže svojoj predsjednici da ovu Rezoluciju proslijedi Vijeću i Komisiji te vladama i parlamentima država članica.</w:t>
      </w:r>
    </w:p>
    <w:sectPr w:rsidR="00E365E1" w:rsidRPr="00DD0EBC" w:rsidSect="00DD0E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BA134" w14:textId="77777777" w:rsidR="00E30DF0" w:rsidRPr="00DD0EBC" w:rsidRDefault="00E30DF0">
      <w:r w:rsidRPr="00DD0EBC">
        <w:separator/>
      </w:r>
    </w:p>
  </w:endnote>
  <w:endnote w:type="continuationSeparator" w:id="0">
    <w:p w14:paraId="660F7C7E" w14:textId="77777777" w:rsidR="00E30DF0" w:rsidRPr="00DD0EBC" w:rsidRDefault="00E30DF0">
      <w:r w:rsidRPr="00DD0E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FC2A3" w14:textId="77777777" w:rsidR="00064002" w:rsidRPr="00DD0E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5EF8" w14:textId="77777777" w:rsidR="00064002" w:rsidRPr="00DD0E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664C5" w14:textId="77777777" w:rsidR="00064002" w:rsidRPr="00DD0E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3695C" w14:textId="77777777" w:rsidR="00E30DF0" w:rsidRPr="00DD0EBC" w:rsidRDefault="00E30DF0">
      <w:r w:rsidRPr="00DD0EBC">
        <w:separator/>
      </w:r>
    </w:p>
  </w:footnote>
  <w:footnote w:type="continuationSeparator" w:id="0">
    <w:p w14:paraId="369BFD1E" w14:textId="77777777" w:rsidR="00E30DF0" w:rsidRPr="00DD0EBC" w:rsidRDefault="00E30DF0">
      <w:r w:rsidRPr="00DD0EBC">
        <w:continuationSeparator/>
      </w:r>
    </w:p>
  </w:footnote>
  <w:footnote w:id="1">
    <w:p w14:paraId="65028F42" w14:textId="0039B080" w:rsidR="008B097B" w:rsidRPr="001E3B0E" w:rsidRDefault="008B097B" w:rsidP="001E3B0E">
      <w:pPr>
        <w:pStyle w:val="FootnoteText"/>
        <w:ind w:left="567" w:hanging="567"/>
        <w:rPr>
          <w:sz w:val="24"/>
          <w:szCs w:val="24"/>
          <w:lang w:val="fi-FI"/>
        </w:rPr>
      </w:pPr>
      <w:r w:rsidRPr="001E3B0E">
        <w:rPr>
          <w:rStyle w:val="FootnoteReference"/>
          <w:sz w:val="24"/>
          <w:szCs w:val="24"/>
        </w:rPr>
        <w:footnoteRef/>
      </w:r>
      <w:r w:rsidRPr="001E3B0E">
        <w:rPr>
          <w:sz w:val="24"/>
          <w:szCs w:val="24"/>
          <w:lang w:val="fi-FI"/>
        </w:rPr>
        <w:t xml:space="preserve"> </w:t>
      </w:r>
      <w:r w:rsidRPr="001E3B0E">
        <w:rPr>
          <w:sz w:val="24"/>
          <w:szCs w:val="24"/>
          <w:lang w:val="fi-FI"/>
        </w:rPr>
        <w:tab/>
        <w:t xml:space="preserve">SL L, 2025/1898, 23.9.2025., ELI: </w:t>
      </w:r>
      <w:hyperlink r:id="rId1" w:history="1">
        <w:r w:rsidRPr="001E3B0E">
          <w:rPr>
            <w:rStyle w:val="Hyperlink"/>
            <w:sz w:val="24"/>
            <w:szCs w:val="24"/>
            <w:lang w:val="fi-FI"/>
          </w:rPr>
          <w:t>http://data.europa.eu/eli/dec_impl/2025/1898/oj</w:t>
        </w:r>
      </w:hyperlink>
    </w:p>
  </w:footnote>
  <w:footnote w:id="2">
    <w:p w14:paraId="51BD5B1A" w14:textId="5C6BCEFA" w:rsidR="004F7159" w:rsidRPr="001E3B0E" w:rsidRDefault="004F7159" w:rsidP="00DD0EBC">
      <w:pPr>
        <w:pStyle w:val="FootnoteText"/>
        <w:ind w:left="567" w:hanging="567"/>
        <w:rPr>
          <w:b/>
          <w:bCs/>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SL L 268, 18.10.2003., str. 1., ELI: </w:t>
      </w:r>
      <w:hyperlink r:id="rId2" w:history="1">
        <w:r w:rsidRPr="001E3B0E">
          <w:rPr>
            <w:rStyle w:val="Hyperlink"/>
            <w:sz w:val="24"/>
            <w:szCs w:val="24"/>
            <w:lang w:val="hr-HR"/>
          </w:rPr>
          <w:t>http://data.europa.eu/eli/reg/2003/1829/oj</w:t>
        </w:r>
      </w:hyperlink>
      <w:r w:rsidRPr="001E3B0E">
        <w:rPr>
          <w:sz w:val="24"/>
          <w:szCs w:val="24"/>
          <w:u w:val="single"/>
          <w:lang w:val="hr-HR"/>
        </w:rPr>
        <w:t>.</w:t>
      </w:r>
    </w:p>
  </w:footnote>
  <w:footnote w:id="3">
    <w:p w14:paraId="685CE210" w14:textId="4E41707B"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SL L 55, 28.2.2011., str. 13., ELI: </w:t>
      </w:r>
      <w:hyperlink r:id="rId3" w:history="1">
        <w:r w:rsidRPr="001E3B0E">
          <w:rPr>
            <w:rStyle w:val="Hyperlink"/>
            <w:sz w:val="24"/>
            <w:szCs w:val="24"/>
            <w:lang w:val="hr-HR"/>
          </w:rPr>
          <w:t>http://data.europa.eu/eli/reg/2011/182/oj</w:t>
        </w:r>
      </w:hyperlink>
      <w:r w:rsidRPr="001E3B0E">
        <w:rPr>
          <w:sz w:val="24"/>
          <w:szCs w:val="24"/>
          <w:lang w:val="hr-HR"/>
        </w:rPr>
        <w:t>.</w:t>
      </w:r>
    </w:p>
  </w:footnote>
  <w:footnote w:id="4">
    <w:p w14:paraId="4E59760C" w14:textId="05EF1598" w:rsidR="004F7159" w:rsidRPr="001E3B0E" w:rsidRDefault="004F7159" w:rsidP="00DD0EBC">
      <w:pPr>
        <w:pStyle w:val="FootnoteText"/>
        <w:ind w:left="567" w:hanging="567"/>
        <w:rPr>
          <w:sz w:val="24"/>
          <w:szCs w:val="24"/>
          <w:lang w:val="hr-HR"/>
        </w:rPr>
      </w:pPr>
      <w:r w:rsidRPr="001E3B0E">
        <w:rPr>
          <w:rStyle w:val="Funotenzeichen"/>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Znanstveno mišljenje EFSA-ina Povjerenstva za genetski modificirane organizme o procjeni genetski modificiranog kukuruza DP51291 (zahtjev GMFF-2021-0071). EFSA Journal 2024., 22(11):9059; </w:t>
      </w:r>
      <w:hyperlink r:id="rId4" w:history="1">
        <w:r w:rsidRPr="001E3B0E">
          <w:rPr>
            <w:rStyle w:val="Hyperlink"/>
            <w:sz w:val="24"/>
            <w:szCs w:val="24"/>
            <w:lang w:val="hr-HR"/>
          </w:rPr>
          <w:t>https://doi.org/10.2903/j.efsa.2024.9059</w:t>
        </w:r>
      </w:hyperlink>
      <w:r w:rsidRPr="001E3B0E">
        <w:rPr>
          <w:sz w:val="24"/>
          <w:szCs w:val="24"/>
          <w:lang w:val="hr-HR"/>
        </w:rPr>
        <w:t xml:space="preserve">. </w:t>
      </w:r>
    </w:p>
  </w:footnote>
  <w:footnote w:id="5">
    <w:p w14:paraId="59129C53" w14:textId="62B4A0AA" w:rsidR="004F7159" w:rsidRPr="001E3B0E" w:rsidRDefault="004F7159" w:rsidP="00DD0EBC">
      <w:pPr>
        <w:pStyle w:val="FootnoteText"/>
        <w:ind w:left="567" w:hanging="567"/>
        <w:rPr>
          <w:color w:val="000000" w:themeColor="text1"/>
          <w:sz w:val="24"/>
          <w:szCs w:val="24"/>
          <w:vertAlign w:val="superscript"/>
          <w:lang w:val="hr-HR"/>
        </w:rPr>
      </w:pPr>
      <w:r w:rsidRPr="001E3B0E">
        <w:rPr>
          <w:rStyle w:val="FootnoteReference"/>
          <w:sz w:val="24"/>
          <w:szCs w:val="24"/>
          <w:lang w:val="hr-HR"/>
        </w:rPr>
        <w:footnoteRef/>
      </w:r>
      <w:r w:rsidR="00DD0EBC" w:rsidRPr="001E3B0E">
        <w:rPr>
          <w:color w:val="000000" w:themeColor="text1"/>
          <w:sz w:val="24"/>
          <w:szCs w:val="24"/>
          <w:lang w:val="hr-HR"/>
        </w:rPr>
        <w:t xml:space="preserve"> </w:t>
      </w:r>
      <w:r w:rsidR="00DD0EBC" w:rsidRPr="001E3B0E">
        <w:rPr>
          <w:color w:val="000000" w:themeColor="text1"/>
          <w:sz w:val="24"/>
          <w:szCs w:val="24"/>
          <w:lang w:val="hr-HR"/>
        </w:rPr>
        <w:tab/>
      </w:r>
      <w:r w:rsidRPr="001E3B0E">
        <w:rPr>
          <w:color w:val="000000" w:themeColor="text1"/>
          <w:sz w:val="24"/>
          <w:szCs w:val="24"/>
          <w:lang w:val="hr-HR"/>
        </w:rPr>
        <w:t>Parlament je u osmom sazivu donio 36, a u devetom sazivu 38 rezolucija u kojima se protivi odobravanju genetski modificiranih organizama. Nadalje, u desetom sazivu Parlament je donio sljedeće rezolucije:</w:t>
      </w:r>
    </w:p>
    <w:p w14:paraId="3A04008F" w14:textId="468486B4"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5" w:history="1">
        <w:r w:rsidR="004F7159" w:rsidRPr="001E3B0E">
          <w:rPr>
            <w:rStyle w:val="Hyperlink"/>
            <w:sz w:val="24"/>
            <w:szCs w:val="24"/>
            <w:lang w:val="hr-HR"/>
          </w:rPr>
          <w:t>http://data.europa.eu/eli/C/2025/1797/oj</w:t>
        </w:r>
      </w:hyperlink>
      <w:r w:rsidR="004F7159" w:rsidRPr="001E3B0E">
        <w:rPr>
          <w:color w:val="000000" w:themeColor="text1"/>
          <w:sz w:val="24"/>
          <w:szCs w:val="24"/>
          <w:lang w:val="hr-HR"/>
        </w:rPr>
        <w:t>).</w:t>
      </w:r>
    </w:p>
    <w:p w14:paraId="469630B6" w14:textId="65308546"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2024/2627 o odobravanju stavljanja na tržište proizvoda koji sadržavaju genetski modificirani pamuk COT102, od njega se sastoje ili su od njega proizvedeni, u skladu s Uredbom (EZ) br. 1829/2003 Europskog parlamenta i Vijeća (SL C, C/2025/1798, 4.4.2025., ELI: </w:t>
      </w:r>
      <w:hyperlink r:id="rId6" w:history="1">
        <w:r w:rsidR="004F7159" w:rsidRPr="001E3B0E">
          <w:rPr>
            <w:rStyle w:val="Hyperlink"/>
            <w:sz w:val="24"/>
            <w:szCs w:val="24"/>
            <w:lang w:val="hr-HR"/>
          </w:rPr>
          <w:t>http://data.europa.eu/eli/C/2025/1798/oj</w:t>
        </w:r>
      </w:hyperlink>
      <w:r w:rsidR="004F7159" w:rsidRPr="001E3B0E">
        <w:rPr>
          <w:color w:val="000000" w:themeColor="text1"/>
          <w:sz w:val="24"/>
          <w:szCs w:val="24"/>
          <w:lang w:val="hr-HR"/>
        </w:rPr>
        <w:t>).</w:t>
      </w:r>
    </w:p>
    <w:p w14:paraId="0AD789E4" w14:textId="1175BF20"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potkombinacija, sastoje se ili su proizvedeni od njih, u skladu s Uredbom (EZ) br. 1829/2003 Europskog parlamenta i Vijeća (SL C, C/2025/1799, 4.4.2025., ELI: </w:t>
      </w:r>
      <w:hyperlink r:id="rId7" w:history="1">
        <w:r w:rsidR="004F7159" w:rsidRPr="001E3B0E">
          <w:rPr>
            <w:rStyle w:val="Hyperlink"/>
            <w:sz w:val="24"/>
            <w:szCs w:val="24"/>
            <w:lang w:val="hr-HR"/>
          </w:rPr>
          <w:t>http://data.europa.eu/eli/C/2025/1799/oj</w:t>
        </w:r>
      </w:hyperlink>
      <w:r w:rsidR="004F7159" w:rsidRPr="001E3B0E">
        <w:rPr>
          <w:color w:val="000000" w:themeColor="text1"/>
          <w:sz w:val="24"/>
          <w:szCs w:val="24"/>
          <w:lang w:val="hr-HR"/>
        </w:rPr>
        <w:t>).</w:t>
      </w:r>
    </w:p>
    <w:p w14:paraId="09D1A628" w14:textId="6D31E94B"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8" w:history="1">
        <w:r w:rsidR="004F7159" w:rsidRPr="001E3B0E">
          <w:rPr>
            <w:rStyle w:val="Hyperlink"/>
            <w:sz w:val="24"/>
            <w:szCs w:val="24"/>
            <w:lang w:val="hr-HR"/>
          </w:rPr>
          <w:t>http://data.europa.eu/eli/C/2025/1800/oj</w:t>
        </w:r>
      </w:hyperlink>
      <w:r w:rsidR="004F7159" w:rsidRPr="001E3B0E">
        <w:rPr>
          <w:color w:val="000000" w:themeColor="text1"/>
          <w:sz w:val="24"/>
          <w:szCs w:val="24"/>
          <w:lang w:val="hr-HR"/>
        </w:rPr>
        <w:t>).</w:t>
      </w:r>
    </w:p>
    <w:p w14:paraId="4ADFF418" w14:textId="2ECFC4B4"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9" w:history="1">
        <w:r w:rsidR="004F7159" w:rsidRPr="001E3B0E">
          <w:rPr>
            <w:rStyle w:val="Hyperlink"/>
            <w:sz w:val="24"/>
            <w:szCs w:val="24"/>
            <w:lang w:val="hr-HR"/>
          </w:rPr>
          <w:t>http://data.europa.eu/eli/C/2025/1801/oj</w:t>
        </w:r>
      </w:hyperlink>
      <w:r w:rsidR="004F7159" w:rsidRPr="001E3B0E">
        <w:rPr>
          <w:color w:val="000000" w:themeColor="text1"/>
          <w:sz w:val="24"/>
          <w:szCs w:val="24"/>
          <w:lang w:val="hr-HR"/>
        </w:rPr>
        <w:t>).</w:t>
      </w:r>
    </w:p>
    <w:p w14:paraId="0CA412F7" w14:textId="73B9FAF0"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2024/1826 o odobravanju stavljanja na tržište proizvoda koji sadržavaju genetski modificirani pamuk DP23211, od njega se sastoje ili su od njega proizvedeni, u skladu s Uredbom (EZ) br. 1829/2003 Europskog parlamenta i Vijeća (SL C, C/2025/1802, 4.4.2025., ELI: </w:t>
      </w:r>
      <w:hyperlink r:id="rId10" w:history="1">
        <w:r w:rsidR="004F7159" w:rsidRPr="001E3B0E">
          <w:rPr>
            <w:rStyle w:val="Hyperlink"/>
            <w:sz w:val="24"/>
            <w:szCs w:val="24"/>
            <w:lang w:val="hr-HR"/>
          </w:rPr>
          <w:t>http://data.europa.eu/eli/C/2025/1802/oj</w:t>
        </w:r>
      </w:hyperlink>
      <w:r w:rsidR="004F7159" w:rsidRPr="001E3B0E">
        <w:rPr>
          <w:color w:val="000000" w:themeColor="text1"/>
          <w:sz w:val="24"/>
          <w:szCs w:val="24"/>
          <w:lang w:val="hr-HR"/>
        </w:rPr>
        <w:t>).</w:t>
      </w:r>
    </w:p>
    <w:p w14:paraId="0D7843D5" w14:textId="40DCC951"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Rezoluciju Europskog parlamenta od 26. studenoga 2024. o Provedbenoj odluci Komisije (EU) 2024/2618 o odobravanju stavljanja na tržište proizvoda koji sadržavaju genetski modificirani pamuk DP202216, od njega se sastoje ili su od njega proizvedeni, u skladu s Uredbom (EZ) br. 1829/2003 Europskog parlamenta i Vijeća (SL C, C/2025/1803, 4.4.2025., ELI: </w:t>
      </w:r>
      <w:hyperlink r:id="rId11" w:history="1">
        <w:r w:rsidR="004F7159" w:rsidRPr="001E3B0E">
          <w:rPr>
            <w:rStyle w:val="Hyperlink"/>
            <w:sz w:val="24"/>
            <w:szCs w:val="24"/>
            <w:lang w:val="hr-HR"/>
          </w:rPr>
          <w:t>http://data.europa.eu/eli/C/2025/1803/oj</w:t>
        </w:r>
      </w:hyperlink>
      <w:r w:rsidR="004F7159" w:rsidRPr="001E3B0E">
        <w:rPr>
          <w:color w:val="000000" w:themeColor="text1"/>
          <w:sz w:val="24"/>
          <w:szCs w:val="24"/>
          <w:lang w:val="hr-HR"/>
        </w:rPr>
        <w:t>).</w:t>
      </w:r>
    </w:p>
    <w:p w14:paraId="59CEFB66" w14:textId="7123F347" w:rsidR="004F7159" w:rsidRPr="001E3B0E" w:rsidRDefault="00DD0EBC" w:rsidP="00DD0EBC">
      <w:pPr>
        <w:pStyle w:val="FootnoteText"/>
        <w:ind w:left="567" w:hanging="567"/>
        <w:rPr>
          <w:color w:val="000000" w:themeColor="text1"/>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t xml:space="preserve">Rezolucija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2" w:history="1">
        <w:r w:rsidR="004F7159" w:rsidRPr="001E3B0E">
          <w:rPr>
            <w:rStyle w:val="Hyperlink"/>
            <w:sz w:val="24"/>
            <w:szCs w:val="24"/>
            <w:lang w:val="hr-HR"/>
          </w:rPr>
          <w:t>http://data.europa.eu/eli/C/2025/1804/oj</w:t>
        </w:r>
      </w:hyperlink>
      <w:r w:rsidR="004F7159" w:rsidRPr="001E3B0E">
        <w:rPr>
          <w:color w:val="000000" w:themeColor="text1"/>
          <w:sz w:val="24"/>
          <w:szCs w:val="24"/>
          <w:lang w:val="hr-HR"/>
        </w:rPr>
        <w:t>).</w:t>
      </w:r>
    </w:p>
    <w:p w14:paraId="748F5AA8" w14:textId="0B38D63E" w:rsidR="004F7159" w:rsidRPr="001E3B0E" w:rsidRDefault="00DD0EBC" w:rsidP="00DD0EBC">
      <w:pPr>
        <w:pStyle w:val="FootnoteText"/>
        <w:ind w:left="567" w:hanging="567"/>
        <w:rPr>
          <w:sz w:val="24"/>
          <w:szCs w:val="24"/>
          <w:vertAlign w:val="superscript"/>
          <w:lang w:val="hr-HR"/>
        </w:rPr>
      </w:pPr>
      <w:r w:rsidRPr="001E3B0E">
        <w:rPr>
          <w:color w:val="000000" w:themeColor="text1"/>
          <w:sz w:val="24"/>
          <w:szCs w:val="24"/>
          <w:lang w:val="hr-HR"/>
        </w:rPr>
        <w:t xml:space="preserve"> </w:t>
      </w:r>
      <w:r w:rsidRPr="001E3B0E">
        <w:rPr>
          <w:color w:val="000000" w:themeColor="text1"/>
          <w:sz w:val="24"/>
          <w:szCs w:val="24"/>
          <w:lang w:val="hr-HR"/>
        </w:rPr>
        <w:tab/>
      </w:r>
      <w:r w:rsidR="004F7159" w:rsidRPr="001E3B0E">
        <w:rPr>
          <w:color w:val="000000" w:themeColor="text1"/>
          <w:sz w:val="24"/>
          <w:szCs w:val="24"/>
          <w:lang w:val="hr-HR"/>
        </w:rPr>
        <w:t>–</w:t>
      </w:r>
      <w:r w:rsidR="004F7159" w:rsidRPr="001E3B0E">
        <w:rPr>
          <w:color w:val="000000" w:themeColor="text1"/>
          <w:sz w:val="24"/>
          <w:szCs w:val="24"/>
          <w:lang w:val="hr-HR"/>
        </w:rPr>
        <w:tab/>
      </w:r>
      <w:r w:rsidR="004F7159" w:rsidRPr="001E3B0E">
        <w:rPr>
          <w:sz w:val="24"/>
          <w:szCs w:val="24"/>
          <w:lang w:val="hr-HR"/>
        </w:rPr>
        <w:t xml:space="preserve">Rezolucija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3" w:tooltip="Omogućuje pristup tom dokumentu preko identifikatora ELI URI." w:history="1">
        <w:r w:rsidR="004F7159" w:rsidRPr="001E3B0E">
          <w:rPr>
            <w:rStyle w:val="Hyperlink"/>
            <w:sz w:val="24"/>
            <w:szCs w:val="24"/>
            <w:lang w:val="hr-HR"/>
          </w:rPr>
          <w:t>http://data.europa.eu/eli/C/2025/2246/oj</w:t>
        </w:r>
      </w:hyperlink>
      <w:r w:rsidR="004F7159" w:rsidRPr="001E3B0E">
        <w:rPr>
          <w:sz w:val="24"/>
          <w:szCs w:val="24"/>
          <w:lang w:val="hr-HR"/>
        </w:rPr>
        <w:t>).</w:t>
      </w:r>
    </w:p>
    <w:p w14:paraId="3A95E0BC" w14:textId="1E7FCE49" w:rsidR="004F7159" w:rsidRPr="001E3B0E" w:rsidRDefault="00DD0EBC" w:rsidP="00DD0EBC">
      <w:pPr>
        <w:pStyle w:val="FootnoteText"/>
        <w:ind w:left="567" w:hanging="567"/>
        <w:rPr>
          <w:sz w:val="24"/>
          <w:szCs w:val="24"/>
          <w:vertAlign w:val="superscript"/>
          <w:lang w:val="hr-HR"/>
        </w:rPr>
      </w:pPr>
      <w:r w:rsidRPr="001E3B0E">
        <w:rPr>
          <w:sz w:val="24"/>
          <w:szCs w:val="24"/>
          <w:lang w:val="hr-HR"/>
        </w:rPr>
        <w:t xml:space="preserve"> </w:t>
      </w:r>
      <w:r w:rsidRPr="001E3B0E">
        <w:rPr>
          <w:sz w:val="24"/>
          <w:szCs w:val="24"/>
          <w:lang w:val="hr-HR"/>
        </w:rPr>
        <w:tab/>
      </w:r>
      <w:r w:rsidR="004F7159" w:rsidRPr="001E3B0E">
        <w:rPr>
          <w:sz w:val="24"/>
          <w:szCs w:val="24"/>
          <w:lang w:val="hr-HR"/>
        </w:rPr>
        <w:t>–</w:t>
      </w:r>
      <w:r w:rsidR="004F7159" w:rsidRPr="001E3B0E">
        <w:rPr>
          <w:sz w:val="24"/>
          <w:szCs w:val="24"/>
          <w:lang w:val="hr-HR"/>
        </w:rPr>
        <w:tab/>
        <w:t xml:space="preserve">Rezolucija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4" w:tooltip="Omogućuje pristup tom dokumentu preko identifikatora ELI URI." w:history="1">
        <w:r w:rsidR="004F7159" w:rsidRPr="001E3B0E">
          <w:rPr>
            <w:rStyle w:val="Hyperlink"/>
            <w:sz w:val="24"/>
            <w:szCs w:val="24"/>
            <w:lang w:val="hr-HR"/>
          </w:rPr>
          <w:t>http://data.europa.eu/eli/C/2025/2247/oj</w:t>
        </w:r>
      </w:hyperlink>
      <w:r w:rsidR="004F7159" w:rsidRPr="001E3B0E">
        <w:rPr>
          <w:sz w:val="24"/>
          <w:szCs w:val="24"/>
          <w:lang w:val="hr-HR"/>
        </w:rPr>
        <w:t>).</w:t>
      </w:r>
    </w:p>
    <w:p w14:paraId="22DB4FF6" w14:textId="28197E1E" w:rsidR="004F7159" w:rsidRPr="001E3B0E" w:rsidRDefault="00DD0EBC" w:rsidP="00DD0EBC">
      <w:pPr>
        <w:pStyle w:val="FootnoteText"/>
        <w:ind w:left="567" w:hanging="567"/>
        <w:rPr>
          <w:sz w:val="24"/>
          <w:szCs w:val="24"/>
          <w:lang w:val="hr-HR"/>
        </w:rPr>
      </w:pPr>
      <w:r w:rsidRPr="001E3B0E">
        <w:rPr>
          <w:sz w:val="24"/>
          <w:szCs w:val="24"/>
          <w:lang w:val="hr-HR"/>
        </w:rPr>
        <w:t xml:space="preserve"> </w:t>
      </w:r>
      <w:r w:rsidRPr="001E3B0E">
        <w:rPr>
          <w:sz w:val="24"/>
          <w:szCs w:val="24"/>
          <w:lang w:val="hr-HR"/>
        </w:rPr>
        <w:tab/>
      </w:r>
      <w:r w:rsidR="004F7159" w:rsidRPr="001E3B0E">
        <w:rPr>
          <w:sz w:val="24"/>
          <w:szCs w:val="24"/>
          <w:lang w:val="hr-HR"/>
        </w:rPr>
        <w:t>–</w:t>
      </w:r>
      <w:r w:rsidR="004F7159" w:rsidRPr="001E3B0E">
        <w:rPr>
          <w:sz w:val="24"/>
          <w:szCs w:val="24"/>
          <w:lang w:val="hr-HR"/>
        </w:rPr>
        <w:tab/>
        <w:t>Rezolucija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(P10_TA(2025)0106).</w:t>
      </w:r>
    </w:p>
  </w:footnote>
  <w:footnote w:id="6">
    <w:p w14:paraId="529744AB" w14:textId="52485913"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Uredba (EZ) br. 1107/2009 Europskog parlamenta i Vijeća od 21. listopada 2009. o stavljanju na tržište sredstava za zaštitu bilja i stavljanju izvan snage direktiva Vijeća 79/117/EEZ i 91/414/EEZ (SL L 309, 24.11.2009., str. 1., ELI: </w:t>
      </w:r>
      <w:hyperlink r:id="rId15" w:tooltip="Omogućuje pristup tom dokumentu preko identifikatora ELI URI." w:history="1">
        <w:r w:rsidRPr="001E3B0E">
          <w:rPr>
            <w:rStyle w:val="Hyperlink"/>
            <w:sz w:val="24"/>
            <w:szCs w:val="24"/>
            <w:lang w:val="hr-HR"/>
          </w:rPr>
          <w:t>http://data.europa.eu/eli/reg/2009/1107/oj</w:t>
        </w:r>
      </w:hyperlink>
      <w:r w:rsidRPr="001E3B0E">
        <w:rPr>
          <w:sz w:val="24"/>
          <w:szCs w:val="24"/>
          <w:lang w:val="hr-HR"/>
        </w:rPr>
        <w:t>)</w:t>
      </w:r>
    </w:p>
  </w:footnote>
  <w:footnote w:id="7">
    <w:p w14:paraId="103225B9" w14:textId="25D06195"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16" w:history="1">
        <w:r w:rsidRPr="001E3B0E">
          <w:rPr>
            <w:rStyle w:val="Hyperlink"/>
            <w:sz w:val="24"/>
            <w:szCs w:val="24"/>
            <w:lang w:val="hr-HR"/>
          </w:rPr>
          <w:t>https://www.testbiotech.org/wp-content/uploads/2024/12/Testbiotech_comment_‌maize_DP51291.pdf</w:t>
        </w:r>
      </w:hyperlink>
      <w:r w:rsidRPr="001E3B0E">
        <w:rPr>
          <w:sz w:val="24"/>
          <w:szCs w:val="24"/>
          <w:lang w:val="hr-HR"/>
        </w:rPr>
        <w:t>.</w:t>
      </w:r>
    </w:p>
  </w:footnote>
  <w:footnote w:id="8">
    <w:p w14:paraId="6EDDD643" w14:textId="778B0717"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Provedbena uredba Komisije (EU) br. 503/2013 od 3. travnja 2013. o prijavama za odobrenje genetski modificirane hrane i hrane za životinje u skladu s Uredbom (EZ) br. 1829/2003 Europskog parlamenta i Vijeća i o izmjeni Uredbi Komisije (EZ) br. 641/2004 i (EZ) br. 1981/2006 (SL L 157, 8.6.2013., str. 1., ELI: </w:t>
      </w:r>
      <w:hyperlink r:id="rId17" w:history="1">
        <w:r w:rsidRPr="001E3B0E">
          <w:rPr>
            <w:rStyle w:val="Hyperlink"/>
            <w:sz w:val="24"/>
            <w:szCs w:val="24"/>
            <w:lang w:val="hr-HR"/>
          </w:rPr>
          <w:t>http://data.europa.eu/eli/reg_impl/2013/503/oj</w:t>
        </w:r>
      </w:hyperlink>
      <w:r w:rsidRPr="001E3B0E">
        <w:rPr>
          <w:sz w:val="24"/>
          <w:szCs w:val="24"/>
          <w:lang w:val="hr-HR"/>
        </w:rPr>
        <w:t>).</w:t>
      </w:r>
    </w:p>
  </w:footnote>
  <w:footnote w:id="9">
    <w:p w14:paraId="4F71C10C" w14:textId="22594082"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Trtikova, M., Wikmark, O. G., Zemp, N., Widmer, A., Hilbeck, A., (2015) „</w:t>
      </w:r>
      <w:r w:rsidRPr="001E3B0E">
        <w:rPr>
          <w:i/>
          <w:iCs/>
          <w:sz w:val="24"/>
          <w:szCs w:val="24"/>
          <w:lang w:val="hr-HR"/>
        </w:rPr>
        <w:t>Transgene Expression and Bt Protein Content in Transgenic Bt Maize (MON810) under Optimal and Stressful Environmental Conditions</w:t>
      </w:r>
      <w:r w:rsidRPr="001E3B0E">
        <w:rPr>
          <w:sz w:val="24"/>
          <w:szCs w:val="24"/>
          <w:lang w:val="hr-HR"/>
        </w:rPr>
        <w:t xml:space="preserve">” (Transgenska ekspresija i udio proteina Bt u transgenskom kukuruzu Bt (MON810) u optimalnim i stresnim okolišnim uvjetima) Plos ONE, 2015:10(4): e0123011, </w:t>
      </w:r>
      <w:hyperlink r:id="rId18" w:history="1">
        <w:r w:rsidRPr="001E3B0E">
          <w:rPr>
            <w:rStyle w:val="Hyperlink"/>
            <w:sz w:val="24"/>
            <w:szCs w:val="24"/>
            <w:lang w:val="hr-HR"/>
          </w:rPr>
          <w:t>https://doi.org/10.1371/journal.pone.0123011</w:t>
        </w:r>
      </w:hyperlink>
      <w:r w:rsidRPr="001E3B0E">
        <w:rPr>
          <w:sz w:val="24"/>
          <w:szCs w:val="24"/>
          <w:lang w:val="hr-HR"/>
        </w:rPr>
        <w:t>.</w:t>
      </w:r>
    </w:p>
  </w:footnote>
  <w:footnote w:id="10">
    <w:p w14:paraId="5A07DB2D" w14:textId="5B5B65E7"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Vidjeti, primjerice, Schulz, R., Bub, S., Petschick, L. L., Stehle, S., Wolfram, J. (2021.), </w:t>
      </w:r>
      <w:r w:rsidRPr="001E3B0E">
        <w:rPr>
          <w:i/>
          <w:iCs/>
          <w:sz w:val="24"/>
          <w:szCs w:val="24"/>
          <w:lang w:val="hr-HR"/>
        </w:rPr>
        <w:t>Applied pesticide toxicity shifts toward plants and invertebrates, even in GM crops</w:t>
      </w:r>
      <w:r w:rsidRPr="001E3B0E">
        <w:rPr>
          <w:sz w:val="24"/>
          <w:szCs w:val="24"/>
          <w:lang w:val="hr-HR"/>
        </w:rPr>
        <w:t xml:space="preserve"> (Prenošenje toksičnosti primijenjenih pesticida na biljke i beskralježnjake, čak i u genetski modificiranim usjevima), Science 372(6537), str. 81. – 84., </w:t>
      </w:r>
      <w:hyperlink r:id="rId19" w:history="1">
        <w:r w:rsidRPr="001E3B0E">
          <w:rPr>
            <w:rStyle w:val="Hyperlink"/>
            <w:sz w:val="24"/>
            <w:szCs w:val="24"/>
            <w:lang w:val="hr-HR"/>
          </w:rPr>
          <w:t>https://doi.org/10.1126/science.abe1148</w:t>
        </w:r>
      </w:hyperlink>
      <w:r w:rsidRPr="001E3B0E">
        <w:rPr>
          <w:sz w:val="24"/>
          <w:szCs w:val="24"/>
          <w:lang w:val="hr-HR"/>
        </w:rPr>
        <w:t xml:space="preserve">; Bonny, S., </w:t>
      </w:r>
      <w:r w:rsidRPr="001E3B0E">
        <w:rPr>
          <w:i/>
          <w:iCs/>
          <w:sz w:val="24"/>
          <w:szCs w:val="24"/>
          <w:lang w:val="hr-HR"/>
        </w:rPr>
        <w:t>Genetically Modified Herbicide-Tolerant Crops, Weeds, and Herbicides:</w:t>
      </w:r>
      <w:r w:rsidRPr="001E3B0E">
        <w:rPr>
          <w:sz w:val="24"/>
          <w:szCs w:val="24"/>
          <w:lang w:val="hr-HR"/>
        </w:rPr>
        <w:t xml:space="preserve"> </w:t>
      </w:r>
      <w:r w:rsidRPr="001E3B0E">
        <w:rPr>
          <w:i/>
          <w:iCs/>
          <w:sz w:val="24"/>
          <w:szCs w:val="24"/>
          <w:lang w:val="hr-HR"/>
        </w:rPr>
        <w:t>Overview and Impact</w:t>
      </w:r>
      <w:r w:rsidRPr="001E3B0E">
        <w:rPr>
          <w:sz w:val="24"/>
          <w:szCs w:val="24"/>
          <w:lang w:val="hr-HR"/>
        </w:rPr>
        <w:t xml:space="preserve"> (Genetski modificirani usjevi i korovi otporni na herbicide te herbicidi: pregled i učinak), Environmental Management, siječanj 2016;57(1), str. 31. – 48., </w:t>
      </w:r>
      <w:hyperlink r:id="rId20" w:history="1">
        <w:r w:rsidRPr="001E3B0E">
          <w:rPr>
            <w:rStyle w:val="Hyperlink"/>
            <w:sz w:val="24"/>
            <w:szCs w:val="24"/>
            <w:lang w:val="hr-HR"/>
          </w:rPr>
          <w:t>https://www.ncbi.nlm.nih.gov/pubmed/26296738</w:t>
        </w:r>
      </w:hyperlink>
      <w:r w:rsidRPr="001E3B0E">
        <w:rPr>
          <w:sz w:val="24"/>
          <w:szCs w:val="24"/>
          <w:lang w:val="hr-HR"/>
        </w:rPr>
        <w:t xml:space="preserve">; </w:t>
      </w:r>
      <w:r w:rsidRPr="001E3B0E">
        <w:rPr>
          <w:i/>
          <w:iCs/>
          <w:sz w:val="24"/>
          <w:szCs w:val="24"/>
          <w:lang w:val="hr-HR"/>
        </w:rPr>
        <w:t>i Benbrook, C. M., Impacts of genetically engineered crops on pesticide use in the U.S. - the first sixteen years</w:t>
      </w:r>
      <w:r w:rsidRPr="001E3B0E">
        <w:rPr>
          <w:sz w:val="24"/>
          <w:szCs w:val="24"/>
          <w:lang w:val="hr-HR"/>
        </w:rPr>
        <w:t xml:space="preserve"> (Učinak genetski modificiranih usjeva na korištenje pesticida u SAD-u: prvih 16 godina), Environmental Sciences Europe, 28. rujna 2012., svezak 24(24), </w:t>
      </w:r>
      <w:hyperlink r:id="rId21" w:history="1">
        <w:r w:rsidRPr="001E3B0E">
          <w:rPr>
            <w:rStyle w:val="Hyperlink"/>
            <w:sz w:val="24"/>
            <w:szCs w:val="24"/>
            <w:lang w:val="hr-HR"/>
          </w:rPr>
          <w:t>https://doi.org/10.1186/2190-4715-24-24.</w:t>
        </w:r>
      </w:hyperlink>
    </w:p>
  </w:footnote>
  <w:footnote w:id="11">
    <w:p w14:paraId="7A7023D0" w14:textId="1075C725"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Vidjeti pregled Rubio-Infante, N., Moreno-Fierros, L., „An overview of the safety and biological effects of </w:t>
      </w:r>
      <w:r w:rsidRPr="001E3B0E">
        <w:rPr>
          <w:i/>
          <w:sz w:val="24"/>
          <w:szCs w:val="24"/>
          <w:lang w:val="hr-HR"/>
        </w:rPr>
        <w:t>Bacillus thuringiensis</w:t>
      </w:r>
      <w:r w:rsidRPr="001E3B0E">
        <w:rPr>
          <w:sz w:val="24"/>
          <w:szCs w:val="24"/>
          <w:lang w:val="hr-HR"/>
        </w:rPr>
        <w:t xml:space="preserve"> Cry toxins in mammals” (Pregled sigurnosti i bioloških učinaka toksina Cry </w:t>
      </w:r>
      <w:r w:rsidRPr="001E3B0E">
        <w:rPr>
          <w:i/>
          <w:iCs/>
          <w:sz w:val="24"/>
          <w:szCs w:val="24"/>
          <w:lang w:val="hr-HR"/>
        </w:rPr>
        <w:t>Bacillus thuringiensisa</w:t>
      </w:r>
      <w:r w:rsidRPr="001E3B0E">
        <w:rPr>
          <w:sz w:val="24"/>
          <w:szCs w:val="24"/>
          <w:lang w:val="hr-HR"/>
        </w:rPr>
        <w:t xml:space="preserve"> kod sisavaca), Journal of Applied Toxicology, svibanj 2016., 36(5), str. 630 – 648., </w:t>
      </w:r>
      <w:hyperlink r:id="rId22" w:history="1">
        <w:r w:rsidRPr="001E3B0E">
          <w:rPr>
            <w:rStyle w:val="Hyperlink"/>
            <w:sz w:val="24"/>
            <w:szCs w:val="24"/>
            <w:lang w:val="hr-HR"/>
          </w:rPr>
          <w:t>https://onlinelibrary.wiley.com/doi/full/10.1002/jat.3252</w:t>
        </w:r>
      </w:hyperlink>
      <w:r w:rsidRPr="001E3B0E">
        <w:rPr>
          <w:sz w:val="24"/>
          <w:szCs w:val="24"/>
          <w:lang w:val="hr-HR"/>
        </w:rPr>
        <w:t>.</w:t>
      </w:r>
    </w:p>
  </w:footnote>
  <w:footnote w:id="12">
    <w:p w14:paraId="3B1AD3EE" w14:textId="6AFAA805"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Bøhn, T., Macagnan Rover, C., Semenchuk, P. R., „</w:t>
      </w:r>
      <w:r w:rsidRPr="001E3B0E">
        <w:rPr>
          <w:i/>
          <w:sz w:val="24"/>
          <w:szCs w:val="24"/>
          <w:lang w:val="hr-HR"/>
        </w:rPr>
        <w:t>Daphnia magna</w:t>
      </w:r>
      <w:r w:rsidRPr="001E3B0E">
        <w:rPr>
          <w:sz w:val="24"/>
          <w:szCs w:val="24"/>
          <w:lang w:val="hr-HR"/>
        </w:rPr>
        <w:t xml:space="preserve"> negatively affected by chronic exposure to purified Cry-toxins” (Negativni učinak kronične izloženosti pročišćenim toksinima Cry na </w:t>
      </w:r>
      <w:r w:rsidRPr="001E3B0E">
        <w:rPr>
          <w:i/>
          <w:iCs/>
          <w:sz w:val="24"/>
          <w:szCs w:val="24"/>
          <w:lang w:val="hr-HR"/>
        </w:rPr>
        <w:t>Daphnia magna</w:t>
      </w:r>
      <w:r w:rsidRPr="001E3B0E">
        <w:rPr>
          <w:sz w:val="24"/>
          <w:szCs w:val="24"/>
          <w:lang w:val="hr-HR"/>
        </w:rPr>
        <w:t xml:space="preserve">), Food and Chemical Toxicology, svibanj 2016., svezak 91, str. 130 – 140., </w:t>
      </w:r>
      <w:hyperlink r:id="rId23" w:history="1">
        <w:r w:rsidRPr="001E3B0E">
          <w:rPr>
            <w:rStyle w:val="Hyperlink"/>
            <w:sz w:val="24"/>
            <w:szCs w:val="24"/>
            <w:lang w:val="hr-HR"/>
          </w:rPr>
          <w:t>https://doi.org/10.1016/j.fct.2016.03.009</w:t>
        </w:r>
      </w:hyperlink>
    </w:p>
  </w:footnote>
  <w:footnote w:id="13">
    <w:p w14:paraId="0F41248F" w14:textId="7760459A"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Trtikova, M., Lohn, A., Binimelis, R., Chapela, I., Oehen, B., Zemp, N., Widmer, A., Hilbeck, A. (2017.), „Teosinte in Europe – Searching for the Origin of a Novel Weed” (Teosint u Europi – U potrazi za podrijetlom novog korova), Scientific Reports, 7:1560, </w:t>
      </w:r>
      <w:hyperlink r:id="rId24" w:history="1">
        <w:r w:rsidRPr="001E3B0E">
          <w:rPr>
            <w:rStyle w:val="Hyperlink"/>
            <w:sz w:val="24"/>
            <w:szCs w:val="24"/>
            <w:lang w:val="hr-HR"/>
          </w:rPr>
          <w:t>https://doi.org/10.1038/s41598-017-01478-w</w:t>
        </w:r>
      </w:hyperlink>
      <w:r w:rsidRPr="001E3B0E">
        <w:rPr>
          <w:sz w:val="24"/>
          <w:szCs w:val="24"/>
          <w:lang w:val="hr-HR"/>
        </w:rPr>
        <w:t>.</w:t>
      </w:r>
    </w:p>
  </w:footnote>
  <w:footnote w:id="14">
    <w:p w14:paraId="51244648" w14:textId="1C0BA4C7"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Strateški dijalog o budućnosti poljoprivrede u EU-u – „A shared prospect for farming and food in Europe” (Zajednički izgledi za poljoprivredu i hranu u Europi), rujan 2024., </w:t>
      </w:r>
      <w:hyperlink r:id="rId25" w:history="1">
        <w:r w:rsidRPr="001E3B0E">
          <w:rPr>
            <w:rStyle w:val="Hyperlink"/>
            <w:sz w:val="24"/>
            <w:szCs w:val="24"/>
            <w:lang w:val="hr-HR"/>
          </w:rPr>
          <w:t>https://agriculture.ec.europa.eu/document/download/171329ff-0f50-4fa5-946f-aea11032172e_en?filename=strategic-dialogue-report-2024_en.pdf</w:t>
        </w:r>
      </w:hyperlink>
      <w:r w:rsidRPr="001E3B0E">
        <w:rPr>
          <w:sz w:val="24"/>
          <w:szCs w:val="24"/>
          <w:lang w:val="hr-HR"/>
        </w:rPr>
        <w:t xml:space="preserve">. </w:t>
      </w:r>
    </w:p>
  </w:footnote>
  <w:footnote w:id="15">
    <w:p w14:paraId="77A92B2B" w14:textId="3D62DFF1"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26" w:history="1">
        <w:r w:rsidRPr="001E3B0E">
          <w:rPr>
            <w:rStyle w:val="Hyperlink"/>
            <w:sz w:val="24"/>
            <w:szCs w:val="24"/>
            <w:lang w:val="hr-HR"/>
          </w:rPr>
          <w:t>https://www.ohchr.org/en/documents/thematic-reports/ahrc3448-report-special-rapporteur-right-food</w:t>
        </w:r>
      </w:hyperlink>
      <w:r w:rsidRPr="001E3B0E">
        <w:rPr>
          <w:sz w:val="24"/>
          <w:szCs w:val="24"/>
          <w:lang w:val="hr-HR"/>
        </w:rPr>
        <w:t xml:space="preserve">. </w:t>
      </w:r>
    </w:p>
  </w:footnote>
  <w:footnote w:id="16">
    <w:p w14:paraId="2FEA09DB" w14:textId="6A6E1C4B"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27" w:history="1">
        <w:r w:rsidRPr="001E3B0E">
          <w:rPr>
            <w:rStyle w:val="Hyperlink"/>
            <w:sz w:val="24"/>
            <w:szCs w:val="24"/>
            <w:lang w:val="hr-HR"/>
          </w:rPr>
          <w:t>Https://www.un.org/sustainabledevelopment/health/</w:t>
        </w:r>
      </w:hyperlink>
      <w:r w:rsidRPr="001E3B0E">
        <w:rPr>
          <w:sz w:val="24"/>
          <w:szCs w:val="24"/>
          <w:lang w:val="hr-HR"/>
        </w:rPr>
        <w:t xml:space="preserve"> </w:t>
      </w:r>
    </w:p>
  </w:footnote>
  <w:footnote w:id="17">
    <w:p w14:paraId="4088EC80" w14:textId="49EC6007"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28" w:history="1">
        <w:r w:rsidRPr="001E3B0E">
          <w:rPr>
            <w:rStyle w:val="Hyperlink"/>
            <w:sz w:val="24"/>
            <w:szCs w:val="24"/>
            <w:lang w:val="hr-HR"/>
          </w:rPr>
          <w:t>https://ec.europa.eu/commission/presscorner/detail/hr/ip_22_7834</w:t>
        </w:r>
      </w:hyperlink>
      <w:r w:rsidRPr="001E3B0E">
        <w:rPr>
          <w:sz w:val="24"/>
          <w:szCs w:val="24"/>
          <w:lang w:val="hr-HR"/>
        </w:rPr>
        <w:t xml:space="preserve">. </w:t>
      </w:r>
    </w:p>
  </w:footnote>
  <w:footnote w:id="18">
    <w:p w14:paraId="5FE5D173" w14:textId="643F54D7"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29" w:history="1">
        <w:r w:rsidRPr="001E3B0E">
          <w:rPr>
            <w:rStyle w:val="Hyperlink"/>
            <w:sz w:val="24"/>
            <w:szCs w:val="24"/>
            <w:lang w:val="hr-HR"/>
          </w:rPr>
          <w:t>https://commission.europa.eu/document/2c64e540-c07a-4376-a1da-368d289f4afe_en</w:t>
        </w:r>
      </w:hyperlink>
      <w:r w:rsidRPr="001E3B0E">
        <w:rPr>
          <w:sz w:val="24"/>
          <w:szCs w:val="24"/>
          <w:lang w:val="hr-HR"/>
        </w:rPr>
        <w:t>.</w:t>
      </w:r>
    </w:p>
  </w:footnote>
  <w:footnote w:id="19">
    <w:p w14:paraId="0EA118A6" w14:textId="4E06F442"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U skladu s člankom 6. stavkom 3. Uredbe (EU) br. 182/2011 Komisija „može”, ali ne „mora” dati odobrenje ako se u okviru žalbenog odbora za to ne izjasni kvalificirana većina država članica.</w:t>
      </w:r>
    </w:p>
  </w:footnote>
  <w:footnote w:id="20">
    <w:p w14:paraId="553B530C" w14:textId="39383C10"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30" w:history="1">
        <w:r w:rsidRPr="001E3B0E">
          <w:rPr>
            <w:rStyle w:val="Hyperlink"/>
            <w:sz w:val="24"/>
            <w:szCs w:val="24"/>
            <w:lang w:val="hr-HR"/>
          </w:rPr>
          <w:t>https://food.ec.europa.eu/document/download/ee1a5aed-5303-4c32-bb59-813143a1df47_en?filename=sc_modif-genet_20250613_sum.pdf</w:t>
        </w:r>
      </w:hyperlink>
      <w:r w:rsidRPr="001E3B0E">
        <w:rPr>
          <w:sz w:val="24"/>
          <w:szCs w:val="24"/>
          <w:lang w:val="hr-HR"/>
        </w:rPr>
        <w:t>.</w:t>
      </w:r>
    </w:p>
  </w:footnote>
  <w:footnote w:id="21">
    <w:p w14:paraId="5FEDDCC8" w14:textId="3492F148"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Uredba (EZ) br. 178/2002 Europskog parlamenta i Vijeća od 28. siječnja 2002. o utvrđivanju općih načela i uvjeta zakona o hrani, osnivanju Europske agencije za sigurnost hrane te utvrđivanju postupaka u područjima sigurnosti hrane (SL L 31, 1.2.2002., str. 1., ELI: </w:t>
      </w:r>
      <w:hyperlink r:id="rId31" w:history="1">
        <w:r w:rsidRPr="001E3B0E">
          <w:rPr>
            <w:rStyle w:val="Hyperlink"/>
            <w:sz w:val="24"/>
            <w:szCs w:val="24"/>
            <w:lang w:val="hr-HR"/>
          </w:rPr>
          <w:t>http://data.europa.eu/eli/reg/2002/178/oj</w:t>
        </w:r>
      </w:hyperlink>
      <w:r w:rsidRPr="001E3B0E">
        <w:rPr>
          <w:sz w:val="24"/>
          <w:szCs w:val="24"/>
          <w:lang w:val="hr-HR"/>
        </w:rPr>
        <w:t>).</w:t>
      </w:r>
    </w:p>
  </w:footnote>
  <w:footnote w:id="22">
    <w:p w14:paraId="433BD44D" w14:textId="4AC14383"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 xml:space="preserve">Kako je navedeno u prilogu komunikaciji Komisije od 14. listopada 2020. naslovljenoj „Strategija održivosti u području kemikalija – Prelazak na netoksični okoliš”, COM(2020)0667, </w:t>
      </w:r>
      <w:hyperlink r:id="rId32" w:anchor="document2" w:history="1">
        <w:r w:rsidRPr="001E3B0E">
          <w:rPr>
            <w:rStyle w:val="Hyperlink"/>
            <w:sz w:val="24"/>
            <w:szCs w:val="24"/>
            <w:lang w:val="hr-HR"/>
          </w:rPr>
          <w:t>https://eur-lex.europa.eu/legal-content/HR/TXT/?uri=COM%3A2020%3A667%3AFIN#document2</w:t>
        </w:r>
      </w:hyperlink>
      <w:r w:rsidRPr="001E3B0E">
        <w:rPr>
          <w:sz w:val="24"/>
          <w:szCs w:val="24"/>
          <w:lang w:val="hr-HR"/>
        </w:rPr>
        <w:t>.</w:t>
      </w:r>
    </w:p>
  </w:footnote>
  <w:footnote w:id="23">
    <w:p w14:paraId="694C5A2C" w14:textId="1EBCE778"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hyperlink r:id="rId33" w:history="1">
        <w:r w:rsidRPr="001E3B0E">
          <w:rPr>
            <w:rStyle w:val="Hyperlink"/>
            <w:sz w:val="24"/>
            <w:szCs w:val="24"/>
            <w:lang w:val="hr-HR"/>
          </w:rPr>
          <w:t>https://tillymetz.lu/wp-content/uploads/2020/09/Co-signed-letter-MEP-Metz.pdf</w:t>
        </w:r>
      </w:hyperlink>
      <w:r w:rsidRPr="001E3B0E">
        <w:rPr>
          <w:sz w:val="24"/>
          <w:szCs w:val="24"/>
          <w:lang w:val="hr-HR"/>
        </w:rPr>
        <w:t xml:space="preserve">. </w:t>
      </w:r>
    </w:p>
  </w:footnote>
  <w:footnote w:id="24">
    <w:p w14:paraId="312C3FC6" w14:textId="02803681" w:rsidR="004F7159" w:rsidRPr="001E3B0E" w:rsidRDefault="004F7159" w:rsidP="00DD0EBC">
      <w:pPr>
        <w:pStyle w:val="FootnoteText"/>
        <w:ind w:left="567" w:hanging="567"/>
        <w:rPr>
          <w:sz w:val="24"/>
          <w:szCs w:val="24"/>
          <w:lang w:val="hr-HR"/>
        </w:rPr>
      </w:pPr>
      <w:r w:rsidRPr="001E3B0E">
        <w:rPr>
          <w:rStyle w:val="FootnoteReference"/>
          <w:sz w:val="24"/>
          <w:szCs w:val="24"/>
          <w:lang w:val="hr-HR"/>
        </w:rPr>
        <w:footnoteRef/>
      </w:r>
      <w:r w:rsidR="00DD0EBC" w:rsidRPr="001E3B0E">
        <w:rPr>
          <w:sz w:val="24"/>
          <w:szCs w:val="24"/>
          <w:lang w:val="hr-HR"/>
        </w:rPr>
        <w:t xml:space="preserve"> </w:t>
      </w:r>
      <w:r w:rsidR="00DD0EBC" w:rsidRPr="001E3B0E">
        <w:rPr>
          <w:sz w:val="24"/>
          <w:szCs w:val="24"/>
          <w:lang w:val="hr-HR"/>
        </w:rPr>
        <w:tab/>
      </w:r>
      <w:r w:rsidRPr="001E3B0E">
        <w:rPr>
          <w:sz w:val="24"/>
          <w:szCs w:val="24"/>
          <w:lang w:val="hr-HR"/>
        </w:rPr>
        <w:t>Rezolucija Europskog parlamenta od 15. siječnja 2020. o europskom zelenom planu (SL C 270, 7.7.2021., str. 2.), stavak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DFE2" w14:textId="77777777" w:rsidR="00064002" w:rsidRPr="00DD0E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371B4" w14:textId="77777777" w:rsidR="00064002" w:rsidRPr="00DD0E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95AD7" w14:textId="77777777" w:rsidR="00064002" w:rsidRPr="00DD0E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8316397">
    <w:abstractNumId w:val="9"/>
  </w:num>
  <w:num w:numId="2" w16cid:durableId="529103386">
    <w:abstractNumId w:val="9"/>
  </w:num>
  <w:num w:numId="3" w16cid:durableId="109710623">
    <w:abstractNumId w:val="7"/>
  </w:num>
  <w:num w:numId="4" w16cid:durableId="711809750">
    <w:abstractNumId w:val="7"/>
  </w:num>
  <w:num w:numId="5" w16cid:durableId="423649463">
    <w:abstractNumId w:val="6"/>
  </w:num>
  <w:num w:numId="6" w16cid:durableId="33047853">
    <w:abstractNumId w:val="6"/>
  </w:num>
  <w:num w:numId="7" w16cid:durableId="739062003">
    <w:abstractNumId w:val="5"/>
  </w:num>
  <w:num w:numId="8" w16cid:durableId="55978584">
    <w:abstractNumId w:val="5"/>
  </w:num>
  <w:num w:numId="9" w16cid:durableId="631399804">
    <w:abstractNumId w:val="4"/>
  </w:num>
  <w:num w:numId="10" w16cid:durableId="2100056040">
    <w:abstractNumId w:val="4"/>
  </w:num>
  <w:num w:numId="11" w16cid:durableId="115610850">
    <w:abstractNumId w:val="8"/>
  </w:num>
  <w:num w:numId="12" w16cid:durableId="272178009">
    <w:abstractNumId w:val="8"/>
  </w:num>
  <w:num w:numId="13" w16cid:durableId="79765858">
    <w:abstractNumId w:val="3"/>
  </w:num>
  <w:num w:numId="14" w16cid:durableId="2087803134">
    <w:abstractNumId w:val="3"/>
  </w:num>
  <w:num w:numId="15" w16cid:durableId="322315807">
    <w:abstractNumId w:val="2"/>
  </w:num>
  <w:num w:numId="16" w16cid:durableId="502355112">
    <w:abstractNumId w:val="2"/>
  </w:num>
  <w:num w:numId="17" w16cid:durableId="1285429296">
    <w:abstractNumId w:val="1"/>
  </w:num>
  <w:num w:numId="18" w16cid:durableId="410659938">
    <w:abstractNumId w:val="1"/>
  </w:num>
  <w:num w:numId="19" w16cid:durableId="1863468216">
    <w:abstractNumId w:val="0"/>
  </w:num>
  <w:num w:numId="20" w16cid:durableId="811479956">
    <w:abstractNumId w:val="0"/>
  </w:num>
  <w:num w:numId="21" w16cid:durableId="1781752825">
    <w:abstractNumId w:val="9"/>
  </w:num>
  <w:num w:numId="22" w16cid:durableId="311108178">
    <w:abstractNumId w:val="7"/>
  </w:num>
  <w:num w:numId="23" w16cid:durableId="1006707016">
    <w:abstractNumId w:val="6"/>
  </w:num>
  <w:num w:numId="24" w16cid:durableId="1738894657">
    <w:abstractNumId w:val="5"/>
  </w:num>
  <w:num w:numId="25" w16cid:durableId="948241791">
    <w:abstractNumId w:val="4"/>
  </w:num>
  <w:num w:numId="26" w16cid:durableId="1109081625">
    <w:abstractNumId w:val="8"/>
  </w:num>
  <w:num w:numId="27" w16cid:durableId="61760541">
    <w:abstractNumId w:val="3"/>
  </w:num>
  <w:num w:numId="28" w16cid:durableId="1892687422">
    <w:abstractNumId w:val="2"/>
  </w:num>
  <w:num w:numId="29" w16cid:durableId="2088188428">
    <w:abstractNumId w:val="1"/>
  </w:num>
  <w:num w:numId="30" w16cid:durableId="1526020342">
    <w:abstractNumId w:val="0"/>
  </w:num>
  <w:num w:numId="31" w16cid:durableId="1543864307">
    <w:abstractNumId w:val="9"/>
  </w:num>
  <w:num w:numId="32" w16cid:durableId="1440024240">
    <w:abstractNumId w:val="7"/>
  </w:num>
  <w:num w:numId="33" w16cid:durableId="645666340">
    <w:abstractNumId w:val="6"/>
  </w:num>
  <w:num w:numId="34" w16cid:durableId="219903192">
    <w:abstractNumId w:val="5"/>
  </w:num>
  <w:num w:numId="35" w16cid:durableId="1100566086">
    <w:abstractNumId w:val="4"/>
  </w:num>
  <w:num w:numId="36" w16cid:durableId="446123961">
    <w:abstractNumId w:val="8"/>
  </w:num>
  <w:num w:numId="37" w16cid:durableId="400299137">
    <w:abstractNumId w:val="3"/>
  </w:num>
  <w:num w:numId="38" w16cid:durableId="332535905">
    <w:abstractNumId w:val="2"/>
  </w:num>
  <w:num w:numId="39" w16cid:durableId="1230188589">
    <w:abstractNumId w:val="1"/>
  </w:num>
  <w:num w:numId="40" w16cid:durableId="1814058904">
    <w:abstractNumId w:val="0"/>
  </w:num>
  <w:num w:numId="41" w16cid:durableId="1860655208">
    <w:abstractNumId w:val="10"/>
  </w:num>
  <w:num w:numId="42" w16cid:durableId="330329311">
    <w:abstractNumId w:val="10"/>
  </w:num>
  <w:num w:numId="43" w16cid:durableId="510993250">
    <w:abstractNumId w:val="10"/>
  </w:num>
  <w:num w:numId="44" w16cid:durableId="1361081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HR"/>
    <w:docVar w:name="dvnumam" w:val="0"/>
    <w:docVar w:name="dvpe" w:val="775.588"/>
    <w:docVar w:name="dvtitre" w:val="Rezolucija Europskog parlamenta od .... 2025. o Nacrtu provedbene odluke Komisije o odobravanju stavljanja na tržište proizvoda koji sadržavaju genetski modificirani kukuruz DP51291, sastoje se od njega ili su od njega proizvedeni, na temelju Uredbe (EZ) br. 1829/2003 Europskog parlamenta i Vijeća(D108064/03 – 2025/2807(RSP))"/>
  </w:docVars>
  <w:rsids>
    <w:rsidRoot w:val="00E30DF0"/>
    <w:rsid w:val="00002272"/>
    <w:rsid w:val="00064002"/>
    <w:rsid w:val="000677B9"/>
    <w:rsid w:val="000831BA"/>
    <w:rsid w:val="000A42CC"/>
    <w:rsid w:val="000E7DD9"/>
    <w:rsid w:val="0010095E"/>
    <w:rsid w:val="00125B37"/>
    <w:rsid w:val="00187494"/>
    <w:rsid w:val="001E3B0E"/>
    <w:rsid w:val="001F32AE"/>
    <w:rsid w:val="002767FF"/>
    <w:rsid w:val="002B18FE"/>
    <w:rsid w:val="002B5493"/>
    <w:rsid w:val="002E34AD"/>
    <w:rsid w:val="00343214"/>
    <w:rsid w:val="00361C00"/>
    <w:rsid w:val="0038381E"/>
    <w:rsid w:val="00395FA1"/>
    <w:rsid w:val="003E086C"/>
    <w:rsid w:val="003E15D4"/>
    <w:rsid w:val="00411CCE"/>
    <w:rsid w:val="0041666E"/>
    <w:rsid w:val="00421060"/>
    <w:rsid w:val="00471C19"/>
    <w:rsid w:val="004867E3"/>
    <w:rsid w:val="00494A28"/>
    <w:rsid w:val="004C0004"/>
    <w:rsid w:val="004C5D52"/>
    <w:rsid w:val="004F715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5DCF"/>
    <w:rsid w:val="007D1690"/>
    <w:rsid w:val="007E22AD"/>
    <w:rsid w:val="00817416"/>
    <w:rsid w:val="00842779"/>
    <w:rsid w:val="00865F67"/>
    <w:rsid w:val="00881A7B"/>
    <w:rsid w:val="008840E5"/>
    <w:rsid w:val="00887B3E"/>
    <w:rsid w:val="008B097B"/>
    <w:rsid w:val="008C2AC6"/>
    <w:rsid w:val="00906F7E"/>
    <w:rsid w:val="00930C23"/>
    <w:rsid w:val="0093193B"/>
    <w:rsid w:val="009509D8"/>
    <w:rsid w:val="00950B64"/>
    <w:rsid w:val="00981893"/>
    <w:rsid w:val="00A1687D"/>
    <w:rsid w:val="00A43E52"/>
    <w:rsid w:val="00A4678D"/>
    <w:rsid w:val="00A778C7"/>
    <w:rsid w:val="00AB441E"/>
    <w:rsid w:val="00AB6293"/>
    <w:rsid w:val="00AE0928"/>
    <w:rsid w:val="00AF3B82"/>
    <w:rsid w:val="00AF5A70"/>
    <w:rsid w:val="00B12E95"/>
    <w:rsid w:val="00B22876"/>
    <w:rsid w:val="00B558F0"/>
    <w:rsid w:val="00BD48FE"/>
    <w:rsid w:val="00BD7BD8"/>
    <w:rsid w:val="00BE6ADC"/>
    <w:rsid w:val="00C05BFE"/>
    <w:rsid w:val="00C23CD4"/>
    <w:rsid w:val="00C61C0C"/>
    <w:rsid w:val="00C941CB"/>
    <w:rsid w:val="00CC2357"/>
    <w:rsid w:val="00CF071A"/>
    <w:rsid w:val="00D058B8"/>
    <w:rsid w:val="00D362E5"/>
    <w:rsid w:val="00D56C11"/>
    <w:rsid w:val="00D834A0"/>
    <w:rsid w:val="00D872DF"/>
    <w:rsid w:val="00D91E21"/>
    <w:rsid w:val="00DA7FCD"/>
    <w:rsid w:val="00DD0EBC"/>
    <w:rsid w:val="00E30D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23A36"/>
  <w15:chartTrackingRefBased/>
  <w15:docId w15:val="{36072EC2-A530-4351-9F5A-320305A6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7159"/>
    <w:pPr>
      <w:spacing w:before="480" w:after="240"/>
    </w:pPr>
  </w:style>
  <w:style w:type="paragraph" w:customStyle="1" w:styleId="NormalHanging12a">
    <w:name w:val="NormalHanging12a"/>
    <w:basedOn w:val="Normal"/>
    <w:rsid w:val="004F7159"/>
    <w:pPr>
      <w:spacing w:after="240"/>
      <w:ind w:left="567" w:hanging="567"/>
    </w:pPr>
  </w:style>
  <w:style w:type="paragraph" w:customStyle="1" w:styleId="NormalBold">
    <w:name w:val="NormalBold"/>
    <w:basedOn w:val="Normal"/>
    <w:rsid w:val="004F7159"/>
    <w:rPr>
      <w:b/>
    </w:rPr>
  </w:style>
  <w:style w:type="character" w:styleId="Hyperlink">
    <w:name w:val="Hyperlink"/>
    <w:basedOn w:val="DefaultParagraphFont"/>
    <w:uiPriority w:val="99"/>
    <w:rsid w:val="004F7159"/>
    <w:rPr>
      <w:color w:val="0563C1" w:themeColor="hyperlink"/>
      <w:u w:val="single"/>
    </w:rPr>
  </w:style>
  <w:style w:type="character" w:customStyle="1" w:styleId="Funotenzeichen">
    <w:name w:val="Fußnotenzeichen"/>
    <w:qFormat/>
    <w:rsid w:val="004F7159"/>
    <w:rPr>
      <w:vertAlign w:val="superscript"/>
    </w:rPr>
  </w:style>
  <w:style w:type="character" w:styleId="FollowedHyperlink">
    <w:name w:val="FollowedHyperlink"/>
    <w:basedOn w:val="DefaultParagraphFont"/>
    <w:rsid w:val="0038381E"/>
    <w:rPr>
      <w:color w:val="954F72" w:themeColor="followedHyperlink"/>
      <w:u w:val="single"/>
    </w:rPr>
  </w:style>
  <w:style w:type="paragraph" w:styleId="Revision">
    <w:name w:val="Revision"/>
    <w:hidden/>
    <w:uiPriority w:val="99"/>
    <w:semiHidden/>
    <w:rsid w:val="008B097B"/>
    <w:rPr>
      <w:sz w:val="24"/>
      <w:lang w:val="hr-HR"/>
    </w:rPr>
  </w:style>
  <w:style w:type="character" w:styleId="UnresolvedMention">
    <w:name w:val="Unresolved Mention"/>
    <w:basedOn w:val="DefaultParagraphFont"/>
    <w:uiPriority w:val="99"/>
    <w:semiHidden/>
    <w:unhideWhenUsed/>
    <w:rsid w:val="008B0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HR/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hr/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2304</Words>
  <Characters>13626</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GOROPECNIK Tina</cp:lastModifiedBy>
  <cp:revision>2</cp:revision>
  <cp:lastPrinted>2004-11-19T15:42:00Z</cp:lastPrinted>
  <dcterms:created xsi:type="dcterms:W3CDTF">2026-01-15T10:38:00Z</dcterms:created>
  <dcterms:modified xsi:type="dcterms:W3CDTF">2026-01-15T10:38:00Z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B10-0407/2025</vt:lpwstr>
  </property>
  <property fmtid="{D5CDD505-2E9C-101B-9397-08002B2CF9AE}" pid="4" name="&lt;Type&gt;">
    <vt:lpwstr>RR</vt:lpwstr>
  </property>
</Properties>
</file>