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F2871" w14:paraId="61C1E52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0B4CEFD" w14:textId="77777777" w:rsidR="00751A4A" w:rsidRPr="000F2871" w:rsidRDefault="00484B3D" w:rsidP="0010095E">
            <w:pPr>
              <w:pStyle w:val="EPName"/>
            </w:pPr>
            <w:r w:rsidRPr="000F2871">
              <w:t>Európai Parlament</w:t>
            </w:r>
          </w:p>
          <w:p w14:paraId="1375A2F8" w14:textId="77777777" w:rsidR="00751A4A" w:rsidRPr="000F287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F2871">
              <w:t>2024</w:t>
            </w:r>
            <w:r w:rsidR="00817416" w:rsidRPr="000F2871">
              <w:t>-202</w:t>
            </w:r>
            <w:r w:rsidRPr="000F2871">
              <w:t>9</w:t>
            </w:r>
          </w:p>
        </w:tc>
        <w:tc>
          <w:tcPr>
            <w:tcW w:w="2268" w:type="dxa"/>
            <w:shd w:val="clear" w:color="auto" w:fill="auto"/>
          </w:tcPr>
          <w:p w14:paraId="22F9BC84" w14:textId="77777777" w:rsidR="00751A4A" w:rsidRPr="000F2871" w:rsidRDefault="00187494" w:rsidP="0010095E">
            <w:pPr>
              <w:pStyle w:val="EPLogo"/>
            </w:pPr>
            <w:r w:rsidRPr="000F2871">
              <w:rPr>
                <w:noProof/>
                <w:lang w:eastAsia="ja-JP"/>
              </w:rPr>
              <w:drawing>
                <wp:inline distT="0" distB="0" distL="0" distR="0" wp14:anchorId="1C350CCD" wp14:editId="3A38D62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81C54A" w14:textId="77777777" w:rsidR="00D058B8" w:rsidRPr="000F2871" w:rsidRDefault="00D058B8" w:rsidP="004C5D52">
      <w:pPr>
        <w:pStyle w:val="LineTop"/>
      </w:pPr>
    </w:p>
    <w:p w14:paraId="1B7A8ED6" w14:textId="77777777" w:rsidR="00680577" w:rsidRPr="000F2871" w:rsidRDefault="00484B3D" w:rsidP="00680577">
      <w:pPr>
        <w:pStyle w:val="EPBodyTA1"/>
      </w:pPr>
      <w:r w:rsidRPr="000F2871">
        <w:t>ELFOGADOTT SZÖVEGEK</w:t>
      </w:r>
    </w:p>
    <w:p w14:paraId="47C6713F" w14:textId="77777777" w:rsidR="00D058B8" w:rsidRPr="000F2871" w:rsidRDefault="00D058B8" w:rsidP="00D058B8">
      <w:pPr>
        <w:pStyle w:val="LineBottom"/>
      </w:pPr>
    </w:p>
    <w:p w14:paraId="22F35EFF" w14:textId="1A3F5DA0" w:rsidR="00484B3D" w:rsidRPr="000F2871" w:rsidRDefault="00484B3D" w:rsidP="00484B3D">
      <w:pPr>
        <w:pStyle w:val="ATHeading1"/>
      </w:pPr>
      <w:bookmarkStart w:id="0" w:name="TANumber"/>
      <w:r w:rsidRPr="000F2871">
        <w:t>P10_</w:t>
      </w:r>
      <w:proofErr w:type="gramStart"/>
      <w:r w:rsidRPr="000F2871">
        <w:t>TA(</w:t>
      </w:r>
      <w:proofErr w:type="gramEnd"/>
      <w:r w:rsidRPr="000F2871">
        <w:t>2025)</w:t>
      </w:r>
      <w:bookmarkEnd w:id="0"/>
      <w:r w:rsidR="00AD6EE6" w:rsidRPr="000F2871">
        <w:t>0</w:t>
      </w:r>
      <w:r w:rsidR="00AD6EE6">
        <w:t>222</w:t>
      </w:r>
    </w:p>
    <w:p w14:paraId="6D901FB2" w14:textId="74365C34" w:rsidR="00484B3D" w:rsidRPr="000F2871" w:rsidRDefault="005D0622" w:rsidP="0053562E">
      <w:pPr>
        <w:pStyle w:val="ATHeading2"/>
      </w:pPr>
      <w:bookmarkStart w:id="1" w:name="title"/>
      <w:r w:rsidRPr="000F2871">
        <w:t>A</w:t>
      </w:r>
      <w:r w:rsidR="0053562E" w:rsidRPr="000F2871">
        <w:t xml:space="preserve"> géntechnológiával módosított DP51291 kukorica</w:t>
      </w:r>
      <w:bookmarkEnd w:id="1"/>
    </w:p>
    <w:p w14:paraId="4D1CDF4F" w14:textId="3B2A02A0" w:rsidR="00484B3D" w:rsidRPr="000F2871" w:rsidRDefault="00484B3D" w:rsidP="00484B3D">
      <w:pPr>
        <w:rPr>
          <w:i/>
          <w:vanish/>
        </w:rPr>
      </w:pPr>
      <w:r w:rsidRPr="000F2871">
        <w:rPr>
          <w:i/>
        </w:rPr>
        <w:fldChar w:fldCharType="begin"/>
      </w:r>
      <w:r w:rsidRPr="000F2871">
        <w:rPr>
          <w:i/>
        </w:rPr>
        <w:instrText xml:space="preserve"> TC"(</w:instrText>
      </w:r>
      <w:bookmarkStart w:id="2" w:name="DocNumber"/>
      <w:r w:rsidRPr="000F2871">
        <w:rPr>
          <w:i/>
        </w:rPr>
        <w:instrText>B10-0407/2025</w:instrText>
      </w:r>
      <w:bookmarkEnd w:id="2"/>
      <w:r w:rsidRPr="000F2871">
        <w:rPr>
          <w:i/>
        </w:rPr>
        <w:instrText xml:space="preserve">)"\l3 \n&gt; \* MERGEFORMAT </w:instrText>
      </w:r>
      <w:r w:rsidRPr="000F2871">
        <w:rPr>
          <w:i/>
        </w:rPr>
        <w:fldChar w:fldCharType="end"/>
      </w:r>
    </w:p>
    <w:p w14:paraId="58821E15" w14:textId="77777777" w:rsidR="00484B3D" w:rsidRPr="000F2871" w:rsidRDefault="00484B3D" w:rsidP="00484B3D">
      <w:pPr>
        <w:rPr>
          <w:vanish/>
        </w:rPr>
      </w:pPr>
      <w:bookmarkStart w:id="3" w:name="PE"/>
      <w:r w:rsidRPr="000F2871">
        <w:rPr>
          <w:vanish/>
        </w:rPr>
        <w:t>PE775.588</w:t>
      </w:r>
      <w:bookmarkEnd w:id="3"/>
    </w:p>
    <w:p w14:paraId="12C8F1E9" w14:textId="18F5D394" w:rsidR="00484B3D" w:rsidRPr="000F2871" w:rsidRDefault="00484B3D" w:rsidP="00484B3D">
      <w:pPr>
        <w:pStyle w:val="ATHeading3"/>
      </w:pPr>
      <w:bookmarkStart w:id="4" w:name="Sujet"/>
      <w:r w:rsidRPr="000F2871">
        <w:t xml:space="preserve">Az Európai Parlament 2025. </w:t>
      </w:r>
      <w:r w:rsidR="005D0622" w:rsidRPr="000F2871">
        <w:t>október 8</w:t>
      </w:r>
      <w:r w:rsidRPr="000F2871">
        <w:t xml:space="preserve">-i </w:t>
      </w:r>
      <w:r w:rsidR="00A6171A">
        <w:t xml:space="preserve">(EU) 2025/1898 </w:t>
      </w:r>
      <w:r w:rsidRPr="000F2871">
        <w:t>állásfoglalása a géntechnológiával módosított DP51291 kukoricát tartalmazó, abból álló vagy abból előállított termékek forgalomba hozatalának az 1829/2003/EK európai parlamenti és tanácsi rendelet szerinti engedélyezéséről szóló</w:t>
      </w:r>
      <w:r w:rsidR="005D0622" w:rsidRPr="000F2871">
        <w:t>, 2025. szeptember 22-i</w:t>
      </w:r>
      <w:r w:rsidRPr="000F2871">
        <w:t xml:space="preserve"> bizottsági végrehajtási határozat</w:t>
      </w:r>
      <w:r w:rsidR="005D0622" w:rsidRPr="000F2871">
        <w:t>ról</w:t>
      </w:r>
      <w:r w:rsidRPr="000F2871">
        <w:t xml:space="preserve"> </w:t>
      </w:r>
      <w:bookmarkStart w:id="5" w:name="References"/>
      <w:bookmarkEnd w:id="4"/>
      <w:r w:rsidRPr="000F2871">
        <w:t>(2025/2807(RSP))</w:t>
      </w:r>
      <w:bookmarkEnd w:id="5"/>
    </w:p>
    <w:p w14:paraId="1159802F" w14:textId="77777777" w:rsidR="00C51A17" w:rsidRPr="000F2871" w:rsidRDefault="00C51A17" w:rsidP="00C51A17">
      <w:pPr>
        <w:pStyle w:val="EPComma"/>
        <w:jc w:val="both"/>
      </w:pPr>
      <w:bookmarkStart w:id="6" w:name="TextBodyBegin"/>
      <w:bookmarkEnd w:id="6"/>
      <w:r w:rsidRPr="000F2871">
        <w:rPr>
          <w:i/>
        </w:rPr>
        <w:t>Az Európai Parlament</w:t>
      </w:r>
      <w:r w:rsidRPr="000F2871">
        <w:t>,</w:t>
      </w:r>
    </w:p>
    <w:p w14:paraId="31973A21" w14:textId="39AC4BC3" w:rsidR="00C51A17" w:rsidRPr="000F2871" w:rsidRDefault="00C51A17" w:rsidP="003D38B6">
      <w:pPr>
        <w:pStyle w:val="NormalHanging12a"/>
        <w:widowControl/>
        <w:rPr>
          <w:szCs w:val="24"/>
        </w:rPr>
      </w:pPr>
      <w:r w:rsidRPr="000F2871">
        <w:t>–</w:t>
      </w:r>
      <w:r w:rsidRPr="000F2871">
        <w:tab/>
        <w:t>tekintettel a géntechnológiával módosított DP51291 kukoricát tartalmazó, abból álló vagy abból előállított termékek forgalomba hozatalának az 1829/2003/EK európai parlamenti és tanácsi rendelet szerinti engedélyezéséről szóló</w:t>
      </w:r>
      <w:r w:rsidR="005D0622" w:rsidRPr="000F2871">
        <w:t xml:space="preserve">, 2025. szeptember 22-i </w:t>
      </w:r>
      <w:r w:rsidR="00A6171A">
        <w:t>(EU) 2025/1898</w:t>
      </w:r>
      <w:r w:rsidRPr="000F2871">
        <w:t>bizottsági végrehajtási határozat</w:t>
      </w:r>
      <w:r w:rsidR="005D0622" w:rsidRPr="000F2871">
        <w:t>ra</w:t>
      </w:r>
      <w:r w:rsidR="005D0622" w:rsidRPr="000F2871">
        <w:rPr>
          <w:rStyle w:val="FootnoteReference"/>
          <w:szCs w:val="24"/>
        </w:rPr>
        <w:footnoteReference w:id="1"/>
      </w:r>
      <w:r w:rsidRPr="000F2871">
        <w:t>,</w:t>
      </w:r>
    </w:p>
    <w:p w14:paraId="119DE087" w14:textId="50042C4B" w:rsidR="00C51A17" w:rsidRPr="000F2871" w:rsidRDefault="00C51A17" w:rsidP="003D38B6">
      <w:pPr>
        <w:pStyle w:val="NormalHanging12a"/>
        <w:widowControl/>
        <w:rPr>
          <w:szCs w:val="24"/>
        </w:rPr>
      </w:pPr>
      <w:r w:rsidRPr="000F2871">
        <w:t>–</w:t>
      </w:r>
      <w:r w:rsidRPr="000F2871">
        <w:tab/>
        <w:t>tekintettel a géntechnológiával módosított élelmiszerekről és takarmányokról szóló, 2003. szeptember 22-i 1829/2003/EK európai parlamenti és tanácsi rendeletre</w:t>
      </w:r>
      <w:r w:rsidRPr="000F2871">
        <w:rPr>
          <w:rStyle w:val="FootnoteReference"/>
          <w:szCs w:val="24"/>
        </w:rPr>
        <w:footnoteReference w:id="2"/>
      </w:r>
      <w:r w:rsidRPr="000F2871">
        <w:t xml:space="preserve"> és különösen </w:t>
      </w:r>
      <w:r w:rsidR="005D0622" w:rsidRPr="000F2871">
        <w:t xml:space="preserve">annak </w:t>
      </w:r>
      <w:r w:rsidRPr="000F2871">
        <w:t>7. cikk</w:t>
      </w:r>
      <w:r w:rsidR="005D0622" w:rsidRPr="000F2871">
        <w:t>e</w:t>
      </w:r>
      <w:r w:rsidRPr="000F2871">
        <w:t xml:space="preserve"> (3) bekezdésére és 19. cikk</w:t>
      </w:r>
      <w:r w:rsidR="005D0622" w:rsidRPr="000F2871">
        <w:t>e</w:t>
      </w:r>
      <w:r w:rsidRPr="000F2871">
        <w:t xml:space="preserve"> (3) bekezdésére,</w:t>
      </w:r>
    </w:p>
    <w:p w14:paraId="70BB5B07" w14:textId="77777777" w:rsidR="00C51A17" w:rsidRPr="000F2871" w:rsidRDefault="00C51A17" w:rsidP="003D38B6">
      <w:pPr>
        <w:pStyle w:val="NormalHanging12a"/>
        <w:widowControl/>
        <w:rPr>
          <w:szCs w:val="24"/>
        </w:rPr>
      </w:pPr>
      <w:r w:rsidRPr="000F2871">
        <w:t>–</w:t>
      </w:r>
      <w:r w:rsidRPr="000F2871">
        <w:tab/>
        <w:t>tekintettel az 1829/2003/EK rendelet 35. cikkében említett, a növényekkel, állatokkal, élelmiszerekkel és takarmányokkal foglalkozó állandó bizottságban 2025. június 13-án tartott szavazásra, amelyen nem született vélemény, valamint a fellebbviteli bizottságban 2025. július 15-én tartott szavazására, amelyen ugyancsak nem született vélemény,</w:t>
      </w:r>
    </w:p>
    <w:p w14:paraId="5EA02064" w14:textId="77777777" w:rsidR="00C51A17" w:rsidRPr="000F2871" w:rsidRDefault="00C51A17" w:rsidP="003D38B6">
      <w:pPr>
        <w:pStyle w:val="NormalHanging12a"/>
        <w:widowControl/>
        <w:rPr>
          <w:szCs w:val="24"/>
        </w:rPr>
      </w:pPr>
      <w:r w:rsidRPr="000F2871">
        <w:t>–</w:t>
      </w:r>
      <w:r w:rsidRPr="000F2871">
        <w:tab/>
        <w:t>tekintettel a Bizottság végrehajtási hatásköreinek gyakorlására vonatkozó tagállami ellenőrzési mechanizmusok szabályainak és általános elveinek megállapításáról szóló, 2011. február 16-i 182/2011/EU európai parlamenti és tanácsi rendelet 11. cikkére</w:t>
      </w:r>
      <w:r w:rsidRPr="000F2871">
        <w:rPr>
          <w:rStyle w:val="FootnoteReference"/>
          <w:szCs w:val="24"/>
        </w:rPr>
        <w:footnoteReference w:id="3"/>
      </w:r>
      <w:r w:rsidRPr="000F2871">
        <w:t>,</w:t>
      </w:r>
    </w:p>
    <w:p w14:paraId="4007781E" w14:textId="77777777" w:rsidR="00C51A17" w:rsidRPr="000F2871" w:rsidRDefault="00C51A17" w:rsidP="003D38B6">
      <w:pPr>
        <w:pStyle w:val="NormalHanging12a"/>
        <w:widowControl/>
        <w:rPr>
          <w:szCs w:val="24"/>
        </w:rPr>
      </w:pPr>
      <w:r w:rsidRPr="000F2871">
        <w:lastRenderedPageBreak/>
        <w:t>–</w:t>
      </w:r>
      <w:r w:rsidRPr="000F2871">
        <w:tab/>
        <w:t>tekintettel az Európai Élelmiszerbiztonsági Hatóság (EFSA) által 2024. október 2-án elfogadott és 2024. november 11-én közzétett véleményre</w:t>
      </w:r>
      <w:r w:rsidRPr="000F2871">
        <w:rPr>
          <w:rStyle w:val="FootnoteReference"/>
          <w:szCs w:val="24"/>
        </w:rPr>
        <w:footnoteReference w:id="4"/>
      </w:r>
      <w:r w:rsidRPr="000F2871">
        <w:t>,</w:t>
      </w:r>
    </w:p>
    <w:p w14:paraId="7997DDED" w14:textId="77777777" w:rsidR="00C51A17" w:rsidRPr="000F2871" w:rsidRDefault="00C51A17" w:rsidP="003D38B6">
      <w:pPr>
        <w:pStyle w:val="NormalHanging12a"/>
        <w:widowControl/>
        <w:rPr>
          <w:szCs w:val="24"/>
          <w:shd w:val="clear" w:color="auto" w:fill="FFFFFF"/>
        </w:rPr>
      </w:pPr>
      <w:r w:rsidRPr="000F2871">
        <w:t>–</w:t>
      </w:r>
      <w:r w:rsidRPr="000F2871">
        <w:tab/>
      </w:r>
      <w:r w:rsidRPr="000F2871">
        <w:rPr>
          <w:shd w:val="clear" w:color="auto" w:fill="FFFFFF"/>
        </w:rPr>
        <w:t>tekintettel a géntechnológiával módosított szervezetek (a továbbiakban: GMO-k) engedélyezését kifogásoló korábbi állásfoglalásaira</w:t>
      </w:r>
      <w:r w:rsidRPr="000F2871">
        <w:rPr>
          <w:rStyle w:val="FootnoteReference"/>
          <w:szCs w:val="24"/>
          <w:shd w:val="clear" w:color="auto" w:fill="FFFFFF"/>
        </w:rPr>
        <w:footnoteReference w:id="5"/>
      </w:r>
      <w:r w:rsidRPr="000F2871">
        <w:rPr>
          <w:shd w:val="clear" w:color="auto" w:fill="FFFFFF"/>
        </w:rPr>
        <w:t>,</w:t>
      </w:r>
    </w:p>
    <w:p w14:paraId="5229D4CB" w14:textId="77777777" w:rsidR="00C51A17" w:rsidRPr="000F2871" w:rsidRDefault="00C51A17" w:rsidP="003D38B6">
      <w:pPr>
        <w:pStyle w:val="NormalHanging12a"/>
        <w:widowControl/>
        <w:rPr>
          <w:szCs w:val="24"/>
        </w:rPr>
      </w:pPr>
      <w:r w:rsidRPr="000F2871">
        <w:lastRenderedPageBreak/>
        <w:t>–</w:t>
      </w:r>
      <w:r w:rsidRPr="000F2871">
        <w:tab/>
        <w:t>tekintettel eljárási szabályzata 115. cikkének (2) és (3) bekezdésére,</w:t>
      </w:r>
    </w:p>
    <w:p w14:paraId="29D547CA" w14:textId="77777777" w:rsidR="00C51A17" w:rsidRPr="000F2871" w:rsidRDefault="00C51A17" w:rsidP="003D38B6">
      <w:pPr>
        <w:pStyle w:val="NormalHanging12a"/>
        <w:widowControl/>
        <w:rPr>
          <w:szCs w:val="24"/>
        </w:rPr>
      </w:pPr>
      <w:r w:rsidRPr="000F2871">
        <w:t>–</w:t>
      </w:r>
      <w:r w:rsidRPr="000F2871">
        <w:tab/>
        <w:t>tekintettel a Környezetvédelmi, Éghajlatváltozási és Élelmiszer-biztonsági Bizottság állásfoglalásra irányuló indítványára,</w:t>
      </w:r>
    </w:p>
    <w:p w14:paraId="762FD444" w14:textId="77777777" w:rsidR="00C51A17" w:rsidRPr="000F2871" w:rsidRDefault="00C51A17" w:rsidP="003D38B6">
      <w:pPr>
        <w:pStyle w:val="NormalHanging12a"/>
        <w:widowControl/>
        <w:rPr>
          <w:szCs w:val="24"/>
        </w:rPr>
      </w:pPr>
      <w:r w:rsidRPr="000F2871">
        <w:t>A.</w:t>
      </w:r>
      <w:r w:rsidRPr="000F2871">
        <w:tab/>
        <w:t>mivel 2023. január 27-én az egyesült államokbeli székhelyű Corteva Agriscience LLC nevében eljáró, belgiumi székhelyű Corteva Agriscience Belgium B.V. kérelmet nyújtott be az illetékes holland nemzeti hatósághoz a géntechnológiával módosított DP51291 kukoricát (a továbbiakban: géntechnológiával módosított kukorica) tartalmazó, abból álló vagy abból előállított élelmiszerek, élelmiszer-összetevők és takarmányok forgalomba hozatalára vonatkozóan;</w:t>
      </w:r>
    </w:p>
    <w:p w14:paraId="23EF2446" w14:textId="77777777" w:rsidR="00C51A17" w:rsidRPr="000F2871" w:rsidRDefault="00C51A17" w:rsidP="003D38B6">
      <w:pPr>
        <w:pStyle w:val="NormalHanging12a"/>
        <w:widowControl/>
        <w:rPr>
          <w:szCs w:val="24"/>
        </w:rPr>
      </w:pPr>
      <w:r w:rsidRPr="000F2871">
        <w:t>B.</w:t>
      </w:r>
      <w:r w:rsidRPr="000F2871">
        <w:tab/>
        <w:t>mivel a géntechnológiával módosított kukorica IPD072Aa toxint termel az amerikai kukoricabogár ellen, foszfinothricin-acetil-transzferáz (PAT) fehérjét a glufozinátot tartalmazó gyomirtó szerekkel szembeni ellenállás érdekében és a PMI-fehérjét mint választható markert;</w:t>
      </w:r>
    </w:p>
    <w:p w14:paraId="284F56BD" w14:textId="77777777" w:rsidR="00C51A17" w:rsidRPr="000F2871" w:rsidRDefault="00C51A17" w:rsidP="003D38B6">
      <w:pPr>
        <w:pStyle w:val="NormalHanging12a"/>
        <w:widowControl/>
        <w:rPr>
          <w:szCs w:val="24"/>
        </w:rPr>
      </w:pPr>
      <w:r w:rsidRPr="000F2871">
        <w:t>C.</w:t>
      </w:r>
      <w:r w:rsidRPr="000F2871">
        <w:tab/>
        <w:t>mivel a glufozinát, amely kiegészítő gyomirtó szernek minősül, az 1B. kategóriába tartozó, reprodukciót károsító anyagként van besorolva, és ezért megfelel az 1107/2009/EK európai parlamenti és tanácsi rendeletben meghatározott kizárási kritériumoknak</w:t>
      </w:r>
      <w:r w:rsidRPr="000F2871">
        <w:rPr>
          <w:rStyle w:val="FootnoteReference"/>
          <w:szCs w:val="24"/>
        </w:rPr>
        <w:footnoteReference w:id="6"/>
      </w:r>
      <w:r w:rsidRPr="000F2871">
        <w:t>; mivel a glufozinát Unióban való használatára vonatkozó jóváhagyás 2018. július 31-én lejárt;</w:t>
      </w:r>
    </w:p>
    <w:p w14:paraId="06BF6B2D" w14:textId="77777777" w:rsidR="00C51A17" w:rsidRPr="000F2871" w:rsidRDefault="00C51A17" w:rsidP="003D38B6">
      <w:pPr>
        <w:pStyle w:val="NormalHanging12a"/>
        <w:widowControl/>
        <w:rPr>
          <w:szCs w:val="24"/>
        </w:rPr>
      </w:pPr>
      <w:r w:rsidRPr="000F2871">
        <w:lastRenderedPageBreak/>
        <w:t>D.</w:t>
      </w:r>
      <w:r w:rsidRPr="000F2871">
        <w:tab/>
        <w:t xml:space="preserve">mivel az IPD072Aa egy Pseudomonas chlororaphis baktérium által termelt rovarölő toxin, amelyet a kukoricabogár elleni védekezés érdekében alkalmaznak; </w:t>
      </w:r>
    </w:p>
    <w:p w14:paraId="787F6101" w14:textId="77777777" w:rsidR="00C51A17" w:rsidRPr="000F2871" w:rsidRDefault="00C51A17" w:rsidP="003D38B6">
      <w:pPr>
        <w:pStyle w:val="NormalHanging12a"/>
        <w:widowControl/>
        <w:rPr>
          <w:b/>
          <w:i/>
          <w:iCs/>
          <w:szCs w:val="24"/>
        </w:rPr>
      </w:pPr>
      <w:r w:rsidRPr="000F2871">
        <w:rPr>
          <w:b/>
          <w:i/>
        </w:rPr>
        <w:t>Komplex géntechnológia</w:t>
      </w:r>
    </w:p>
    <w:p w14:paraId="49B96464" w14:textId="77777777" w:rsidR="00C51A17" w:rsidRPr="000F2871" w:rsidRDefault="00C51A17" w:rsidP="003D38B6">
      <w:pPr>
        <w:pStyle w:val="NormalHanging12a"/>
        <w:widowControl/>
        <w:rPr>
          <w:szCs w:val="24"/>
        </w:rPr>
      </w:pPr>
      <w:r w:rsidRPr="000F2871">
        <w:t>E.</w:t>
      </w:r>
      <w:r w:rsidRPr="000F2871">
        <w:tab/>
        <w:t>mivel a DP51291 kukoricát komplex, többlépcsős géntechnológiai eljárással fejlesztették ki, amelynek során létrehoztak egy genomiális „dokkolófelületet”, amelyet öt plazmid felhasználásával mikrolövedékekkel bombáztak, majd ezt követően a dokkolófelületbe agrobacterium tumefaciens révén expressziós vektorokat illesztettek be;</w:t>
      </w:r>
    </w:p>
    <w:p w14:paraId="684D2213" w14:textId="77777777" w:rsidR="00C51A17" w:rsidRPr="000F2871" w:rsidRDefault="00C51A17" w:rsidP="003D38B6">
      <w:pPr>
        <w:pStyle w:val="NormalHanging12a"/>
        <w:widowControl/>
        <w:rPr>
          <w:szCs w:val="24"/>
        </w:rPr>
      </w:pPr>
      <w:r w:rsidRPr="000F2871">
        <w:t>F.</w:t>
      </w:r>
      <w:r w:rsidRPr="000F2871">
        <w:tab/>
        <w:t>mivel ez a géntechnológiai módosítás 113 genomikus DNS bázispár törlését eredményezte a kukoricában, amint azt a bioinformatikai elemzés feltárta, és számos új, nyitott leolvasási keret (ORF) kialakulásához vezetett, potenciális genomikus zavarokat jelezve a transzformációs eljárásból eredően; mivel ezen ORF-ek közül öt több mint 35%-os szekvenciális azonosságot mutatott ismert allergének tekintetében, ami meghaladja az allergén hatás értékelése során általánosan használt küszöbértéket</w:t>
      </w:r>
      <w:r w:rsidRPr="000F2871">
        <w:rPr>
          <w:rStyle w:val="FootnoteReference"/>
          <w:szCs w:val="24"/>
        </w:rPr>
        <w:footnoteReference w:id="7"/>
      </w:r>
      <w:r w:rsidRPr="000F2871">
        <w:t xml:space="preserve">; </w:t>
      </w:r>
    </w:p>
    <w:p w14:paraId="72211342" w14:textId="77777777" w:rsidR="00C51A17" w:rsidRPr="000F2871" w:rsidRDefault="00C51A17" w:rsidP="003D38B6">
      <w:pPr>
        <w:pStyle w:val="NormalHanging12a"/>
        <w:widowControl/>
        <w:rPr>
          <w:b/>
          <w:i/>
          <w:iCs/>
          <w:szCs w:val="24"/>
        </w:rPr>
      </w:pPr>
      <w:r w:rsidRPr="000F2871">
        <w:rPr>
          <w:b/>
          <w:i/>
        </w:rPr>
        <w:t>A mezőgazdasági gyakorlatokra és a környezeti tényezőkre vonatkozó adatok hiánya</w:t>
      </w:r>
    </w:p>
    <w:p w14:paraId="79ECBB71" w14:textId="77777777" w:rsidR="00C51A17" w:rsidRPr="000F2871" w:rsidRDefault="00C51A17" w:rsidP="003D38B6">
      <w:pPr>
        <w:pStyle w:val="NormalHanging12a"/>
        <w:widowControl/>
        <w:rPr>
          <w:szCs w:val="24"/>
        </w:rPr>
      </w:pPr>
      <w:r w:rsidRPr="000F2871">
        <w:t>G.</w:t>
      </w:r>
      <w:r w:rsidRPr="000F2871">
        <w:tab/>
        <w:t>mivel a Bizottság 503/2013/EU végrehajtási rendelete</w:t>
      </w:r>
      <w:r w:rsidRPr="000F2871">
        <w:rPr>
          <w:rStyle w:val="FootnoteReference"/>
          <w:szCs w:val="24"/>
        </w:rPr>
        <w:footnoteReference w:id="8"/>
      </w:r>
      <w:r w:rsidRPr="000F2871">
        <w:t xml:space="preserve"> előírja annak értékelését, hogy a várható mezőgazdasági gyakorlatok befolyásolják-e a tanulmányozott végpontok expresszióját; mivel az említett végrehajtási rendelet szerint ez különösen fontos a gyomirtó szernek ellenálló növények esetében;</w:t>
      </w:r>
    </w:p>
    <w:p w14:paraId="09DFD09F" w14:textId="77777777" w:rsidR="00C51A17" w:rsidRPr="000F2871" w:rsidRDefault="00C51A17" w:rsidP="003D38B6">
      <w:pPr>
        <w:pStyle w:val="NormalHanging12a"/>
        <w:widowControl/>
        <w:rPr>
          <w:szCs w:val="24"/>
        </w:rPr>
      </w:pPr>
      <w:r w:rsidRPr="000F2871">
        <w:t>H.</w:t>
      </w:r>
      <w:r w:rsidRPr="000F2871">
        <w:tab/>
        <w:t>mivel a környezeti stresszhatások, például az aszály vagy a szélsőséges hőmérséklet, váratlan génexpressziós mintákat eredményezhetnek az újonnan beillesztett DNS-szekvenciákban</w:t>
      </w:r>
      <w:r w:rsidRPr="000F2871">
        <w:rPr>
          <w:rStyle w:val="FootnoteReference"/>
          <w:szCs w:val="24"/>
        </w:rPr>
        <w:footnoteReference w:id="9"/>
      </w:r>
      <w:r w:rsidRPr="000F2871">
        <w:t xml:space="preserve">; </w:t>
      </w:r>
    </w:p>
    <w:p w14:paraId="6A530CE5" w14:textId="77777777" w:rsidR="00C51A17" w:rsidRPr="000F2871" w:rsidRDefault="00C51A17" w:rsidP="003D38B6">
      <w:pPr>
        <w:pStyle w:val="NormalHanging12a"/>
        <w:widowControl/>
        <w:rPr>
          <w:szCs w:val="24"/>
        </w:rPr>
      </w:pPr>
      <w:r w:rsidRPr="000F2871">
        <w:t>I.</w:t>
      </w:r>
      <w:r w:rsidRPr="000F2871">
        <w:tab/>
        <w:t>mivel a géntechnológiával módosított kukorica összetételének és fenotípusának elemzésének alátámasztására használt szántóföldi kísérleteket egyetlen vegetációs időszakban (2021) végezték el az Egyesült Államokban és Kanadában olyan időjárási körülmények között, amelyek nem tükrözik megfelelően a kukoricatermesztő régiók sokféleségét, különösen olyan országokban, mint Brazília;</w:t>
      </w:r>
    </w:p>
    <w:p w14:paraId="0F22A2AF" w14:textId="77777777" w:rsidR="00C51A17" w:rsidRPr="000F2871" w:rsidRDefault="00C51A17" w:rsidP="003D38B6">
      <w:pPr>
        <w:pStyle w:val="NormalHanging12a"/>
        <w:widowControl/>
        <w:rPr>
          <w:szCs w:val="24"/>
        </w:rPr>
      </w:pPr>
      <w:r w:rsidRPr="000F2871">
        <w:t>J.</w:t>
      </w:r>
      <w:r w:rsidRPr="000F2871">
        <w:tab/>
        <w:t>mivel egyes kísérleti helyszíneken szélsőséges időjárási eseményekről számoltak be; mivel nem végeztek konkrét vizsgálatokat a folyamatban lévő éghajlatváltozás által befolyásolt jövőbeli körülmények értékelésére;</w:t>
      </w:r>
    </w:p>
    <w:p w14:paraId="3EC7BFDB" w14:textId="77777777" w:rsidR="00C51A17" w:rsidRPr="000F2871" w:rsidRDefault="00C51A17" w:rsidP="003D38B6">
      <w:pPr>
        <w:pStyle w:val="NormalHanging12a"/>
        <w:widowControl/>
        <w:rPr>
          <w:szCs w:val="24"/>
        </w:rPr>
      </w:pPr>
      <w:r w:rsidRPr="000F2871">
        <w:lastRenderedPageBreak/>
        <w:t>K.</w:t>
      </w:r>
      <w:r w:rsidRPr="000F2871">
        <w:tab/>
        <w:t>mivel glufozinátot csak egyszer alkalmaztak a szántóföldi vizsgálatok során, az EFSA adagolási ajánlásait követően; mivel azonban a valós mezőgazdasági gyakorlatokban a gyomirtó szerek alkalmazásának aránya és gyakorisága régiónként gyakran jelentősen eltér, ami nagyobb mennyiségű vagy ismételt felhasználást is jelenthet, és ebből eredően a szántóföldi kísérleti adatok nem feltétlenül tükrözik megfelelően azon környezeti és mezőgazdasági körülmények teljes skáláját, amelyek mellett a géntechnológiával módosított kukoricát valószínűleg termesztik vagy importálják;</w:t>
      </w:r>
    </w:p>
    <w:p w14:paraId="10181BD0" w14:textId="77777777" w:rsidR="00C51A17" w:rsidRPr="000F2871" w:rsidRDefault="00C51A17" w:rsidP="003D38B6">
      <w:pPr>
        <w:pStyle w:val="NormalHanging12a"/>
        <w:widowControl/>
        <w:rPr>
          <w:b/>
          <w:i/>
          <w:iCs/>
          <w:szCs w:val="24"/>
        </w:rPr>
      </w:pPr>
      <w:r w:rsidRPr="000F2871">
        <w:rPr>
          <w:b/>
          <w:i/>
        </w:rPr>
        <w:t xml:space="preserve">A glufozinát értékelésének hiánya </w:t>
      </w:r>
    </w:p>
    <w:p w14:paraId="07EFB995" w14:textId="77777777" w:rsidR="00C51A17" w:rsidRPr="000F2871" w:rsidRDefault="00C51A17" w:rsidP="003D38B6">
      <w:pPr>
        <w:pStyle w:val="NormalHanging12a"/>
        <w:widowControl/>
        <w:rPr>
          <w:szCs w:val="24"/>
        </w:rPr>
      </w:pPr>
      <w:r w:rsidRPr="000F2871">
        <w:t>L.</w:t>
      </w:r>
      <w:r w:rsidRPr="000F2871">
        <w:tab/>
        <w:t>mivel a glufozinát jelentős kockázatokkal jár a biológiai sokféleségre, a toxicitásra és az ökoszisztéma hosszú távú egészségére nézve;</w:t>
      </w:r>
    </w:p>
    <w:p w14:paraId="12AF3364" w14:textId="77777777" w:rsidR="00C51A17" w:rsidRPr="000F2871" w:rsidRDefault="00C51A17" w:rsidP="003D38B6">
      <w:pPr>
        <w:pStyle w:val="NormalHanging12a"/>
        <w:widowControl/>
        <w:rPr>
          <w:szCs w:val="24"/>
        </w:rPr>
      </w:pPr>
      <w:r w:rsidRPr="000F2871">
        <w:t>M.</w:t>
      </w:r>
      <w:r w:rsidRPr="000F2871">
        <w:tab/>
        <w:t>mivel a géntechnológiával módosított növények túlnyomó többségét azért módosították géntechnológiával, hogy ellenállóak legyenek egy vagy több „kiegészítő” gyomirtó szerrel szemben, amelyeket a géntechnológiával módosított növény termesztése során végig lehet használni anélkül, hogy a növény elpusztulna, ami a gyomirtó szernek nem ellenálló növények esetében viszont megtörténne; mivel számos tanulmány kimutatta, hogy a gyomirtó szernek ellenálló, géntechnológiával módosított növények alkalmazása következtében nagyobb arányban használnak kiegészítő gyomirtó szereket, nagyrészt a gyomirtó szernek ellenálló gyomok megjelenése miatt</w:t>
      </w:r>
      <w:r w:rsidRPr="000F2871">
        <w:rPr>
          <w:rStyle w:val="FootnoteReference"/>
          <w:szCs w:val="24"/>
        </w:rPr>
        <w:footnoteReference w:id="10"/>
      </w:r>
      <w:r w:rsidRPr="000F2871">
        <w:t>;</w:t>
      </w:r>
    </w:p>
    <w:p w14:paraId="665347E3" w14:textId="77777777" w:rsidR="00C51A17" w:rsidRPr="000F2871" w:rsidRDefault="00C51A17" w:rsidP="003D38B6">
      <w:pPr>
        <w:pStyle w:val="NormalHanging12a"/>
        <w:widowControl/>
        <w:rPr>
          <w:szCs w:val="24"/>
        </w:rPr>
      </w:pPr>
      <w:r w:rsidRPr="000F2871">
        <w:t>N.</w:t>
      </w:r>
      <w:r w:rsidRPr="000F2871">
        <w:tab/>
        <w:t>mivel a gyomirtó szernek ellenálló, géntechnológiával módosított növények a mezőgazdasági termelőket a gyomirtó szerektől nagymértékben vagy teljes mértékben függő gyomirtási rendszerbe kényszerítik, mégpedig úgy, hogy a géntechnológiával módosított vetőmagokra olyan felárat számítanak fel, amely csak akkor indokolható, ha az ilyen vetőmagot vásárló mezőgazdasági termelők a kiegészítő gyomirtó szerekkel is permeteznek; mivel a kiegészítő gyomirtó szerekre való fokozott támaszkodás a géntechnológiával módosított növényeket termesztő gazdaságokban felgyorsítja az ilyen gyomirtó szereknek ellenálló gyomok megjelenését és terjedését, és ezáltal a gyomirtó szerek még nagyobb mértékű használatát teszi szükségessé, ami a „gyomirtó szerek mókuskereke” néven ismert ördögi kör;</w:t>
      </w:r>
    </w:p>
    <w:p w14:paraId="23F9B106" w14:textId="77777777" w:rsidR="00C51A17" w:rsidRPr="000F2871" w:rsidRDefault="00C51A17" w:rsidP="003D38B6">
      <w:pPr>
        <w:pStyle w:val="NormalHanging12a"/>
        <w:widowControl/>
        <w:rPr>
          <w:szCs w:val="24"/>
        </w:rPr>
      </w:pPr>
      <w:r w:rsidRPr="000F2871">
        <w:t>O.</w:t>
      </w:r>
      <w:r w:rsidRPr="000F2871">
        <w:tab/>
        <w:t>mivel a gyomirtó szerektől való túlzott függésből eredő káros hatások rontják a talaj egészségét, a vízminőséget, valamint a talaj feletti és alatti biológiai sokféleséget, valamint az emberek és állatok fokozott kitettségéhez vezetnek, potenciálisan az élelmiszerekben és takarmányokban található gyomirtószer-maradékok növekedése révén is;</w:t>
      </w:r>
    </w:p>
    <w:p w14:paraId="3D08F9B0" w14:textId="77777777" w:rsidR="00C51A17" w:rsidRPr="000F2871" w:rsidRDefault="00C51A17" w:rsidP="003D38B6">
      <w:pPr>
        <w:pStyle w:val="NormalHanging12a"/>
        <w:widowControl/>
        <w:rPr>
          <w:szCs w:val="24"/>
        </w:rPr>
      </w:pPr>
      <w:r w:rsidRPr="000F2871">
        <w:t>P.</w:t>
      </w:r>
      <w:r w:rsidRPr="000F2871">
        <w:tab/>
        <w:t xml:space="preserve">mivel a géntechnológiával módosított növényeken talált gyomirtószer-maradványok és metabolitok értékelése kívül esik az EFSA géntechnológiával módosított szervezetekkel foglalkozó tudományos testületének (a továbbiakban: az EFSA GMO-testülete) </w:t>
      </w:r>
      <w:r w:rsidRPr="000F2871">
        <w:lastRenderedPageBreak/>
        <w:t>hatáskörén, ezért a GMO-kra vonatkozó engedélyezési eljárás részeként ilyen értékelésre nem kerül sor;</w:t>
      </w:r>
    </w:p>
    <w:p w14:paraId="1C5FABDB" w14:textId="77777777" w:rsidR="00C51A17" w:rsidRPr="000F2871" w:rsidRDefault="00C51A17" w:rsidP="003D38B6">
      <w:pPr>
        <w:pStyle w:val="NormalHanging12a"/>
        <w:widowControl/>
        <w:rPr>
          <w:b/>
          <w:i/>
          <w:iCs/>
          <w:szCs w:val="24"/>
        </w:rPr>
      </w:pPr>
      <w:r w:rsidRPr="000F2871">
        <w:rPr>
          <w:b/>
          <w:i/>
        </w:rPr>
        <w:t>Az IPD072Aa toxinnal kapcsolatos lezáratlan kérdések</w:t>
      </w:r>
    </w:p>
    <w:p w14:paraId="1D50BF03" w14:textId="77777777" w:rsidR="00C51A17" w:rsidRPr="000F2871" w:rsidRDefault="00C51A17" w:rsidP="003D38B6">
      <w:pPr>
        <w:pStyle w:val="NormalHanging12a"/>
        <w:widowControl/>
        <w:rPr>
          <w:szCs w:val="24"/>
        </w:rPr>
      </w:pPr>
      <w:r w:rsidRPr="000F2871">
        <w:t>Q.</w:t>
      </w:r>
      <w:r w:rsidRPr="000F2871">
        <w:tab/>
        <w:t>mivel az 503/2013/EU végrehajtási rendelet toxikológiai értékelést ír elő annak igazolására, hogy a géntechnológiai módosítás tervezett hatásai nem gyakorolnak káros hatást az emberi és állati egészségre;</w:t>
      </w:r>
    </w:p>
    <w:p w14:paraId="3DBC9062" w14:textId="77777777" w:rsidR="00C51A17" w:rsidRPr="000F2871" w:rsidRDefault="00C51A17" w:rsidP="003D38B6">
      <w:pPr>
        <w:pStyle w:val="NormalHanging12a"/>
        <w:widowControl/>
        <w:rPr>
          <w:szCs w:val="24"/>
        </w:rPr>
      </w:pPr>
      <w:r w:rsidRPr="000F2871">
        <w:t>R.</w:t>
      </w:r>
      <w:r w:rsidRPr="000F2871">
        <w:tab/>
        <w:t xml:space="preserve">mivel az IPD072Aa egy új fehérje, ami azt jelenti, hogy mezőgazdasági felhasználása és az élelmiszerláncba való bevezetése során nem lehet teljes mértékben a korábban szerzett tapasztalatokra támaszkodni; </w:t>
      </w:r>
    </w:p>
    <w:p w14:paraId="05FBE595" w14:textId="77777777" w:rsidR="00C51A17" w:rsidRPr="000F2871" w:rsidRDefault="00C51A17" w:rsidP="003D38B6">
      <w:pPr>
        <w:pStyle w:val="NormalHanging12a"/>
        <w:widowControl/>
        <w:rPr>
          <w:szCs w:val="24"/>
        </w:rPr>
      </w:pPr>
      <w:r w:rsidRPr="000F2871">
        <w:t>S.</w:t>
      </w:r>
      <w:r w:rsidRPr="000F2871">
        <w:tab/>
        <w:t xml:space="preserve">mivel a különbségek ellenére az IPD072Aa és a Bt-toxinok megfigyelt hasonlósága rávilágít, hogy a kockázatértékelési folyamat során gondos mérlegelésre van szükség; mivel számos vizsgálat kimutatta, hogy a </w:t>
      </w:r>
      <w:proofErr w:type="gramStart"/>
      <w:r w:rsidRPr="000F2871">
        <w:t>Bt-toxinok</w:t>
      </w:r>
      <w:proofErr w:type="gramEnd"/>
      <w:r w:rsidRPr="000F2871">
        <w:t xml:space="preserve"> immunvonatkozású mellékhatásokat válthatnak ki, beleértve lehetséges adjuváns tulajdonságokat</w:t>
      </w:r>
      <w:r w:rsidRPr="000F2871">
        <w:rPr>
          <w:rStyle w:val="FootnoteReference"/>
          <w:szCs w:val="24"/>
        </w:rPr>
        <w:footnoteReference w:id="11"/>
      </w:r>
      <w:r w:rsidRPr="000F2871">
        <w:t xml:space="preserve"> is, ami azt jelenti, hogy erősíthetik más olyan fehérjék allergén jellegét, amelyekkel érintkezésbe kerülnek;</w:t>
      </w:r>
    </w:p>
    <w:p w14:paraId="2BA340C6" w14:textId="77777777" w:rsidR="00C51A17" w:rsidRPr="000F2871" w:rsidRDefault="00C51A17" w:rsidP="003D38B6">
      <w:pPr>
        <w:pStyle w:val="NormalHanging12a"/>
        <w:widowControl/>
        <w:rPr>
          <w:szCs w:val="24"/>
        </w:rPr>
      </w:pPr>
      <w:r w:rsidRPr="000F2871">
        <w:t>T.</w:t>
      </w:r>
      <w:r w:rsidRPr="000F2871">
        <w:tab/>
        <w:t>mivel tudományos vizsgálat keretében megállapítást nyert, hogy a Bt-toxinok toxicitását a gyomirtó szerekkel történő permetezésből származó maradékanyagokkal fellépő kölcsönhatás is erősítheti, és további vizsgálatok szükségesek a többszörös genetikai események (géntechnológiai módosítással a gyomirtó szerekkel szemben ellenállóvá tett és rovarölő hatású Bt-toxinokat termelő növények) kombinált hatásairól</w:t>
      </w:r>
      <w:r w:rsidRPr="000F2871">
        <w:rPr>
          <w:rStyle w:val="FootnoteReference"/>
          <w:szCs w:val="24"/>
        </w:rPr>
        <w:footnoteReference w:id="12"/>
      </w:r>
      <w:r w:rsidRPr="000F2871">
        <w:t>; mivel a gyomirtó szerek maradékanyagai és metabolitjai Bt-toxinokkal fellépő potenciális kölcsönhatásának vizsgálatát azonban nem tartják az EFSA GMO-testületének hatáskörébe tartozónak, ezért nem is kerül rá sor a kockázatértékelés részeként;</w:t>
      </w:r>
    </w:p>
    <w:p w14:paraId="30F8B5E3" w14:textId="77777777" w:rsidR="00C51A17" w:rsidRPr="000F2871" w:rsidRDefault="00C51A17" w:rsidP="003D38B6">
      <w:pPr>
        <w:pStyle w:val="NormalHanging12a"/>
        <w:widowControl/>
        <w:rPr>
          <w:szCs w:val="24"/>
        </w:rPr>
      </w:pPr>
      <w:r w:rsidRPr="000F2871">
        <w:t>U.</w:t>
      </w:r>
      <w:r w:rsidRPr="000F2871">
        <w:tab/>
        <w:t>mivel az IPD072Aa toxicitási értékelése nem veszi figyelembe a növényi metabolitokkal vagy gyomirtószer-maradékokkal való kölcsönhatásból eredő lehetséges szinergikus vagy kumulatív hatásokat;</w:t>
      </w:r>
    </w:p>
    <w:p w14:paraId="506683A8" w14:textId="77777777" w:rsidR="00C51A17" w:rsidRPr="000F2871" w:rsidRDefault="00C51A17" w:rsidP="003D38B6">
      <w:pPr>
        <w:pStyle w:val="NormalHanging12a"/>
        <w:widowControl/>
        <w:rPr>
          <w:szCs w:val="24"/>
        </w:rPr>
      </w:pPr>
      <w:r w:rsidRPr="000F2871">
        <w:t>V.</w:t>
      </w:r>
      <w:r w:rsidRPr="000F2871">
        <w:tab/>
        <w:t>mivel nem szolgáltattak adatokat az IPD072Aa felhalmozódásáról az élelmiszerláncokban, valamint környezeti terjedéséről, különösen a szennyvíz és a trágya révén a talajban és vízi ökoszisztémákban, illetve a nem célszervezetekre gyakorolt hatásairól;</w:t>
      </w:r>
    </w:p>
    <w:p w14:paraId="07D594BC" w14:textId="77777777" w:rsidR="00C51A17" w:rsidRPr="000F2871" w:rsidRDefault="00C51A17" w:rsidP="003D38B6">
      <w:pPr>
        <w:pStyle w:val="NormalHanging12a"/>
        <w:widowControl/>
        <w:rPr>
          <w:szCs w:val="24"/>
        </w:rPr>
      </w:pPr>
      <w:r w:rsidRPr="000F2871">
        <w:t>W.</w:t>
      </w:r>
      <w:r w:rsidRPr="000F2871">
        <w:tab/>
        <w:t xml:space="preserve">mivel a génáramlás lehetősége vad rokonfajok, például a kukorica nemzetségbe tartozó egyéb fajok irányába, amelyről Spanyolországban és Franciaországban is beszámoltak, </w:t>
      </w:r>
      <w:r w:rsidRPr="000F2871">
        <w:lastRenderedPageBreak/>
        <w:t>aggályokat vet fel a transzgén környezetben való fennmaradásával és annak lehetséges ökológiai következményeivel kapcsolatban</w:t>
      </w:r>
      <w:r w:rsidRPr="000F2871">
        <w:rPr>
          <w:rStyle w:val="FootnoteReference"/>
          <w:szCs w:val="24"/>
        </w:rPr>
        <w:footnoteReference w:id="13"/>
      </w:r>
      <w:r w:rsidRPr="000F2871">
        <w:t>;</w:t>
      </w:r>
    </w:p>
    <w:p w14:paraId="27B79577" w14:textId="77777777" w:rsidR="00C51A17" w:rsidRPr="000F2871" w:rsidRDefault="00C51A17" w:rsidP="003D38B6">
      <w:pPr>
        <w:pStyle w:val="NormalHanging12a"/>
        <w:widowControl/>
        <w:rPr>
          <w:szCs w:val="24"/>
        </w:rPr>
      </w:pPr>
      <w:r w:rsidRPr="000F2871">
        <w:t>X.</w:t>
      </w:r>
      <w:r w:rsidRPr="000F2871">
        <w:tab/>
        <w:t>mivel az 503/2013/EU végrehajtási rendeletben meghatározott ellenőrzési követelményeket nem megfelelően hajtják végre, és a Corteva Agriscience LLC által benyújtott adatok független ellenőrzése nem történt meg;</w:t>
      </w:r>
    </w:p>
    <w:p w14:paraId="48EDAD4D" w14:textId="77777777" w:rsidR="00C51A17" w:rsidRPr="000F2871" w:rsidRDefault="00C51A17" w:rsidP="003D38B6">
      <w:pPr>
        <w:pStyle w:val="NormalHanging12a"/>
        <w:widowControl/>
        <w:ind w:left="0" w:firstLine="0"/>
        <w:rPr>
          <w:b/>
          <w:i/>
          <w:iCs/>
          <w:szCs w:val="24"/>
        </w:rPr>
      </w:pPr>
      <w:r w:rsidRPr="000F2871">
        <w:rPr>
          <w:b/>
          <w:i/>
        </w:rPr>
        <w:t>Globálisan egyenlő versenyfeltételek biztosítása és az Unió nemzetközi kötelezettségeinek tiszteletben tartása</w:t>
      </w:r>
    </w:p>
    <w:p w14:paraId="611E5037" w14:textId="36494152" w:rsidR="00C51A17" w:rsidRPr="000F2871" w:rsidRDefault="00C51A17" w:rsidP="003D38B6">
      <w:pPr>
        <w:pStyle w:val="NormalHanging12a"/>
        <w:widowControl/>
        <w:rPr>
          <w:b/>
          <w:szCs w:val="24"/>
        </w:rPr>
      </w:pPr>
      <w:r w:rsidRPr="000F2871">
        <w:t>Y.</w:t>
      </w:r>
      <w:r w:rsidRPr="000F2871">
        <w:rPr>
          <w:b/>
        </w:rPr>
        <w:tab/>
      </w:r>
      <w:r w:rsidRPr="000F2871">
        <w:t>mivel géntechnológiával módosított kukorica termesztése az Unióban nem engedélyezett; mivel a</w:t>
      </w:r>
      <w:r w:rsidR="005D0622" w:rsidRPr="000F2871">
        <w:t>z (EU) 2025/1898</w:t>
      </w:r>
      <w:r w:rsidRPr="000F2871">
        <w:t xml:space="preserve"> </w:t>
      </w:r>
      <w:r w:rsidR="000A7290" w:rsidRPr="000F2871">
        <w:t xml:space="preserve">végrehajtási </w:t>
      </w:r>
      <w:r w:rsidRPr="000F2871">
        <w:t xml:space="preserve">határozat elfogadása lehetővé </w:t>
      </w:r>
      <w:r w:rsidR="005D0622" w:rsidRPr="000F2871">
        <w:t xml:space="preserve">teszi </w:t>
      </w:r>
      <w:r w:rsidRPr="000F2871">
        <w:t>az Unióba irányuló olyan behozatalt, amely nem felel meg az uniós mezőgazdasági termelők által betartott előírásoknak, és ezáltal versenyhátrányba hozná őket;</w:t>
      </w:r>
    </w:p>
    <w:p w14:paraId="62F847BD" w14:textId="77777777" w:rsidR="00C51A17" w:rsidRPr="000F2871" w:rsidRDefault="00C51A17" w:rsidP="003D38B6">
      <w:pPr>
        <w:pStyle w:val="NormalHanging12a"/>
        <w:widowControl/>
        <w:rPr>
          <w:b/>
          <w:szCs w:val="24"/>
        </w:rPr>
      </w:pPr>
      <w:r w:rsidRPr="000F2871">
        <w:t>Z.</w:t>
      </w:r>
      <w:r w:rsidRPr="000F2871">
        <w:tab/>
        <w:t>mivel az uniós mezőgazdaság jövőjéről folytatott stratégiai párbeszéd</w:t>
      </w:r>
      <w:r w:rsidRPr="000F2871">
        <w:rPr>
          <w:rStyle w:val="FootnoteReference"/>
          <w:szCs w:val="24"/>
        </w:rPr>
        <w:footnoteReference w:id="14"/>
      </w:r>
      <w:r w:rsidRPr="000F2871">
        <w:t xml:space="preserve"> következtetései felhívják a Bizottságot, hogy értékelje újra az agrár-élelmiszeripari import és export piacra jutásával kapcsolatos megközelítését, tekintettel az Unió és kereskedelmi partnerei eltérő normái jelentette kihívásra; mivel a 2023-as és 2024-es demonstrációk során a mezőgazdasági termelők egyik fő igénye az egészséges környezetre vonatkozó célokkal összhangban lévő, globális szinten tisztességesebb kereskedelmi kapcsolatok kialakítása volt;</w:t>
      </w:r>
    </w:p>
    <w:p w14:paraId="69E4FDDE" w14:textId="77777777" w:rsidR="00C51A17" w:rsidRPr="000F2871" w:rsidRDefault="00C51A17" w:rsidP="003D38B6">
      <w:pPr>
        <w:pStyle w:val="NormalHanging12a"/>
        <w:widowControl/>
        <w:rPr>
          <w:szCs w:val="24"/>
        </w:rPr>
      </w:pPr>
      <w:r w:rsidRPr="000F2871">
        <w:t>AA.</w:t>
      </w:r>
      <w:r w:rsidRPr="000F2871">
        <w:tab/>
        <w:t>mivel az Egyesült Nemzetek Szervezetén (ENSZ) belül az élelemhez való jog kérdésével megbízott különleges előadó 2017-es jelentésében megállapította, hogy a veszélyes növényvédő szerek – különösen a fejlődő országokban – katasztrofális hatást gyakorolnak az egészségre</w:t>
      </w:r>
      <w:r w:rsidRPr="000F2871">
        <w:rPr>
          <w:rStyle w:val="FootnoteReference"/>
          <w:szCs w:val="24"/>
        </w:rPr>
        <w:footnoteReference w:id="15"/>
      </w:r>
      <w:r w:rsidRPr="000F2871">
        <w:t>; mivel az ENSZ 3.9. fenntartható fejlődési célja a veszélyes vegyi anyagok, valamint a levegő-, víz- és talajszennyezés és -fertőzöttség miatt bekövetkező halálesetek és megbetegedések számának jelentős mértékű csökkenését tűzte ki 2030-ra</w:t>
      </w:r>
      <w:r w:rsidRPr="000F2871">
        <w:rPr>
          <w:rStyle w:val="FootnoteReference"/>
          <w:szCs w:val="24"/>
        </w:rPr>
        <w:footnoteReference w:id="16"/>
      </w:r>
      <w:r w:rsidRPr="000F2871">
        <w:t>;</w:t>
      </w:r>
    </w:p>
    <w:p w14:paraId="10EC102F" w14:textId="77777777" w:rsidR="00C51A17" w:rsidRPr="000F2871" w:rsidRDefault="00C51A17" w:rsidP="003D38B6">
      <w:pPr>
        <w:pStyle w:val="NormalHanging12a"/>
        <w:widowControl/>
        <w:rPr>
          <w:szCs w:val="24"/>
        </w:rPr>
      </w:pPr>
      <w:r w:rsidRPr="000F2871">
        <w:t>AB.</w:t>
      </w:r>
      <w:r w:rsidRPr="000F2871">
        <w:tab/>
        <w:t>mivel az ENSZ Biológiai Sokféleség Egyezménye (UN CBD) részes feleinek 15. konferenciáján 2022 decemberében elfogadott kunming-montreali globális biodiverzitás-megőrzési keretstratégia egyik globális célja az, hogy 2030-ig legalább 50%-kal kell csökkenteni a növényvédő szerek kockázatát</w:t>
      </w:r>
      <w:r w:rsidRPr="000F2871">
        <w:rPr>
          <w:rStyle w:val="FootnoteReference"/>
          <w:szCs w:val="24"/>
        </w:rPr>
        <w:footnoteReference w:id="17"/>
      </w:r>
      <w:r w:rsidRPr="000F2871">
        <w:t>;</w:t>
      </w:r>
    </w:p>
    <w:p w14:paraId="4B358914" w14:textId="77777777" w:rsidR="00C51A17" w:rsidRPr="000F2871" w:rsidRDefault="00C51A17" w:rsidP="003D38B6">
      <w:pPr>
        <w:pStyle w:val="NormalHanging12a"/>
        <w:widowControl/>
        <w:rPr>
          <w:szCs w:val="24"/>
        </w:rPr>
      </w:pPr>
      <w:r w:rsidRPr="000F2871">
        <w:t>AC.</w:t>
      </w:r>
      <w:r w:rsidRPr="000F2871">
        <w:tab/>
        <w:t xml:space="preserve">mivel az 1829/2003/EK rendelet egyfelől rögzíti, hogy a géntechnológiával módosított élelmiszerek vagy takarmányok nem gyakorolhatnak kedvezőtlen hatást az emberi egészségre, az állati egészségre vagy a környezetre, másfelől pedig előírja a Bizottság számára, hogy határozatainak megszövegezése során vegye figyelembe az uniós jog </w:t>
      </w:r>
      <w:r w:rsidRPr="000F2871">
        <w:lastRenderedPageBreak/>
        <w:t>minden vonatkozó rendelkezését és a vizsgált üggyel kapcsolatos egyéb jogszerű tényezőket; mivel az ilyen jogszerű tényezőknek magukban kell foglalniuk az Uniónak az ENSZ fenntartható fejlődési céljai és az ENSZ Biológiai Sokféleség Egyezménye szerinti kötelezettségeit;</w:t>
      </w:r>
    </w:p>
    <w:p w14:paraId="5FD8B255" w14:textId="77777777" w:rsidR="00C51A17" w:rsidRPr="000F2871" w:rsidRDefault="00C51A17" w:rsidP="003D38B6">
      <w:pPr>
        <w:pStyle w:val="NormalHanging12a"/>
        <w:widowControl/>
        <w:rPr>
          <w:b/>
          <w:i/>
          <w:iCs/>
          <w:szCs w:val="24"/>
        </w:rPr>
      </w:pPr>
      <w:r w:rsidRPr="000F2871">
        <w:rPr>
          <w:b/>
          <w:i/>
        </w:rPr>
        <w:t>Az importált takarmánytól való függőség csökkentése</w:t>
      </w:r>
    </w:p>
    <w:p w14:paraId="173E6091" w14:textId="77777777" w:rsidR="00C51A17" w:rsidRPr="000F2871" w:rsidRDefault="00C51A17" w:rsidP="003D38B6">
      <w:pPr>
        <w:pStyle w:val="NormalHanging12a"/>
        <w:widowControl/>
        <w:rPr>
          <w:szCs w:val="24"/>
        </w:rPr>
      </w:pPr>
      <w:r w:rsidRPr="000F2871">
        <w:t>AD.</w:t>
      </w:r>
      <w:r w:rsidRPr="000F2871">
        <w:tab/>
        <w:t>mivel a Covid19-válság és a még folyamatban lévő ukrajnai háború egyik tanulsága az, hogy az Uniónak véget kell vetnie az egyes kritikus fontosságú anyagoktól való függőségnek; mivel a Christophe Hansen biztosnak címzett megbízólevélben Ursula von der Leyen, a Bizottság elnöke arra kérte őt, hogy vizsgálja meg a kritikus fontosságú áruk behozatala csökkentésének módjait</w:t>
      </w:r>
      <w:r w:rsidRPr="000F2871">
        <w:rPr>
          <w:rStyle w:val="FootnoteReference"/>
          <w:szCs w:val="24"/>
        </w:rPr>
        <w:footnoteReference w:id="18"/>
      </w:r>
      <w:r w:rsidRPr="000F2871">
        <w:t>;</w:t>
      </w:r>
    </w:p>
    <w:p w14:paraId="4F0B4D8D" w14:textId="77777777" w:rsidR="00C51A17" w:rsidRPr="000F2871" w:rsidRDefault="00C51A17" w:rsidP="003D38B6">
      <w:pPr>
        <w:pStyle w:val="NormalHanging12a"/>
        <w:widowControl/>
        <w:rPr>
          <w:b/>
          <w:i/>
          <w:iCs/>
          <w:szCs w:val="24"/>
        </w:rPr>
      </w:pPr>
      <w:r w:rsidRPr="000F2871">
        <w:rPr>
          <w:b/>
          <w:i/>
        </w:rPr>
        <w:t>Nem demokratikus döntéshozatal</w:t>
      </w:r>
    </w:p>
    <w:p w14:paraId="7FAB00DF" w14:textId="77777777" w:rsidR="00C51A17" w:rsidRPr="000F2871" w:rsidRDefault="00C51A17" w:rsidP="003D38B6">
      <w:pPr>
        <w:pStyle w:val="NormalHanging12a"/>
        <w:widowControl/>
        <w:rPr>
          <w:szCs w:val="24"/>
        </w:rPr>
      </w:pPr>
      <w:r w:rsidRPr="000F2871">
        <w:t>AE.</w:t>
      </w:r>
      <w:r w:rsidRPr="000F2871">
        <w:tab/>
        <w:t>mivel a Parlament a 8. parlamenti ciklusban összesen 36 olyan állásfoglalást fogadott el, amelyben kifogásolta az élelmiszernek és takarmánynak szánt GMO-k forgalomba hozatalát (33 állásfoglalás), valamint a GMO-k Unión belüli termesztését (három állásfoglalás); mivel a kilencedik ciklusban a Parlament 38 állásfoglalást fogadott el a GMO-k forgalomba hozatala ellen, és a jelenlegi 10. ciklusban további 11 állásfoglalást fogadott el, amelyekben kifogásolta a GMO-k forgalomba hozatalát;</w:t>
      </w:r>
    </w:p>
    <w:p w14:paraId="5E4D655E" w14:textId="77777777" w:rsidR="00C51A17" w:rsidRPr="000F2871" w:rsidRDefault="00C51A17" w:rsidP="003D38B6">
      <w:pPr>
        <w:pStyle w:val="NormalHanging12a"/>
        <w:widowControl/>
        <w:rPr>
          <w:szCs w:val="24"/>
        </w:rPr>
      </w:pPr>
      <w:r w:rsidRPr="000F2871">
        <w:t>AF.</w:t>
      </w:r>
      <w:r w:rsidRPr="000F2871">
        <w:tab/>
        <w:t>mivel a Bizottság – annak ellenére, hogy maga is elismeri a demokratikus hiányosságokat, a tagállamok támogatásának hiányát és a Parlament kifogásait – továbbra is folytatja a GMO-k engedélyezését;</w:t>
      </w:r>
    </w:p>
    <w:p w14:paraId="5A36B8D0" w14:textId="77777777" w:rsidR="00C51A17" w:rsidRPr="000F2871" w:rsidRDefault="00C51A17" w:rsidP="003D38B6">
      <w:pPr>
        <w:pStyle w:val="NormalHanging12a"/>
        <w:widowControl/>
        <w:rPr>
          <w:szCs w:val="24"/>
        </w:rPr>
      </w:pPr>
      <w:r w:rsidRPr="000F2871">
        <w:t>AG.</w:t>
      </w:r>
      <w:r w:rsidRPr="000F2871">
        <w:tab/>
        <w:t>mivel nincs szükség jogszabály-módosításra ahhoz, hogy a Bizottság elállhasson a GMO-k engedélyezésétől olyan esetben, amikor a fellebbviteli bizottságban nincs meg a tagállamok minősített többségének támogatása</w:t>
      </w:r>
      <w:r w:rsidRPr="000F2871">
        <w:rPr>
          <w:rStyle w:val="FootnoteReference"/>
          <w:szCs w:val="24"/>
        </w:rPr>
        <w:footnoteReference w:id="19"/>
      </w:r>
      <w:r w:rsidRPr="000F2871">
        <w:t>;</w:t>
      </w:r>
    </w:p>
    <w:p w14:paraId="005CF276" w14:textId="77777777" w:rsidR="00C51A17" w:rsidRPr="000F2871" w:rsidRDefault="00C51A17" w:rsidP="003D38B6">
      <w:pPr>
        <w:pStyle w:val="NormalHanging12a"/>
        <w:widowControl/>
        <w:rPr>
          <w:szCs w:val="24"/>
        </w:rPr>
      </w:pPr>
      <w:r w:rsidRPr="000F2871">
        <w:t>AH.</w:t>
      </w:r>
      <w:r w:rsidRPr="000F2871">
        <w:tab/>
        <w:t>mivel az 1829/2003/EK rendelet 35. cikkében említett Növények, Állatok, Élelmiszerek és Takarmányok Állandó Bizottsága 2025. június 13-i szavazása során nem nyilvánított véleményt, ami azt jelenti, hogy az engedélyezést nem támogatta a tagállamok minősített többsége</w:t>
      </w:r>
      <w:r w:rsidRPr="000F2871">
        <w:rPr>
          <w:rStyle w:val="FootnoteReference"/>
          <w:szCs w:val="24"/>
        </w:rPr>
        <w:footnoteReference w:id="20"/>
      </w:r>
      <w:r w:rsidRPr="000F2871">
        <w:t xml:space="preserve">; </w:t>
      </w:r>
      <w:r w:rsidRPr="000F2871">
        <w:rPr>
          <w:shd w:val="clear" w:color="auto" w:fill="FFFFFF"/>
        </w:rPr>
        <w:t>mivel a fellebbviteli bizottság 2025. július 15-i szavazása során ismét nem született vélemény;</w:t>
      </w:r>
    </w:p>
    <w:p w14:paraId="08CE45C1" w14:textId="62332F92" w:rsidR="00C51A17" w:rsidRPr="000F2871" w:rsidRDefault="00C51A17" w:rsidP="003D38B6">
      <w:pPr>
        <w:pStyle w:val="NormalBold"/>
        <w:widowControl/>
        <w:spacing w:after="240"/>
        <w:ind w:left="567" w:hanging="567"/>
        <w:rPr>
          <w:b w:val="0"/>
          <w:szCs w:val="24"/>
        </w:rPr>
      </w:pPr>
      <w:r w:rsidRPr="000F2871">
        <w:rPr>
          <w:b w:val="0"/>
        </w:rPr>
        <w:t>1.</w:t>
      </w:r>
      <w:r w:rsidRPr="000F2871">
        <w:rPr>
          <w:b w:val="0"/>
        </w:rPr>
        <w:tab/>
        <w:t>úgy véli, hogy a</w:t>
      </w:r>
      <w:r w:rsidR="005D0622" w:rsidRPr="000F2871">
        <w:rPr>
          <w:b w:val="0"/>
        </w:rPr>
        <w:t>z (EU) 2025/1898</w:t>
      </w:r>
      <w:r w:rsidRPr="000F2871">
        <w:rPr>
          <w:b w:val="0"/>
        </w:rPr>
        <w:t xml:space="preserve"> végrehajtási határozat túllépi az 1829/2003/EK rendeletben meghatározott végrehajtási hatásköröket;</w:t>
      </w:r>
    </w:p>
    <w:p w14:paraId="6C56A905" w14:textId="60B4EE18" w:rsidR="00C51A17" w:rsidRPr="000F2871" w:rsidRDefault="00C51A17" w:rsidP="003D38B6">
      <w:pPr>
        <w:pStyle w:val="NormalBold"/>
        <w:widowControl/>
        <w:spacing w:after="240"/>
        <w:ind w:left="567" w:hanging="567"/>
        <w:rPr>
          <w:b w:val="0"/>
          <w:szCs w:val="24"/>
        </w:rPr>
      </w:pPr>
      <w:r w:rsidRPr="000F2871">
        <w:rPr>
          <w:b w:val="0"/>
        </w:rPr>
        <w:t>2.</w:t>
      </w:r>
      <w:r w:rsidRPr="000F2871">
        <w:rPr>
          <w:b w:val="0"/>
        </w:rPr>
        <w:tab/>
        <w:t xml:space="preserve">úgy véli, hogy </w:t>
      </w:r>
      <w:r w:rsidR="005D0622" w:rsidRPr="000F2871">
        <w:rPr>
          <w:b w:val="0"/>
        </w:rPr>
        <w:t xml:space="preserve">az (EU) 2025/1898 végrehajtási határozat </w:t>
      </w:r>
      <w:r w:rsidRPr="000F2871">
        <w:rPr>
          <w:b w:val="0"/>
        </w:rPr>
        <w:t xml:space="preserve">nem felel meg az uniós jognak, mivel nem egyeztethető össze az 1829/2003/EK rendelet célkitűzésével, azaz a </w:t>
      </w:r>
      <w:r w:rsidRPr="000F2871">
        <w:rPr>
          <w:b w:val="0"/>
        </w:rPr>
        <w:lastRenderedPageBreak/>
        <w:t>178/2002/EK európai parlamenti és tanácsi rendeletben</w:t>
      </w:r>
      <w:r w:rsidRPr="000F2871">
        <w:rPr>
          <w:rStyle w:val="FootnoteReference"/>
          <w:b w:val="0"/>
          <w:szCs w:val="24"/>
        </w:rPr>
        <w:footnoteReference w:id="21"/>
      </w:r>
      <w:r w:rsidRPr="000F2871">
        <w:rPr>
          <w:b w:val="0"/>
        </w:rPr>
        <w:t xml:space="preserve"> meghatározott általános alapelvekkel összhangban azzal, hogy a belső piac hatékony működésének biztosítása mellett alapul szolgáljon az emberi élet és egészség, az állatok egészsége és az állatjólét, a környezet és a géntechnológiával módosított élelmiszerekre és takarmányokra vonatkozó fogyasztói érdekek magas szintű védelméhez;</w:t>
      </w:r>
    </w:p>
    <w:p w14:paraId="539F1DF7" w14:textId="79EE2C84" w:rsidR="00C51A17" w:rsidRPr="000F2871" w:rsidRDefault="00C51A17" w:rsidP="003D38B6">
      <w:pPr>
        <w:pStyle w:val="NormalBold"/>
        <w:widowControl/>
        <w:spacing w:after="240"/>
        <w:ind w:left="567" w:hanging="567"/>
        <w:rPr>
          <w:b w:val="0"/>
          <w:szCs w:val="24"/>
        </w:rPr>
      </w:pPr>
      <w:r w:rsidRPr="000F2871">
        <w:rPr>
          <w:b w:val="0"/>
        </w:rPr>
        <w:t>3.</w:t>
      </w:r>
      <w:r w:rsidRPr="000F2871">
        <w:rPr>
          <w:b w:val="0"/>
        </w:rPr>
        <w:tab/>
        <w:t xml:space="preserve">felkéri a Bizottságot, hogy </w:t>
      </w:r>
      <w:r w:rsidR="005D0622" w:rsidRPr="000F2871">
        <w:rPr>
          <w:b w:val="0"/>
        </w:rPr>
        <w:t>helyezze hatályon kívül</w:t>
      </w:r>
      <w:r w:rsidRPr="000F2871">
        <w:rPr>
          <w:b w:val="0"/>
        </w:rPr>
        <w:t xml:space="preserve"> </w:t>
      </w:r>
      <w:r w:rsidR="005D0622" w:rsidRPr="000F2871">
        <w:rPr>
          <w:b w:val="0"/>
        </w:rPr>
        <w:t xml:space="preserve">az (EU) 2025/1898 végrehajtási határozatot </w:t>
      </w:r>
      <w:r w:rsidRPr="000F2871">
        <w:rPr>
          <w:b w:val="0"/>
        </w:rPr>
        <w:t>és nyújtson be új tervezetet a bizottságnak;</w:t>
      </w:r>
    </w:p>
    <w:p w14:paraId="1A4D72B6" w14:textId="77777777" w:rsidR="00C51A17" w:rsidRPr="000F2871" w:rsidRDefault="00C51A17" w:rsidP="003D38B6">
      <w:pPr>
        <w:pStyle w:val="NormalBold"/>
        <w:widowControl/>
        <w:spacing w:after="240"/>
        <w:ind w:left="567" w:hanging="567"/>
        <w:rPr>
          <w:b w:val="0"/>
          <w:szCs w:val="24"/>
        </w:rPr>
      </w:pPr>
      <w:r w:rsidRPr="000F2871">
        <w:rPr>
          <w:b w:val="0"/>
        </w:rPr>
        <w:t>4.</w:t>
      </w:r>
      <w:r w:rsidRPr="000F2871">
        <w:rPr>
          <w:b w:val="0"/>
        </w:rPr>
        <w:tab/>
        <w:t>felhívja a Bizottságot, hogy az uniós biztonsági előírásoknak való megfelelés érdekében a szabadkereskedelmi megállapodásokról szóló tárgyalások során biztosítsa a normák közelítését az Unió és partnerei között;</w:t>
      </w:r>
    </w:p>
    <w:p w14:paraId="28366BC3" w14:textId="77777777" w:rsidR="00C51A17" w:rsidRPr="000F2871" w:rsidRDefault="00C51A17" w:rsidP="003D38B6">
      <w:pPr>
        <w:pStyle w:val="NormalBold"/>
        <w:widowControl/>
        <w:spacing w:after="240"/>
        <w:ind w:left="567" w:hanging="567"/>
        <w:rPr>
          <w:b w:val="0"/>
          <w:szCs w:val="24"/>
        </w:rPr>
      </w:pPr>
      <w:r w:rsidRPr="000F2871">
        <w:rPr>
          <w:b w:val="0"/>
        </w:rPr>
        <w:t>5.</w:t>
      </w:r>
      <w:r w:rsidRPr="000F2871">
        <w:rPr>
          <w:b w:val="0"/>
        </w:rPr>
        <w:tab/>
        <w:t>felhívja a Bizottságot, hogy összhangban az „egy egészség” megközelítéssel összhangban ne engedélyezze a géntechnológiával módosított kukoricát, mert ennek következményeként megnőnek a biológiai sokféleséget, az élelmiszer-biztonságot és a munkavállalók egészségét fenyegető kockázatok is;</w:t>
      </w:r>
    </w:p>
    <w:p w14:paraId="4AD0E1CB" w14:textId="77777777" w:rsidR="00C51A17" w:rsidRPr="000F2871" w:rsidRDefault="00C51A17" w:rsidP="003D38B6">
      <w:pPr>
        <w:pStyle w:val="NormalBold"/>
        <w:widowControl/>
        <w:spacing w:after="240"/>
        <w:ind w:left="567" w:hanging="567"/>
        <w:rPr>
          <w:b w:val="0"/>
          <w:szCs w:val="24"/>
        </w:rPr>
      </w:pPr>
      <w:r w:rsidRPr="000F2871">
        <w:rPr>
          <w:b w:val="0"/>
        </w:rPr>
        <w:t>6.</w:t>
      </w:r>
      <w:r w:rsidRPr="000F2871">
        <w:rPr>
          <w:b w:val="0"/>
        </w:rPr>
        <w:tab/>
        <w:t>elvárja, hogy a Bizottság sürgősen teljesítse azon kötelezettségvállalását</w:t>
      </w:r>
      <w:r w:rsidRPr="000F2871">
        <w:rPr>
          <w:rStyle w:val="FootnoteReference"/>
          <w:b w:val="0"/>
          <w:szCs w:val="24"/>
        </w:rPr>
        <w:footnoteReference w:id="22"/>
      </w:r>
      <w:r w:rsidRPr="000F2871">
        <w:rPr>
          <w:b w:val="0"/>
        </w:rPr>
        <w:t>, hogy javaslatot terjeszt elő annak biztosítására, hogy az Unióban betiltott veszélyes vegyi anyagokat ne gyártsanak exportra;</w:t>
      </w:r>
    </w:p>
    <w:p w14:paraId="4A730D4D" w14:textId="77777777" w:rsidR="00C51A17" w:rsidRPr="000F2871" w:rsidRDefault="00C51A17" w:rsidP="003D38B6">
      <w:pPr>
        <w:pStyle w:val="NormalBold"/>
        <w:widowControl/>
        <w:spacing w:after="240"/>
        <w:ind w:left="567" w:hanging="567"/>
        <w:rPr>
          <w:b w:val="0"/>
          <w:szCs w:val="24"/>
        </w:rPr>
      </w:pPr>
      <w:r w:rsidRPr="000F2871">
        <w:rPr>
          <w:b w:val="0"/>
        </w:rPr>
        <w:t>7.</w:t>
      </w:r>
      <w:r w:rsidRPr="000F2871">
        <w:rPr>
          <w:b w:val="0"/>
        </w:rPr>
        <w:tab/>
        <w:t>üdvözli, hogy a Bizottság a képviselőknek címzett 2020. szeptember 11-i levelében végül elismerte, hogy a GMO-kra vonatkozó engedélyezési határozatoknál figyelembe kell venni a fenntarthatóságot</w:t>
      </w:r>
      <w:r w:rsidRPr="000F2871">
        <w:rPr>
          <w:rStyle w:val="FootnoteReference"/>
          <w:b w:val="0"/>
          <w:szCs w:val="24"/>
        </w:rPr>
        <w:footnoteReference w:id="23"/>
      </w:r>
      <w:r w:rsidRPr="000F2871">
        <w:rPr>
          <w:b w:val="0"/>
        </w:rPr>
        <w:t>; ugyanakkor mély csalódottságának ad hangot amiatt, hogy a Bizottság azóta is engedélyezi GMO-k behozatalát, jóllehet a Parlament ezt ellenzi, és a tagállamok többsége is ellene szavaz;</w:t>
      </w:r>
    </w:p>
    <w:p w14:paraId="3AD213AC" w14:textId="77777777" w:rsidR="00C51A17" w:rsidRPr="000F2871" w:rsidRDefault="00C51A17" w:rsidP="003D38B6">
      <w:pPr>
        <w:pStyle w:val="NormalBold"/>
        <w:widowControl/>
        <w:spacing w:after="240"/>
        <w:ind w:left="567" w:hanging="567"/>
        <w:rPr>
          <w:b w:val="0"/>
          <w:szCs w:val="24"/>
        </w:rPr>
      </w:pPr>
      <w:r w:rsidRPr="000F2871">
        <w:rPr>
          <w:b w:val="0"/>
        </w:rPr>
        <w:t>8.</w:t>
      </w:r>
      <w:r w:rsidRPr="000F2871">
        <w:rPr>
          <w:b w:val="0"/>
        </w:rPr>
        <w:tab/>
        <w:t>ismételten sürgeti a Bizottságot, hogy vegye figyelembe az Unió nemzetközi megállapodások – például a Párizsi Megállapodás, a biológiai sokféleségről szóló ENSZ-egyezmény és az ENSZ fenntartható fejlődési céljai – szerinti kötelezettségeit; ismételten kéri, hogy a végrehajtási jogi aktusok tervezetéhez mellékeljenek indokolást arról, hogy azok hogyan tartják tiszteletben a „ne árts” elvet</w:t>
      </w:r>
      <w:r w:rsidRPr="000F2871">
        <w:rPr>
          <w:rStyle w:val="FootnoteReference"/>
          <w:b w:val="0"/>
          <w:szCs w:val="24"/>
        </w:rPr>
        <w:footnoteReference w:id="24"/>
      </w:r>
      <w:r w:rsidRPr="000F2871">
        <w:rPr>
          <w:b w:val="0"/>
        </w:rPr>
        <w:t>;</w:t>
      </w:r>
    </w:p>
    <w:p w14:paraId="0CC3789B" w14:textId="78018021" w:rsidR="00E365E1" w:rsidRPr="00E21F0B" w:rsidRDefault="00C51A17" w:rsidP="003D38B6">
      <w:pPr>
        <w:pStyle w:val="NormalBold"/>
        <w:widowControl/>
        <w:spacing w:after="240"/>
        <w:ind w:left="567" w:hanging="567"/>
      </w:pPr>
      <w:r w:rsidRPr="000F2871">
        <w:rPr>
          <w:b w:val="0"/>
        </w:rPr>
        <w:t>9.</w:t>
      </w:r>
      <w:r w:rsidRPr="000F2871">
        <w:rPr>
          <w:b w:val="0"/>
        </w:rPr>
        <w:tab/>
        <w:t>utasítja elnökét, hogy továbbítsa ezt az állásfoglalást a Tanácsnak és a Bizottságnak, valamint a tagállamok kormányainak és parlamentjeinek.</w:t>
      </w:r>
    </w:p>
    <w:sectPr w:rsidR="00E365E1" w:rsidRPr="00E21F0B" w:rsidSect="00E21F0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C7C31" w14:textId="77777777" w:rsidR="00484B3D" w:rsidRPr="00E21F0B" w:rsidRDefault="00484B3D">
      <w:r w:rsidRPr="00E21F0B">
        <w:separator/>
      </w:r>
    </w:p>
  </w:endnote>
  <w:endnote w:type="continuationSeparator" w:id="0">
    <w:p w14:paraId="7D2F6A09" w14:textId="77777777" w:rsidR="00484B3D" w:rsidRPr="00E21F0B" w:rsidRDefault="00484B3D">
      <w:r w:rsidRPr="00E21F0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9D1B2" w14:textId="77777777" w:rsidR="00064002" w:rsidRPr="00E21F0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F3306" w14:textId="77777777" w:rsidR="00064002" w:rsidRPr="00E21F0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D8374" w14:textId="77777777" w:rsidR="00064002" w:rsidRPr="00E21F0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788E5" w14:textId="77777777" w:rsidR="00484B3D" w:rsidRPr="00E21F0B" w:rsidRDefault="00484B3D">
      <w:r w:rsidRPr="00E21F0B">
        <w:separator/>
      </w:r>
    </w:p>
  </w:footnote>
  <w:footnote w:type="continuationSeparator" w:id="0">
    <w:p w14:paraId="2C622932" w14:textId="77777777" w:rsidR="00484B3D" w:rsidRPr="00E21F0B" w:rsidRDefault="00484B3D">
      <w:r w:rsidRPr="00E21F0B">
        <w:continuationSeparator/>
      </w:r>
    </w:p>
  </w:footnote>
  <w:footnote w:id="1">
    <w:p w14:paraId="7340ED63" w14:textId="7DD27D62" w:rsidR="005D0622" w:rsidRPr="00D25853" w:rsidRDefault="005D0622" w:rsidP="005D0622">
      <w:pPr>
        <w:pStyle w:val="FootnoteText"/>
        <w:ind w:left="567" w:hanging="567"/>
        <w:rPr>
          <w:lang w:val="fi-FI"/>
        </w:rPr>
      </w:pPr>
      <w:r w:rsidRPr="000F2871">
        <w:rPr>
          <w:rStyle w:val="FootnoteReference"/>
          <w:sz w:val="24"/>
          <w:szCs w:val="24"/>
        </w:rPr>
        <w:footnoteRef/>
      </w:r>
      <w:r w:rsidRPr="000F2871">
        <w:rPr>
          <w:lang w:val="fi-FI"/>
        </w:rPr>
        <w:t xml:space="preserve"> </w:t>
      </w:r>
      <w:r w:rsidRPr="000F2871">
        <w:rPr>
          <w:lang w:val="fi-FI"/>
        </w:rPr>
        <w:tab/>
      </w:r>
      <w:r w:rsidRPr="000F2871">
        <w:rPr>
          <w:sz w:val="24"/>
          <w:szCs w:val="24"/>
          <w:lang w:val="fi-FI"/>
        </w:rPr>
        <w:t xml:space="preserve">HL L, 2025/1898, 2025.9.23., ELI: </w:t>
      </w:r>
      <w:hyperlink r:id="rId1" w:history="1">
        <w:r w:rsidRPr="000F2871">
          <w:rPr>
            <w:rStyle w:val="Hyperlink"/>
            <w:sz w:val="24"/>
            <w:szCs w:val="24"/>
            <w:lang w:val="fi-FI"/>
          </w:rPr>
          <w:t>http://data.europa.eu/eli/dec_impl/2025/1898/oj</w:t>
        </w:r>
      </w:hyperlink>
      <w:r w:rsidRPr="005D0622">
        <w:rPr>
          <w:sz w:val="24"/>
          <w:szCs w:val="24"/>
          <w:lang w:val="fi-FI"/>
        </w:rPr>
        <w:t>.</w:t>
      </w:r>
    </w:p>
  </w:footnote>
  <w:footnote w:id="2">
    <w:p w14:paraId="0FDC12EE" w14:textId="78F08BD3" w:rsidR="00C51A17" w:rsidRPr="00E21F0B" w:rsidRDefault="00C51A17" w:rsidP="00E21F0B">
      <w:pPr>
        <w:pStyle w:val="FootnoteText"/>
        <w:ind w:left="567" w:hanging="567"/>
        <w:rPr>
          <w:b/>
          <w:bCs/>
          <w:sz w:val="24"/>
          <w:lang w:val="hu-HU"/>
        </w:rPr>
      </w:pPr>
      <w:r w:rsidRPr="00E21F0B">
        <w:rPr>
          <w:rStyle w:val="FootnoteReference"/>
          <w:sz w:val="24"/>
          <w:lang w:val="hu-HU"/>
        </w:rPr>
        <w:footnoteRef/>
      </w:r>
      <w:r w:rsidR="00E21F0B" w:rsidRPr="00E21F0B">
        <w:rPr>
          <w:sz w:val="24"/>
          <w:lang w:val="hu-HU"/>
        </w:rPr>
        <w:t xml:space="preserve"> </w:t>
      </w:r>
      <w:r w:rsidR="00E21F0B" w:rsidRPr="00E21F0B">
        <w:rPr>
          <w:sz w:val="24"/>
          <w:lang w:val="hu-HU"/>
        </w:rPr>
        <w:tab/>
      </w:r>
      <w:r w:rsidRPr="00E21F0B">
        <w:rPr>
          <w:sz w:val="24"/>
          <w:lang w:val="hu-HU"/>
        </w:rPr>
        <w:t>HL L 268., 2003.10.18., 1. o., ELI: </w:t>
      </w:r>
      <w:hyperlink r:id="rId2" w:history="1">
        <w:r w:rsidRPr="00E21F0B">
          <w:rPr>
            <w:rStyle w:val="Hyperlink"/>
            <w:sz w:val="24"/>
            <w:lang w:val="hu-HU"/>
          </w:rPr>
          <w:t>http://data.europa.eu/eli/reg/2003/1829/oj</w:t>
        </w:r>
      </w:hyperlink>
      <w:r w:rsidRPr="00E21F0B">
        <w:rPr>
          <w:sz w:val="24"/>
          <w:u w:val="single"/>
          <w:lang w:val="hu-HU"/>
        </w:rPr>
        <w:t>.</w:t>
      </w:r>
    </w:p>
  </w:footnote>
  <w:footnote w:id="3">
    <w:p w14:paraId="08CEE17F" w14:textId="21E34D56" w:rsidR="00C51A17" w:rsidRPr="00E21F0B" w:rsidRDefault="00C51A17" w:rsidP="00E21F0B">
      <w:pPr>
        <w:pStyle w:val="FootnoteText"/>
        <w:ind w:left="567" w:hanging="567"/>
        <w:rPr>
          <w:sz w:val="24"/>
          <w:lang w:val="hu-HU"/>
        </w:rPr>
      </w:pPr>
      <w:r w:rsidRPr="00E21F0B">
        <w:rPr>
          <w:rStyle w:val="FootnoteReference"/>
          <w:sz w:val="24"/>
          <w:lang w:val="hu-HU"/>
        </w:rPr>
        <w:footnoteRef/>
      </w:r>
      <w:r w:rsidR="00E21F0B" w:rsidRPr="00E21F0B">
        <w:rPr>
          <w:sz w:val="24"/>
          <w:lang w:val="hu-HU"/>
        </w:rPr>
        <w:t xml:space="preserve"> </w:t>
      </w:r>
      <w:r w:rsidR="00E21F0B" w:rsidRPr="00E21F0B">
        <w:rPr>
          <w:sz w:val="24"/>
          <w:lang w:val="hu-HU"/>
        </w:rPr>
        <w:tab/>
      </w:r>
      <w:r w:rsidRPr="00E21F0B">
        <w:rPr>
          <w:sz w:val="24"/>
          <w:lang w:val="hu-HU"/>
        </w:rPr>
        <w:t xml:space="preserve">HL L 55., 2011.2.28., 13. o., ELI: </w:t>
      </w:r>
      <w:hyperlink r:id="rId3" w:history="1">
        <w:r w:rsidRPr="00E21F0B">
          <w:rPr>
            <w:rStyle w:val="Hyperlink"/>
            <w:sz w:val="24"/>
            <w:lang w:val="hu-HU"/>
          </w:rPr>
          <w:t>http://data.europa.eu/eli/reg/2011/182/oj</w:t>
        </w:r>
      </w:hyperlink>
      <w:r w:rsidRPr="00E21F0B">
        <w:rPr>
          <w:sz w:val="24"/>
          <w:lang w:val="hu-HU"/>
        </w:rPr>
        <w:t>.</w:t>
      </w:r>
    </w:p>
  </w:footnote>
  <w:footnote w:id="4">
    <w:p w14:paraId="03AD7EFC" w14:textId="14593F74" w:rsidR="00C51A17" w:rsidRPr="00E21F0B" w:rsidRDefault="00C51A17" w:rsidP="00E21F0B">
      <w:pPr>
        <w:pStyle w:val="FootnoteText"/>
        <w:ind w:left="567" w:hanging="567"/>
        <w:rPr>
          <w:sz w:val="24"/>
          <w:lang w:val="hu-HU"/>
        </w:rPr>
      </w:pPr>
      <w:r w:rsidRPr="00E21F0B">
        <w:rPr>
          <w:rStyle w:val="Funotenzeichen"/>
          <w:sz w:val="24"/>
          <w:lang w:val="hu-HU"/>
        </w:rPr>
        <w:footnoteRef/>
      </w:r>
      <w:r w:rsidR="00E21F0B" w:rsidRPr="00E21F0B">
        <w:rPr>
          <w:sz w:val="24"/>
          <w:lang w:val="hu-HU"/>
        </w:rPr>
        <w:t xml:space="preserve"> </w:t>
      </w:r>
      <w:r w:rsidR="00E21F0B" w:rsidRPr="00E21F0B">
        <w:rPr>
          <w:sz w:val="24"/>
          <w:lang w:val="hu-HU"/>
        </w:rPr>
        <w:tab/>
      </w:r>
      <w:r w:rsidRPr="00E21F0B">
        <w:rPr>
          <w:sz w:val="24"/>
          <w:lang w:val="hu-HU"/>
        </w:rPr>
        <w:t>Az EFSA géntechnológiával módosított szervezetekkel foglalkozó tudományos testületének tudományos szakvéleménye a géntechnológiával módosított DP51291 kukorica értékeléséről (GMFF-2021-0071. sz. kérelem), EFSA Journal 2024;22(11):9059</w:t>
      </w:r>
      <w:r w:rsidR="005D0622">
        <w:rPr>
          <w:sz w:val="24"/>
          <w:lang w:val="hu-HU"/>
        </w:rPr>
        <w:t xml:space="preserve">, </w:t>
      </w:r>
      <w:hyperlink r:id="rId4" w:history="1">
        <w:r w:rsidRPr="00E21F0B">
          <w:rPr>
            <w:rStyle w:val="Hyperlink"/>
            <w:sz w:val="24"/>
            <w:lang w:val="hu-HU"/>
          </w:rPr>
          <w:t>https://doi.org/10.2903/j.efsa.2024.9059</w:t>
        </w:r>
      </w:hyperlink>
      <w:r w:rsidRPr="00E21F0B">
        <w:rPr>
          <w:sz w:val="24"/>
          <w:lang w:val="hu-HU"/>
        </w:rPr>
        <w:t xml:space="preserve">. </w:t>
      </w:r>
    </w:p>
  </w:footnote>
  <w:footnote w:id="5">
    <w:p w14:paraId="31ED45B7" w14:textId="172E925D" w:rsidR="00C51A17" w:rsidRPr="00E21F0B" w:rsidRDefault="00C51A17" w:rsidP="00E21F0B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E21F0B">
        <w:rPr>
          <w:rStyle w:val="FootnoteReference"/>
          <w:sz w:val="24"/>
          <w:lang w:val="hu-HU"/>
        </w:rPr>
        <w:footnoteRef/>
      </w:r>
      <w:r w:rsidR="00E21F0B" w:rsidRPr="00E21F0B">
        <w:rPr>
          <w:sz w:val="24"/>
          <w:lang w:val="hu-HU"/>
        </w:rPr>
        <w:t xml:space="preserve"> </w:t>
      </w:r>
      <w:r w:rsidR="00E21F0B" w:rsidRPr="00E21F0B">
        <w:rPr>
          <w:sz w:val="24"/>
          <w:lang w:val="hu-HU"/>
        </w:rPr>
        <w:tab/>
      </w:r>
      <w:r w:rsidRPr="00E21F0B">
        <w:rPr>
          <w:sz w:val="24"/>
          <w:lang w:val="hu-HU"/>
        </w:rPr>
        <w:t>A nyolcadik parlamenti ciklusban a Parlament 36, a kilencedik ciklusban pedig 38 olyan állásfoglalást fogadott el, amelyben kifogást emelt GMO-k engedélyezésével szemben.</w:t>
      </w:r>
      <w:r w:rsidRPr="00E21F0B">
        <w:rPr>
          <w:color w:val="000000" w:themeColor="text1"/>
          <w:sz w:val="24"/>
          <w:lang w:val="hu-HU"/>
        </w:rPr>
        <w:t xml:space="preserve"> Emellett a tizedik parlamenti ciklus során a következő további állásfoglalásokat fogadta el:</w:t>
      </w:r>
    </w:p>
    <w:p w14:paraId="769851D9" w14:textId="281A9963" w:rsidR="00C51A17" w:rsidRPr="00E21F0B" w:rsidRDefault="00E21F0B" w:rsidP="00E21F0B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E21F0B">
        <w:rPr>
          <w:color w:val="000000" w:themeColor="text1"/>
          <w:sz w:val="24"/>
          <w:lang w:val="hu-HU"/>
        </w:rPr>
        <w:t xml:space="preserve"> </w:t>
      </w:r>
      <w:r w:rsidRPr="00E21F0B">
        <w:rPr>
          <w:color w:val="000000" w:themeColor="text1"/>
          <w:sz w:val="24"/>
          <w:lang w:val="hu-HU"/>
        </w:rPr>
        <w:tab/>
      </w:r>
      <w:r w:rsidR="00C51A17" w:rsidRPr="00E21F0B">
        <w:rPr>
          <w:color w:val="000000" w:themeColor="text1"/>
          <w:sz w:val="24"/>
          <w:lang w:val="hu-HU"/>
        </w:rPr>
        <w:t>–</w:t>
      </w:r>
      <w:r w:rsidR="00C51A17" w:rsidRPr="00E21F0B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MON 89034 × 1507 × NK603 kukoricát tartalmazó, abból álló vagy abból előállított termékek forgalomba hozatalának az 1829/2003/EK európai parlamenti és tanácsi rendelet szerinti engedélyezésének megújításáról szóló (EU) 2024/2628 bizottsági végrehajtási határozatról (HL C, C/2025/1797, 2025.4.4., ELI: </w:t>
      </w:r>
      <w:hyperlink r:id="rId5" w:history="1">
        <w:r w:rsidR="005D0622" w:rsidRPr="005D0622">
          <w:rPr>
            <w:rStyle w:val="Hyperlink"/>
            <w:sz w:val="24"/>
            <w:lang w:val="hu-HU"/>
          </w:rPr>
          <w:t>http://data.europa.eu/eli/C/2025/1797/oj</w:t>
        </w:r>
      </w:hyperlink>
      <w:r w:rsidR="00C51A17" w:rsidRPr="00E21F0B">
        <w:rPr>
          <w:color w:val="000000" w:themeColor="text1"/>
          <w:sz w:val="24"/>
          <w:lang w:val="hu-HU"/>
        </w:rPr>
        <w:t>).</w:t>
      </w:r>
    </w:p>
    <w:p w14:paraId="4C88DFE7" w14:textId="1F7B26D6" w:rsidR="00C51A17" w:rsidRPr="00E21F0B" w:rsidRDefault="00E21F0B" w:rsidP="00E21F0B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E21F0B">
        <w:rPr>
          <w:color w:val="000000" w:themeColor="text1"/>
          <w:sz w:val="24"/>
          <w:lang w:val="hu-HU"/>
        </w:rPr>
        <w:t xml:space="preserve"> </w:t>
      </w:r>
      <w:r w:rsidRPr="00E21F0B">
        <w:rPr>
          <w:color w:val="000000" w:themeColor="text1"/>
          <w:sz w:val="24"/>
          <w:lang w:val="hu-HU"/>
        </w:rPr>
        <w:tab/>
      </w:r>
      <w:r w:rsidR="00C51A17" w:rsidRPr="00E21F0B">
        <w:rPr>
          <w:color w:val="000000" w:themeColor="text1"/>
          <w:sz w:val="24"/>
          <w:lang w:val="hu-HU"/>
        </w:rPr>
        <w:t>–</w:t>
      </w:r>
      <w:r w:rsidR="00C51A17" w:rsidRPr="00E21F0B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COT102 gyapotot tartalmazó, abból álló vagy abból előállított termékek forgalomba hozatalának az 1829/2003/EK európai parlamenti és tanácsi rendelet szerinti engedélyezéséről szóló (EU) 2024/2627 bizottsági végrehajtási határozatról (HL C, C/2025/1798, 2025.4.4., ELI: </w:t>
      </w:r>
      <w:hyperlink r:id="rId6" w:history="1">
        <w:r w:rsidR="005D0622" w:rsidRPr="005D0622">
          <w:rPr>
            <w:rStyle w:val="Hyperlink"/>
            <w:sz w:val="24"/>
            <w:lang w:val="hu-HU"/>
          </w:rPr>
          <w:t>http://data.europa.eu/eli/C/2025/1798/oj</w:t>
        </w:r>
      </w:hyperlink>
      <w:r w:rsidR="00C51A17" w:rsidRPr="00E21F0B">
        <w:rPr>
          <w:color w:val="000000" w:themeColor="text1"/>
          <w:sz w:val="24"/>
          <w:lang w:val="hu-HU"/>
        </w:rPr>
        <w:t>).</w:t>
      </w:r>
    </w:p>
    <w:p w14:paraId="3A027450" w14:textId="528D983D" w:rsidR="00C51A17" w:rsidRPr="00E21F0B" w:rsidRDefault="00E21F0B" w:rsidP="00E21F0B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E21F0B">
        <w:rPr>
          <w:color w:val="000000" w:themeColor="text1"/>
          <w:sz w:val="24"/>
          <w:lang w:val="hu-HU"/>
        </w:rPr>
        <w:t xml:space="preserve"> </w:t>
      </w:r>
      <w:r w:rsidRPr="00E21F0B">
        <w:rPr>
          <w:color w:val="000000" w:themeColor="text1"/>
          <w:sz w:val="24"/>
          <w:lang w:val="hu-HU"/>
        </w:rPr>
        <w:tab/>
      </w:r>
      <w:r w:rsidR="00C51A17" w:rsidRPr="00E21F0B">
        <w:rPr>
          <w:color w:val="000000" w:themeColor="text1"/>
          <w:sz w:val="24"/>
          <w:lang w:val="hu-HU"/>
        </w:rPr>
        <w:t>–</w:t>
      </w:r>
      <w:r w:rsidR="00C51A17" w:rsidRPr="00E21F0B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MON 89034 × 1507 × MON 88017 × 59122 kukoricát és nyolc alkombinációját tartalmazó, abból álló vagy abból előállított termékek forgalomba hozatalának az 1829/2003/EK európai parlamenti és tanácsi rendelet szerinti engedélyezésének megújításáról szóló (EU) 2024/2629 bizottsági végrehajtási határozatról (HL C, C/2025/1799, 2025.4.4., ELI: </w:t>
      </w:r>
      <w:hyperlink r:id="rId7" w:history="1">
        <w:r w:rsidR="005D0622" w:rsidRPr="005D0622">
          <w:rPr>
            <w:rStyle w:val="Hyperlink"/>
            <w:sz w:val="24"/>
            <w:lang w:val="hu-HU"/>
          </w:rPr>
          <w:t>http://data.europa.eu/eli/C/2025/1799/oj</w:t>
        </w:r>
      </w:hyperlink>
      <w:r w:rsidR="00C51A17" w:rsidRPr="00E21F0B">
        <w:rPr>
          <w:color w:val="000000" w:themeColor="text1"/>
          <w:sz w:val="24"/>
          <w:lang w:val="hu-HU"/>
        </w:rPr>
        <w:t>).</w:t>
      </w:r>
    </w:p>
    <w:p w14:paraId="0B350146" w14:textId="1D16345A" w:rsidR="00C51A17" w:rsidRPr="00E21F0B" w:rsidRDefault="00E21F0B" w:rsidP="00E21F0B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E21F0B">
        <w:rPr>
          <w:color w:val="000000" w:themeColor="text1"/>
          <w:sz w:val="24"/>
          <w:lang w:val="hu-HU"/>
        </w:rPr>
        <w:t xml:space="preserve"> </w:t>
      </w:r>
      <w:r w:rsidRPr="00E21F0B">
        <w:rPr>
          <w:color w:val="000000" w:themeColor="text1"/>
          <w:sz w:val="24"/>
          <w:lang w:val="hu-HU"/>
        </w:rPr>
        <w:tab/>
      </w:r>
      <w:r w:rsidR="00C51A17" w:rsidRPr="00E21F0B">
        <w:rPr>
          <w:color w:val="000000" w:themeColor="text1"/>
          <w:sz w:val="24"/>
          <w:lang w:val="hu-HU"/>
        </w:rPr>
        <w:t>–</w:t>
      </w:r>
      <w:r w:rsidR="00C51A17" w:rsidRPr="00E21F0B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MON 810 kukoricát tartalmazó, abból álló takarmányok vagy abból előállított takarmány- és élelmiszertermékek forgalomba hozatalára vonatkozó engedély 1829/2003/EK európai parlamenti és tanácsi rendelet szerinti megújításáról, valamint az (EU) 2017/1207 bizottsági végrehajtási határozat hatályon kívül helyezéséről szóló (EU) 2024/1828 bizottsági végrehajtási határozatról (HL C, C/2025/1800, 2025.4.4., ELI: </w:t>
      </w:r>
      <w:hyperlink r:id="rId8" w:history="1">
        <w:r w:rsidR="005D0622" w:rsidRPr="005D0622">
          <w:rPr>
            <w:rStyle w:val="Hyperlink"/>
            <w:sz w:val="24"/>
            <w:lang w:val="hu-HU"/>
          </w:rPr>
          <w:t>http://data.europa.eu/eli/C/2025/1800/oj</w:t>
        </w:r>
      </w:hyperlink>
      <w:r w:rsidR="00C51A17" w:rsidRPr="00E21F0B">
        <w:rPr>
          <w:color w:val="000000" w:themeColor="text1"/>
          <w:sz w:val="24"/>
          <w:lang w:val="hu-HU"/>
        </w:rPr>
        <w:t>).</w:t>
      </w:r>
    </w:p>
    <w:p w14:paraId="0B7E969A" w14:textId="77E33284" w:rsidR="00C51A17" w:rsidRPr="00E21F0B" w:rsidRDefault="00E21F0B" w:rsidP="00E21F0B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E21F0B">
        <w:rPr>
          <w:color w:val="000000" w:themeColor="text1"/>
          <w:sz w:val="24"/>
          <w:lang w:val="hu-HU"/>
        </w:rPr>
        <w:t xml:space="preserve"> </w:t>
      </w:r>
      <w:r w:rsidRPr="00E21F0B">
        <w:rPr>
          <w:color w:val="000000" w:themeColor="text1"/>
          <w:sz w:val="24"/>
          <w:lang w:val="hu-HU"/>
        </w:rPr>
        <w:tab/>
      </w:r>
      <w:r w:rsidR="00C51A17" w:rsidRPr="00E21F0B">
        <w:rPr>
          <w:color w:val="000000" w:themeColor="text1"/>
          <w:sz w:val="24"/>
          <w:lang w:val="hu-HU"/>
        </w:rPr>
        <w:t>–</w:t>
      </w:r>
      <w:r w:rsidR="00C51A17" w:rsidRPr="00E21F0B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DP915635 kukoricát tartalmazó, abból álló vagy abból előállított termékek forgalomba hozatalának az 1829/2003/EK európai parlamenti és tanácsi rendelet szerinti engedélyezéséről szóló (EU) 2024/1822 bizottsági végrehajtási határozatról (HL C, C/2025/1801, 2025.4.4., ELI: </w:t>
      </w:r>
      <w:hyperlink r:id="rId9" w:history="1">
        <w:r w:rsidR="00C51A17" w:rsidRPr="00E21F0B">
          <w:rPr>
            <w:rStyle w:val="Hyperlink"/>
            <w:sz w:val="24"/>
            <w:lang w:val="hu-HU"/>
          </w:rPr>
          <w:t>http://data.europa.eu/eli/C/2025/1801/oj</w:t>
        </w:r>
      </w:hyperlink>
      <w:r w:rsidR="00C51A17" w:rsidRPr="00E21F0B">
        <w:rPr>
          <w:color w:val="000000" w:themeColor="text1"/>
          <w:sz w:val="24"/>
          <w:lang w:val="hu-HU"/>
        </w:rPr>
        <w:t>).</w:t>
      </w:r>
    </w:p>
    <w:p w14:paraId="12643FF4" w14:textId="6215D947" w:rsidR="00C51A17" w:rsidRPr="00E21F0B" w:rsidRDefault="00E21F0B" w:rsidP="00E21F0B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E21F0B">
        <w:rPr>
          <w:color w:val="000000" w:themeColor="text1"/>
          <w:sz w:val="24"/>
          <w:lang w:val="hu-HU"/>
        </w:rPr>
        <w:t xml:space="preserve"> </w:t>
      </w:r>
      <w:r w:rsidRPr="00E21F0B">
        <w:rPr>
          <w:color w:val="000000" w:themeColor="text1"/>
          <w:sz w:val="24"/>
          <w:lang w:val="hu-HU"/>
        </w:rPr>
        <w:tab/>
      </w:r>
      <w:r w:rsidR="00C51A17" w:rsidRPr="00E21F0B">
        <w:rPr>
          <w:color w:val="000000" w:themeColor="text1"/>
          <w:sz w:val="24"/>
          <w:lang w:val="hu-HU"/>
        </w:rPr>
        <w:t>–</w:t>
      </w:r>
      <w:r w:rsidR="00C51A17" w:rsidRPr="00E21F0B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DP23211 kukoricát tartalmazó, abból álló vagy abból előállított termékek forgalomba hozatalának az 1829/2003/EK európai parlamenti és tanácsi rendelet szerinti engedélyezéséről szóló (EU) 2024/1826 bizottsági végrehajtási határozatról (HL C, C/2025/1802, 2025.4.4., ELI: </w:t>
      </w:r>
      <w:hyperlink r:id="rId10" w:history="1">
        <w:r w:rsidR="00C51A17" w:rsidRPr="00E21F0B">
          <w:rPr>
            <w:rStyle w:val="Hyperlink"/>
            <w:sz w:val="24"/>
            <w:lang w:val="hu-HU"/>
          </w:rPr>
          <w:t>http://data.europa.eu/eli/C/2025/1802/oj</w:t>
        </w:r>
      </w:hyperlink>
      <w:r w:rsidR="00C51A17" w:rsidRPr="00E21F0B">
        <w:rPr>
          <w:color w:val="000000" w:themeColor="text1"/>
          <w:sz w:val="24"/>
          <w:lang w:val="hu-HU"/>
        </w:rPr>
        <w:t>).</w:t>
      </w:r>
    </w:p>
    <w:p w14:paraId="2AF63B59" w14:textId="7B3D6536" w:rsidR="00C51A17" w:rsidRPr="00E21F0B" w:rsidRDefault="00E21F0B" w:rsidP="00E21F0B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E21F0B">
        <w:rPr>
          <w:color w:val="000000" w:themeColor="text1"/>
          <w:sz w:val="24"/>
          <w:lang w:val="hu-HU"/>
        </w:rPr>
        <w:t xml:space="preserve"> </w:t>
      </w:r>
      <w:r w:rsidRPr="00E21F0B">
        <w:rPr>
          <w:color w:val="000000" w:themeColor="text1"/>
          <w:sz w:val="24"/>
          <w:lang w:val="hu-HU"/>
        </w:rPr>
        <w:tab/>
      </w:r>
      <w:r w:rsidR="00C51A17" w:rsidRPr="00E21F0B">
        <w:rPr>
          <w:color w:val="000000" w:themeColor="text1"/>
          <w:sz w:val="24"/>
          <w:lang w:val="hu-HU"/>
        </w:rPr>
        <w:t>–</w:t>
      </w:r>
      <w:r w:rsidR="00C51A17" w:rsidRPr="00E21F0B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DP202216 kukoricát tartalmazó, abból álló vagy abból előállított termékek forgalomba hozatalának az 1829/2003/EK európai parlamenti és tanácsi rendelet szerinti engedélyezéséről szóló (EU) 2024/2618 bizottsági végrehajtási határozatról (HL C, C/2025/1803, 2025.4.4., ELI: </w:t>
      </w:r>
      <w:hyperlink r:id="rId11" w:history="1">
        <w:r w:rsidR="005D0622" w:rsidRPr="005D0622">
          <w:rPr>
            <w:rStyle w:val="Hyperlink"/>
            <w:sz w:val="24"/>
            <w:lang w:val="hu-HU"/>
          </w:rPr>
          <w:t>http://data.europa.eu/eli/C/2025/1803/oj</w:t>
        </w:r>
      </w:hyperlink>
      <w:r w:rsidR="00C51A17" w:rsidRPr="00E21F0B">
        <w:rPr>
          <w:color w:val="000000" w:themeColor="text1"/>
          <w:sz w:val="24"/>
          <w:lang w:val="hu-HU"/>
        </w:rPr>
        <w:t>).</w:t>
      </w:r>
    </w:p>
    <w:p w14:paraId="434F98A7" w14:textId="7D60C272" w:rsidR="00C51A17" w:rsidRPr="00E21F0B" w:rsidRDefault="00E21F0B" w:rsidP="00E21F0B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E21F0B">
        <w:rPr>
          <w:color w:val="000000" w:themeColor="text1"/>
          <w:sz w:val="24"/>
          <w:lang w:val="hu-HU"/>
        </w:rPr>
        <w:t xml:space="preserve"> </w:t>
      </w:r>
      <w:r w:rsidRPr="00E21F0B">
        <w:rPr>
          <w:color w:val="000000" w:themeColor="text1"/>
          <w:sz w:val="24"/>
          <w:lang w:val="hu-HU"/>
        </w:rPr>
        <w:tab/>
      </w:r>
      <w:r w:rsidR="00C51A17" w:rsidRPr="00E21F0B">
        <w:rPr>
          <w:color w:val="000000" w:themeColor="text1"/>
          <w:sz w:val="24"/>
          <w:lang w:val="hu-HU"/>
        </w:rPr>
        <w:t>–</w:t>
      </w:r>
      <w:r w:rsidR="00C51A17" w:rsidRPr="00E21F0B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MON 94804 kukoricát tartalmazó, abból álló vagy abból előállított termékek forgalomba hozatalának az 1829/2003/EK európai parlamenti és tanácsi rendelet szerinti engedélyezéséről szóló bizottsági végrehajtási határozat tervezetéről (HL C, C/2025/1804, 2025.4.4., ELI: </w:t>
      </w:r>
      <w:hyperlink r:id="rId12" w:history="1">
        <w:r w:rsidR="005D0622" w:rsidRPr="005D0622">
          <w:rPr>
            <w:rStyle w:val="Hyperlink"/>
            <w:sz w:val="24"/>
            <w:lang w:val="hu-HU"/>
          </w:rPr>
          <w:t>http://data.europa.eu/eli/C/2025/1804/oj</w:t>
        </w:r>
      </w:hyperlink>
      <w:r w:rsidR="00C51A17" w:rsidRPr="00E21F0B">
        <w:rPr>
          <w:color w:val="000000" w:themeColor="text1"/>
          <w:sz w:val="24"/>
          <w:lang w:val="hu-HU"/>
        </w:rPr>
        <w:t>).</w:t>
      </w:r>
    </w:p>
    <w:p w14:paraId="5FA017E8" w14:textId="04109D1C" w:rsidR="00C51A17" w:rsidRPr="00E21F0B" w:rsidRDefault="00E21F0B" w:rsidP="00E21F0B">
      <w:pPr>
        <w:pStyle w:val="FootnoteText"/>
        <w:ind w:left="567" w:hanging="567"/>
        <w:rPr>
          <w:sz w:val="24"/>
          <w:vertAlign w:val="superscript"/>
          <w:lang w:val="hu-HU"/>
        </w:rPr>
      </w:pPr>
      <w:r w:rsidRPr="00E21F0B">
        <w:rPr>
          <w:color w:val="000000" w:themeColor="text1"/>
          <w:sz w:val="24"/>
          <w:lang w:val="hu-HU"/>
        </w:rPr>
        <w:t xml:space="preserve"> </w:t>
      </w:r>
      <w:r w:rsidRPr="00E21F0B">
        <w:rPr>
          <w:color w:val="000000" w:themeColor="text1"/>
          <w:sz w:val="24"/>
          <w:lang w:val="hu-HU"/>
        </w:rPr>
        <w:tab/>
      </w:r>
      <w:r w:rsidR="00C51A17" w:rsidRPr="00E21F0B">
        <w:rPr>
          <w:color w:val="000000" w:themeColor="text1"/>
          <w:sz w:val="24"/>
          <w:lang w:val="hu-HU"/>
        </w:rPr>
        <w:t>–</w:t>
      </w:r>
      <w:r w:rsidR="00C51A17" w:rsidRPr="00E21F0B">
        <w:rPr>
          <w:color w:val="000000" w:themeColor="text1"/>
          <w:sz w:val="24"/>
          <w:lang w:val="hu-HU"/>
        </w:rPr>
        <w:tab/>
      </w:r>
      <w:r w:rsidR="00C51A17" w:rsidRPr="00E21F0B">
        <w:rPr>
          <w:sz w:val="24"/>
          <w:lang w:val="hu-HU"/>
        </w:rPr>
        <w:t xml:space="preserve">Az Európai Parlament 2025. február 12-i állásfoglalása a géntechnológiával módosított DP910521 kukoricát tartalmazó, abból álló vagy abból előállított termékek forgalomba hozatalának az 1829/2003/EK európai parlamenti és tanácsi rendelet szerinti engedélyezéséről szóló bizottsági végrehajtási határozat tervezetéről (HL C, C/2025/2246, 2025.4.29., ELI: </w:t>
      </w:r>
      <w:hyperlink r:id="rId13" w:history="1">
        <w:r w:rsidR="005D0622" w:rsidRPr="005D0622">
          <w:rPr>
            <w:rStyle w:val="Hyperlink"/>
            <w:sz w:val="24"/>
            <w:lang w:val="hu-HU"/>
          </w:rPr>
          <w:t>http://data.europa.eu/eli/C/2025/2246/oj</w:t>
        </w:r>
      </w:hyperlink>
      <w:r w:rsidR="00C51A17" w:rsidRPr="00E21F0B">
        <w:rPr>
          <w:sz w:val="24"/>
          <w:lang w:val="hu-HU"/>
        </w:rPr>
        <w:t>).</w:t>
      </w:r>
    </w:p>
    <w:p w14:paraId="1BC205EF" w14:textId="0C67DADF" w:rsidR="00C51A17" w:rsidRPr="00E21F0B" w:rsidRDefault="00E21F0B" w:rsidP="00E21F0B">
      <w:pPr>
        <w:pStyle w:val="FootnoteText"/>
        <w:ind w:left="567" w:hanging="567"/>
        <w:rPr>
          <w:sz w:val="24"/>
          <w:vertAlign w:val="superscript"/>
          <w:lang w:val="hu-HU"/>
        </w:rPr>
      </w:pPr>
      <w:r w:rsidRPr="00E21F0B">
        <w:rPr>
          <w:sz w:val="24"/>
          <w:lang w:val="hu-HU"/>
        </w:rPr>
        <w:t xml:space="preserve"> </w:t>
      </w:r>
      <w:r w:rsidRPr="00E21F0B">
        <w:rPr>
          <w:sz w:val="24"/>
          <w:lang w:val="hu-HU"/>
        </w:rPr>
        <w:tab/>
      </w:r>
      <w:r w:rsidR="00C51A17" w:rsidRPr="00E21F0B">
        <w:rPr>
          <w:sz w:val="24"/>
          <w:lang w:val="hu-HU"/>
        </w:rPr>
        <w:t>–</w:t>
      </w:r>
      <w:r w:rsidR="00C51A17" w:rsidRPr="00E21F0B">
        <w:rPr>
          <w:sz w:val="24"/>
          <w:lang w:val="hu-HU"/>
        </w:rPr>
        <w:tab/>
        <w:t xml:space="preserve">Az Európai Parlament 2025. február 12-i állásfoglalása a géntechnológiával módosított MON 95275 kukoricát tartalmazó, abból álló vagy abból előállított termékek forgalomba hozatalának az 1829/2003/EK európai parlamenti és tanácsi rendelet szerinti engedélyezéséről szóló bizottsági végrehajtási határozat tervezetéről (HL C, C/2025/2247, 2025.4.29., ELI: </w:t>
      </w:r>
      <w:hyperlink r:id="rId14" w:tooltip="Hozzáférést biztosít ehhez a dokumentumhoz annak ELI URI-jén keresztül." w:history="1">
        <w:r w:rsidR="00C51A17" w:rsidRPr="00E21F0B">
          <w:rPr>
            <w:rStyle w:val="Hyperlink"/>
            <w:sz w:val="24"/>
            <w:lang w:val="hu-HU"/>
          </w:rPr>
          <w:t>http://data.europa.eu/eli/C/2025/2247/oj</w:t>
        </w:r>
      </w:hyperlink>
      <w:r w:rsidR="00C51A17" w:rsidRPr="00E21F0B">
        <w:rPr>
          <w:sz w:val="24"/>
          <w:lang w:val="hu-HU"/>
        </w:rPr>
        <w:t>).</w:t>
      </w:r>
    </w:p>
    <w:p w14:paraId="7D6A75D1" w14:textId="7B3A2A5B" w:rsidR="00C51A17" w:rsidRPr="00E21F0B" w:rsidRDefault="00E21F0B" w:rsidP="00E21F0B">
      <w:pPr>
        <w:pStyle w:val="FootnoteText"/>
        <w:ind w:left="567" w:hanging="567"/>
        <w:rPr>
          <w:sz w:val="24"/>
          <w:lang w:val="hu-HU"/>
        </w:rPr>
      </w:pPr>
      <w:r w:rsidRPr="00E21F0B">
        <w:rPr>
          <w:sz w:val="24"/>
          <w:lang w:val="hu-HU"/>
        </w:rPr>
        <w:t xml:space="preserve"> </w:t>
      </w:r>
      <w:r w:rsidRPr="00E21F0B">
        <w:rPr>
          <w:sz w:val="24"/>
          <w:lang w:val="hu-HU"/>
        </w:rPr>
        <w:tab/>
      </w:r>
      <w:r w:rsidR="00C51A17" w:rsidRPr="00E21F0B">
        <w:rPr>
          <w:sz w:val="24"/>
          <w:lang w:val="hu-HU"/>
        </w:rPr>
        <w:t>–</w:t>
      </w:r>
      <w:r w:rsidR="00C51A17" w:rsidRPr="00E21F0B">
        <w:rPr>
          <w:sz w:val="24"/>
          <w:lang w:val="hu-HU"/>
        </w:rPr>
        <w:tab/>
        <w:t>Az Európai Parlament 2025. május 8-i állásfoglalása a géntechnológiával módosított MON 87705 × MON 87708 × MON 89788 szójababot tartalmazó, abból álló vagy abból előállított termékek forgalomba hozatalának az 1829/2003/EK európai parlamenti és tanácsi rendelet szerinti engedélyezéséről szóló bizottsági végrehajtási határozat tervezetéről (P10_</w:t>
      </w:r>
      <w:proofErr w:type="gramStart"/>
      <w:r w:rsidR="00C51A17" w:rsidRPr="00E21F0B">
        <w:rPr>
          <w:sz w:val="24"/>
          <w:lang w:val="hu-HU"/>
        </w:rPr>
        <w:t>TA(</w:t>
      </w:r>
      <w:proofErr w:type="gramEnd"/>
      <w:r w:rsidR="00C51A17" w:rsidRPr="00E21F0B">
        <w:rPr>
          <w:sz w:val="24"/>
          <w:lang w:val="hu-HU"/>
        </w:rPr>
        <w:t>2025)0106).</w:t>
      </w:r>
    </w:p>
  </w:footnote>
  <w:footnote w:id="6">
    <w:p w14:paraId="7836C484" w14:textId="612DDA1B" w:rsidR="00C51A17" w:rsidRPr="00E21F0B" w:rsidRDefault="00C51A17" w:rsidP="00E21F0B">
      <w:pPr>
        <w:pStyle w:val="FootnoteText"/>
        <w:ind w:left="567" w:hanging="567"/>
        <w:rPr>
          <w:sz w:val="24"/>
          <w:lang w:val="hu-HU"/>
        </w:rPr>
      </w:pPr>
      <w:r w:rsidRPr="00E21F0B">
        <w:rPr>
          <w:rStyle w:val="FootnoteReference"/>
          <w:sz w:val="24"/>
          <w:lang w:val="hu-HU"/>
        </w:rPr>
        <w:footnoteRef/>
      </w:r>
      <w:r w:rsidR="00E21F0B" w:rsidRPr="00E21F0B">
        <w:rPr>
          <w:sz w:val="24"/>
          <w:lang w:val="hu-HU"/>
        </w:rPr>
        <w:t xml:space="preserve"> </w:t>
      </w:r>
      <w:r w:rsidR="00E21F0B" w:rsidRPr="00E21F0B">
        <w:rPr>
          <w:sz w:val="24"/>
          <w:lang w:val="hu-HU"/>
        </w:rPr>
        <w:tab/>
      </w:r>
      <w:r w:rsidRPr="00E21F0B">
        <w:rPr>
          <w:sz w:val="24"/>
          <w:lang w:val="hu-HU"/>
        </w:rPr>
        <w:t>Az Európai Parlament és a Tanács 1107/2009/EK rendelete (2009. október 21.) a növényvédő szerek forgalomba hozataláról</w:t>
      </w:r>
      <w:r w:rsidR="005D0622">
        <w:rPr>
          <w:sz w:val="24"/>
          <w:lang w:val="hu-HU"/>
        </w:rPr>
        <w:t>,</w:t>
      </w:r>
      <w:r w:rsidRPr="00E21F0B">
        <w:rPr>
          <w:sz w:val="24"/>
          <w:lang w:val="hu-HU"/>
        </w:rPr>
        <w:t xml:space="preserve"> valamint a 79/117/EGK és a 91/414/EGK tanácsi irányelvek hatályon kívül helyezéséről (HL L 309., 2009.11.24., 1. o.)., ELI: </w:t>
      </w:r>
      <w:hyperlink r:id="rId15" w:tooltip="Hozzáférést biztosít ehhez a dokumentumhoz annak ELI URI-jén keresztül." w:history="1">
        <w:r w:rsidRPr="00E21F0B">
          <w:rPr>
            <w:rStyle w:val="Hyperlink"/>
            <w:sz w:val="24"/>
            <w:lang w:val="hu-HU"/>
          </w:rPr>
          <w:t>http://data.europa.eu/eli/reg/2009/1107/oj</w:t>
        </w:r>
      </w:hyperlink>
      <w:r w:rsidRPr="00E21F0B">
        <w:rPr>
          <w:sz w:val="24"/>
          <w:lang w:val="hu-HU"/>
        </w:rPr>
        <w:t>).</w:t>
      </w:r>
    </w:p>
  </w:footnote>
  <w:footnote w:id="7">
    <w:p w14:paraId="681DE3E0" w14:textId="09395013" w:rsidR="00C51A17" w:rsidRPr="00E21F0B" w:rsidRDefault="00C51A17" w:rsidP="00E21F0B">
      <w:pPr>
        <w:pStyle w:val="FootnoteText"/>
        <w:ind w:left="567" w:hanging="567"/>
        <w:rPr>
          <w:sz w:val="24"/>
          <w:lang w:val="hu-HU"/>
        </w:rPr>
      </w:pPr>
      <w:r w:rsidRPr="00E21F0B">
        <w:rPr>
          <w:rStyle w:val="FootnoteReference"/>
          <w:sz w:val="24"/>
          <w:lang w:val="hu-HU"/>
        </w:rPr>
        <w:footnoteRef/>
      </w:r>
      <w:r w:rsidR="00E21F0B" w:rsidRPr="00E21F0B">
        <w:rPr>
          <w:sz w:val="24"/>
          <w:lang w:val="hu-HU"/>
        </w:rPr>
        <w:t xml:space="preserve"> </w:t>
      </w:r>
      <w:r w:rsidR="00E21F0B" w:rsidRPr="00E21F0B">
        <w:rPr>
          <w:sz w:val="24"/>
          <w:lang w:val="hu-HU"/>
        </w:rPr>
        <w:tab/>
      </w:r>
      <w:hyperlink r:id="rId16" w:history="1">
        <w:r w:rsidR="005D0622" w:rsidRPr="005D0622">
          <w:rPr>
            <w:rStyle w:val="Hyperlink"/>
            <w:sz w:val="24"/>
            <w:lang w:val="hu-HU"/>
          </w:rPr>
          <w:t>https://www.testbiotech.org/wp-content/uploads/2024/12/Testbiotech_comment_maize_DP51291.pdf</w:t>
        </w:r>
      </w:hyperlink>
      <w:r w:rsidRPr="00E21F0B">
        <w:rPr>
          <w:sz w:val="24"/>
          <w:lang w:val="hu-HU"/>
        </w:rPr>
        <w:t>.</w:t>
      </w:r>
    </w:p>
  </w:footnote>
  <w:footnote w:id="8">
    <w:p w14:paraId="5DBC062E" w14:textId="76C1A824" w:rsidR="00C51A17" w:rsidRPr="00E21F0B" w:rsidRDefault="00C51A17" w:rsidP="00E21F0B">
      <w:pPr>
        <w:pStyle w:val="FootnoteText"/>
        <w:ind w:left="567" w:hanging="567"/>
        <w:rPr>
          <w:sz w:val="24"/>
          <w:lang w:val="hu-HU"/>
        </w:rPr>
      </w:pPr>
      <w:r w:rsidRPr="00E21F0B">
        <w:rPr>
          <w:rStyle w:val="FootnoteReference"/>
          <w:sz w:val="24"/>
          <w:lang w:val="hu-HU"/>
        </w:rPr>
        <w:footnoteRef/>
      </w:r>
      <w:r w:rsidR="00E21F0B" w:rsidRPr="00E21F0B">
        <w:rPr>
          <w:sz w:val="24"/>
          <w:lang w:val="hu-HU"/>
        </w:rPr>
        <w:t xml:space="preserve"> </w:t>
      </w:r>
      <w:r w:rsidR="00E21F0B" w:rsidRPr="00E21F0B">
        <w:rPr>
          <w:sz w:val="24"/>
          <w:lang w:val="hu-HU"/>
        </w:rPr>
        <w:tab/>
      </w:r>
      <w:r w:rsidRPr="00E21F0B">
        <w:rPr>
          <w:sz w:val="24"/>
          <w:lang w:val="hu-HU"/>
        </w:rPr>
        <w:t xml:space="preserve">A Bizottság 503/2013/EU végrehajtási rendelete (2013. április 3.) a géntechnológiával módosított élelmiszerek és takarmányok 1829/2003/EK európai parlamenti és tanácsi rendelet szerinti engedélyezése iránti kérelemről, valamint a 641/2004/EK és az 1981/2006/EK bizottsági rendelet módosításáról (HL L 157., 2013.6.8., 1. o., ELI: </w:t>
      </w:r>
      <w:hyperlink r:id="rId17" w:history="1">
        <w:r w:rsidR="005D0622" w:rsidRPr="005D0622">
          <w:rPr>
            <w:rStyle w:val="Hyperlink"/>
            <w:sz w:val="24"/>
            <w:lang w:val="hu-HU"/>
          </w:rPr>
          <w:t>http://data.europa.eu/eli/reg_impl/2013/503/oj</w:t>
        </w:r>
      </w:hyperlink>
      <w:r w:rsidRPr="00E21F0B">
        <w:rPr>
          <w:sz w:val="24"/>
          <w:lang w:val="hu-HU"/>
        </w:rPr>
        <w:t>).</w:t>
      </w:r>
    </w:p>
  </w:footnote>
  <w:footnote w:id="9">
    <w:p w14:paraId="1145EB94" w14:textId="1B28CE06" w:rsidR="00C51A17" w:rsidRPr="00E21F0B" w:rsidRDefault="00C51A17" w:rsidP="00E21F0B">
      <w:pPr>
        <w:pStyle w:val="FootnoteText"/>
        <w:ind w:left="567" w:hanging="567"/>
        <w:rPr>
          <w:sz w:val="24"/>
          <w:lang w:val="hu-HU"/>
        </w:rPr>
      </w:pPr>
      <w:r w:rsidRPr="00E21F0B">
        <w:rPr>
          <w:rStyle w:val="FootnoteReference"/>
          <w:sz w:val="24"/>
          <w:lang w:val="hu-HU"/>
        </w:rPr>
        <w:footnoteRef/>
      </w:r>
      <w:r w:rsidR="00E21F0B" w:rsidRPr="00E21F0B">
        <w:rPr>
          <w:sz w:val="24"/>
          <w:lang w:val="hu-HU"/>
        </w:rPr>
        <w:t xml:space="preserve"> </w:t>
      </w:r>
      <w:r w:rsidR="00E21F0B" w:rsidRPr="00E21F0B">
        <w:rPr>
          <w:sz w:val="24"/>
          <w:lang w:val="hu-HU"/>
        </w:rPr>
        <w:tab/>
      </w:r>
      <w:r w:rsidRPr="00E21F0B">
        <w:rPr>
          <w:sz w:val="24"/>
          <w:lang w:val="hu-HU"/>
        </w:rPr>
        <w:t xml:space="preserve">Trtikova, M., Wikmark O. G., Zemp, N., Widmer, A., Hilbeck, A., (2015) „Transgene Expression and </w:t>
      </w:r>
      <w:proofErr w:type="gramStart"/>
      <w:r w:rsidRPr="00E21F0B">
        <w:rPr>
          <w:sz w:val="24"/>
          <w:lang w:val="hu-HU"/>
        </w:rPr>
        <w:t>Bt</w:t>
      </w:r>
      <w:proofErr w:type="gramEnd"/>
      <w:r w:rsidRPr="00E21F0B">
        <w:rPr>
          <w:sz w:val="24"/>
          <w:lang w:val="hu-HU"/>
        </w:rPr>
        <w:t xml:space="preserve"> Protein Content in Transgenic Bt Maize (MON810) under Optimal and Stressful Environmental Conditions”, PLoS ONE 10(4): e0123011, </w:t>
      </w:r>
      <w:hyperlink r:id="rId18" w:history="1">
        <w:r w:rsidRPr="00E21F0B">
          <w:rPr>
            <w:rStyle w:val="Hyperlink"/>
            <w:sz w:val="24"/>
            <w:lang w:val="hu-HU"/>
          </w:rPr>
          <w:t>https://doi.org/10.1371/journal.pone.0123011</w:t>
        </w:r>
      </w:hyperlink>
      <w:r w:rsidRPr="00E21F0B">
        <w:rPr>
          <w:sz w:val="24"/>
          <w:lang w:val="hu-HU"/>
        </w:rPr>
        <w:t>.</w:t>
      </w:r>
    </w:p>
  </w:footnote>
  <w:footnote w:id="10">
    <w:p w14:paraId="426B5093" w14:textId="19FD656B" w:rsidR="00C51A17" w:rsidRPr="00E21F0B" w:rsidRDefault="00C51A17" w:rsidP="00E21F0B">
      <w:pPr>
        <w:pStyle w:val="FootnoteText"/>
        <w:ind w:left="567" w:hanging="567"/>
        <w:rPr>
          <w:sz w:val="24"/>
          <w:lang w:val="hu-HU"/>
        </w:rPr>
      </w:pPr>
      <w:r w:rsidRPr="00E21F0B">
        <w:rPr>
          <w:rStyle w:val="FootnoteReference"/>
          <w:sz w:val="24"/>
          <w:lang w:val="hu-HU"/>
        </w:rPr>
        <w:footnoteRef/>
      </w:r>
      <w:r w:rsidR="00E21F0B" w:rsidRPr="00E21F0B">
        <w:rPr>
          <w:sz w:val="24"/>
          <w:lang w:val="hu-HU"/>
        </w:rPr>
        <w:t xml:space="preserve"> </w:t>
      </w:r>
      <w:r w:rsidR="00E21F0B" w:rsidRPr="00E21F0B">
        <w:rPr>
          <w:sz w:val="24"/>
          <w:lang w:val="hu-HU"/>
        </w:rPr>
        <w:tab/>
      </w:r>
      <w:r w:rsidRPr="00E21F0B">
        <w:rPr>
          <w:sz w:val="24"/>
          <w:lang w:val="hu-HU"/>
        </w:rPr>
        <w:t xml:space="preserve">Lásd például: Schulz, R., Bub, S., Petschick, L. L., Stehle, S., Wolfram, J. (2021), „Applied pesticide toxicity shifts toward plants and invertebrates, even in GM crops”, Science 372(6537), 81–84. o., </w:t>
      </w:r>
      <w:hyperlink r:id="rId19" w:history="1">
        <w:r w:rsidRPr="00E21F0B">
          <w:rPr>
            <w:rStyle w:val="Hyperlink"/>
            <w:sz w:val="24"/>
            <w:lang w:val="hu-HU"/>
          </w:rPr>
          <w:t>https://doi.org/10.1126/science.abe1148</w:t>
        </w:r>
      </w:hyperlink>
      <w:r w:rsidRPr="00E21F0B">
        <w:rPr>
          <w:sz w:val="24"/>
          <w:lang w:val="hu-HU"/>
        </w:rPr>
        <w:t xml:space="preserve">; Bonny, S., „Genetical Modified Herbicide-Tolerant Crops, Weeds és Herbicides: Overview and Impact”, Environmental Management, 2016. január, 57(1), 31–48. o., </w:t>
      </w:r>
      <w:hyperlink r:id="rId20" w:history="1">
        <w:r w:rsidRPr="00E21F0B">
          <w:rPr>
            <w:rStyle w:val="Hyperlink"/>
            <w:sz w:val="24"/>
            <w:lang w:val="hu-HU"/>
          </w:rPr>
          <w:t>https://www.ncbi.nlm.nih.gov/pubmed/26296738</w:t>
        </w:r>
      </w:hyperlink>
      <w:r w:rsidRPr="00E21F0B">
        <w:rPr>
          <w:sz w:val="24"/>
          <w:lang w:val="hu-HU"/>
        </w:rPr>
        <w:t xml:space="preserve">; és Benbrook, C. M., „Impacts of genetically engineered crops on pesticide use in the U.S. – the first sixteen years”, Environmental Sciences Europe, 2012. szeptember 28., Vol. 24(24), </w:t>
      </w:r>
      <w:hyperlink r:id="rId21" w:history="1">
        <w:r w:rsidRPr="00E21F0B">
          <w:rPr>
            <w:rStyle w:val="Hyperlink"/>
            <w:sz w:val="24"/>
            <w:lang w:val="hu-HU"/>
          </w:rPr>
          <w:t>https://enveurope.springeropen.com/articles/10.1186/2190-4715-24-24</w:t>
        </w:r>
      </w:hyperlink>
      <w:r w:rsidRPr="00E21F0B">
        <w:rPr>
          <w:sz w:val="24"/>
          <w:lang w:val="hu-HU"/>
        </w:rPr>
        <w:t>.</w:t>
      </w:r>
    </w:p>
  </w:footnote>
  <w:footnote w:id="11">
    <w:p w14:paraId="29FF0001" w14:textId="13786D26" w:rsidR="00C51A17" w:rsidRPr="00E21F0B" w:rsidRDefault="00C51A17" w:rsidP="00E21F0B">
      <w:pPr>
        <w:pStyle w:val="FootnoteText"/>
        <w:ind w:left="567" w:hanging="567"/>
        <w:rPr>
          <w:sz w:val="24"/>
          <w:lang w:val="hu-HU"/>
        </w:rPr>
      </w:pPr>
      <w:r w:rsidRPr="00E21F0B">
        <w:rPr>
          <w:rStyle w:val="FootnoteReference"/>
          <w:sz w:val="24"/>
          <w:lang w:val="hu-HU"/>
        </w:rPr>
        <w:footnoteRef/>
      </w:r>
      <w:r w:rsidR="00E21F0B" w:rsidRPr="00E21F0B">
        <w:rPr>
          <w:sz w:val="24"/>
          <w:lang w:val="hu-HU"/>
        </w:rPr>
        <w:t xml:space="preserve"> </w:t>
      </w:r>
      <w:r w:rsidR="00E21F0B" w:rsidRPr="00E21F0B">
        <w:rPr>
          <w:sz w:val="24"/>
          <w:lang w:val="hu-HU"/>
        </w:rPr>
        <w:tab/>
      </w:r>
      <w:r w:rsidRPr="00E21F0B">
        <w:rPr>
          <w:sz w:val="24"/>
          <w:lang w:val="hu-HU"/>
        </w:rPr>
        <w:t xml:space="preserve">Az áttekintést lásd itt: Rubio-Infante, N., Moreno-Fierros, L.: „An overview of the safety and biological effects of Bacillus thuringiensis Cry toxins in mammals”, Journal of Applied Toxicology, 2016. május, 36(5), 630–648. o., </w:t>
      </w:r>
      <w:hyperlink r:id="rId22" w:history="1">
        <w:r w:rsidRPr="00E21F0B">
          <w:rPr>
            <w:rStyle w:val="Hyperlink"/>
            <w:sz w:val="24"/>
            <w:lang w:val="hu-HU"/>
          </w:rPr>
          <w:t>https://onlinelibrary.wiley.com/doi/full/10.1002/jat.3252</w:t>
        </w:r>
      </w:hyperlink>
      <w:r w:rsidRPr="00E21F0B">
        <w:rPr>
          <w:sz w:val="24"/>
          <w:lang w:val="hu-HU"/>
        </w:rPr>
        <w:t>.</w:t>
      </w:r>
    </w:p>
  </w:footnote>
  <w:footnote w:id="12">
    <w:p w14:paraId="36AFEFB8" w14:textId="304987A6" w:rsidR="00C51A17" w:rsidRPr="00E21F0B" w:rsidRDefault="00C51A17" w:rsidP="00E21F0B">
      <w:pPr>
        <w:pStyle w:val="FootnoteText"/>
        <w:ind w:left="567" w:hanging="567"/>
        <w:rPr>
          <w:sz w:val="24"/>
          <w:lang w:val="hu-HU"/>
        </w:rPr>
      </w:pPr>
      <w:r w:rsidRPr="00E21F0B">
        <w:rPr>
          <w:rStyle w:val="FootnoteReference"/>
          <w:sz w:val="24"/>
          <w:lang w:val="hu-HU"/>
        </w:rPr>
        <w:footnoteRef/>
      </w:r>
      <w:r w:rsidR="00E21F0B" w:rsidRPr="00E21F0B">
        <w:rPr>
          <w:sz w:val="24"/>
          <w:lang w:val="hu-HU"/>
        </w:rPr>
        <w:t xml:space="preserve"> </w:t>
      </w:r>
      <w:r w:rsidR="00E21F0B" w:rsidRPr="00E21F0B">
        <w:rPr>
          <w:sz w:val="24"/>
          <w:lang w:val="hu-HU"/>
        </w:rPr>
        <w:tab/>
      </w:r>
      <w:r w:rsidRPr="00E21F0B">
        <w:rPr>
          <w:sz w:val="24"/>
          <w:lang w:val="hu-HU"/>
        </w:rPr>
        <w:t>Bøhn, T., Macagnan Rover, C., Semenchuk, P. R., „</w:t>
      </w:r>
      <w:r w:rsidRPr="00E21F0B">
        <w:rPr>
          <w:i/>
          <w:sz w:val="24"/>
          <w:lang w:val="hu-HU"/>
        </w:rPr>
        <w:t>Daphnia magna</w:t>
      </w:r>
      <w:r w:rsidRPr="00E21F0B">
        <w:rPr>
          <w:sz w:val="24"/>
          <w:lang w:val="hu-HU"/>
        </w:rPr>
        <w:t xml:space="preserve"> negatively affected by chronic exposure to purified Cry-toxins”, Food and Chemical Toxicology, 2016. május, 91. kötet, 130-140. o., </w:t>
      </w:r>
      <w:hyperlink r:id="rId23" w:history="1">
        <w:r w:rsidRPr="00E21F0B">
          <w:rPr>
            <w:rStyle w:val="Hyperlink"/>
            <w:sz w:val="24"/>
            <w:lang w:val="hu-HU"/>
          </w:rPr>
          <w:t>https://doi.org/10.1016/j.fct.2016.03.009</w:t>
        </w:r>
      </w:hyperlink>
      <w:r w:rsidRPr="00E21F0B">
        <w:rPr>
          <w:sz w:val="24"/>
          <w:lang w:val="hu-HU"/>
        </w:rPr>
        <w:t>.</w:t>
      </w:r>
    </w:p>
  </w:footnote>
  <w:footnote w:id="13">
    <w:p w14:paraId="168C3904" w14:textId="7BC359E1" w:rsidR="00C51A17" w:rsidRPr="00E21F0B" w:rsidRDefault="00C51A17" w:rsidP="00E21F0B">
      <w:pPr>
        <w:pStyle w:val="FootnoteText"/>
        <w:ind w:left="567" w:hanging="567"/>
        <w:rPr>
          <w:sz w:val="24"/>
          <w:lang w:val="hu-HU"/>
        </w:rPr>
      </w:pPr>
      <w:r w:rsidRPr="00E21F0B">
        <w:rPr>
          <w:rStyle w:val="FootnoteReference"/>
          <w:sz w:val="24"/>
          <w:lang w:val="hu-HU"/>
        </w:rPr>
        <w:footnoteRef/>
      </w:r>
      <w:r w:rsidR="00E21F0B" w:rsidRPr="00E21F0B">
        <w:rPr>
          <w:sz w:val="24"/>
          <w:lang w:val="hu-HU"/>
        </w:rPr>
        <w:t xml:space="preserve"> </w:t>
      </w:r>
      <w:r w:rsidR="00E21F0B" w:rsidRPr="00E21F0B">
        <w:rPr>
          <w:sz w:val="24"/>
          <w:lang w:val="hu-HU"/>
        </w:rPr>
        <w:tab/>
      </w:r>
      <w:r w:rsidRPr="00E21F0B">
        <w:rPr>
          <w:sz w:val="24"/>
          <w:lang w:val="hu-HU"/>
        </w:rPr>
        <w:t xml:space="preserve">Trtikova, M., Lohn, A., Binimelis, R., Chapela, I., Oehen, B., Zemp, N., Widmer, A., Hilbeck, A., (2017), „Teosinte in Europe – Searching for the Origin of a Novel Weed”, Scientific Reports, 7:1560, </w:t>
      </w:r>
      <w:hyperlink r:id="rId24" w:history="1">
        <w:r w:rsidRPr="00E21F0B">
          <w:rPr>
            <w:rStyle w:val="Hyperlink"/>
            <w:sz w:val="24"/>
            <w:lang w:val="hu-HU"/>
          </w:rPr>
          <w:t>https://doi.org/10.1038/s41598-017-01478-w</w:t>
        </w:r>
      </w:hyperlink>
      <w:r w:rsidRPr="00E21F0B">
        <w:rPr>
          <w:sz w:val="24"/>
          <w:lang w:val="hu-HU"/>
        </w:rPr>
        <w:t>.</w:t>
      </w:r>
    </w:p>
  </w:footnote>
  <w:footnote w:id="14">
    <w:p w14:paraId="1C7419C2" w14:textId="350D7B06" w:rsidR="00C51A17" w:rsidRPr="00E21F0B" w:rsidRDefault="00C51A17" w:rsidP="00E21F0B">
      <w:pPr>
        <w:pStyle w:val="FootnoteText"/>
        <w:ind w:left="567" w:hanging="567"/>
        <w:rPr>
          <w:sz w:val="24"/>
          <w:lang w:val="hu-HU"/>
        </w:rPr>
      </w:pPr>
      <w:r w:rsidRPr="00E21F0B">
        <w:rPr>
          <w:rStyle w:val="FootnoteReference"/>
          <w:sz w:val="24"/>
          <w:lang w:val="hu-HU"/>
        </w:rPr>
        <w:footnoteRef/>
      </w:r>
      <w:r w:rsidR="00E21F0B" w:rsidRPr="00E21F0B">
        <w:rPr>
          <w:sz w:val="24"/>
          <w:lang w:val="hu-HU"/>
        </w:rPr>
        <w:t xml:space="preserve"> </w:t>
      </w:r>
      <w:r w:rsidR="00E21F0B" w:rsidRPr="00E21F0B">
        <w:rPr>
          <w:sz w:val="24"/>
          <w:lang w:val="hu-HU"/>
        </w:rPr>
        <w:tab/>
      </w:r>
      <w:r w:rsidRPr="00E21F0B">
        <w:rPr>
          <w:sz w:val="24"/>
          <w:lang w:val="hu-HU"/>
        </w:rPr>
        <w:t xml:space="preserve">Strategic Dialogue on the Future of EU Agriculture - A shared prospect for farming and food in Europe, 2024. szeptember, </w:t>
      </w:r>
      <w:hyperlink r:id="rId25" w:history="1">
        <w:r w:rsidRPr="00E21F0B">
          <w:rPr>
            <w:rStyle w:val="Hyperlink"/>
            <w:sz w:val="24"/>
            <w:lang w:val="hu-HU"/>
          </w:rPr>
          <w:t>https://agriculture.ec.europa.eu/document/download/171329ff-0f50-4fa5-946f-aea11032172e_en?filename=strategic-dialogue-report-2024_en.pdf</w:t>
        </w:r>
      </w:hyperlink>
      <w:r w:rsidRPr="00E21F0B">
        <w:rPr>
          <w:sz w:val="24"/>
          <w:lang w:val="hu-HU"/>
        </w:rPr>
        <w:t xml:space="preserve">. </w:t>
      </w:r>
    </w:p>
  </w:footnote>
  <w:footnote w:id="15">
    <w:p w14:paraId="2D0CF002" w14:textId="17E2AB36" w:rsidR="00C51A17" w:rsidRPr="00E21F0B" w:rsidRDefault="00C51A17" w:rsidP="00E21F0B">
      <w:pPr>
        <w:pStyle w:val="FootnoteText"/>
        <w:ind w:left="567" w:hanging="567"/>
        <w:rPr>
          <w:sz w:val="24"/>
          <w:lang w:val="hu-HU"/>
        </w:rPr>
      </w:pPr>
      <w:r w:rsidRPr="00E21F0B">
        <w:rPr>
          <w:rStyle w:val="FootnoteReference"/>
          <w:sz w:val="24"/>
          <w:lang w:val="hu-HU"/>
        </w:rPr>
        <w:footnoteRef/>
      </w:r>
      <w:r w:rsidR="00E21F0B" w:rsidRPr="00E21F0B">
        <w:rPr>
          <w:sz w:val="24"/>
          <w:lang w:val="hu-HU"/>
        </w:rPr>
        <w:t xml:space="preserve"> </w:t>
      </w:r>
      <w:r w:rsidR="00E21F0B" w:rsidRPr="00E21F0B">
        <w:rPr>
          <w:sz w:val="24"/>
          <w:lang w:val="hu-HU"/>
        </w:rPr>
        <w:tab/>
      </w:r>
      <w:hyperlink r:id="rId26" w:history="1">
        <w:r w:rsidRPr="00E21F0B">
          <w:rPr>
            <w:rStyle w:val="Hyperlink"/>
            <w:sz w:val="24"/>
            <w:lang w:val="hu-HU"/>
          </w:rPr>
          <w:t>https://www.ohchr.org/en/documents/thematic-reports/ahrc3448-report-special-rapporteur-right-food</w:t>
        </w:r>
      </w:hyperlink>
      <w:r w:rsidRPr="00E21F0B">
        <w:rPr>
          <w:sz w:val="24"/>
          <w:lang w:val="hu-HU"/>
        </w:rPr>
        <w:t xml:space="preserve">. </w:t>
      </w:r>
    </w:p>
  </w:footnote>
  <w:footnote w:id="16">
    <w:p w14:paraId="64604FF8" w14:textId="26BC60F1" w:rsidR="00C51A17" w:rsidRPr="00E21F0B" w:rsidRDefault="00C51A17" w:rsidP="00E21F0B">
      <w:pPr>
        <w:pStyle w:val="FootnoteText"/>
        <w:ind w:left="567" w:hanging="567"/>
        <w:rPr>
          <w:sz w:val="24"/>
          <w:lang w:val="hu-HU"/>
        </w:rPr>
      </w:pPr>
      <w:r w:rsidRPr="00E21F0B">
        <w:rPr>
          <w:rStyle w:val="FootnoteReference"/>
          <w:sz w:val="24"/>
          <w:lang w:val="hu-HU"/>
        </w:rPr>
        <w:footnoteRef/>
      </w:r>
      <w:r w:rsidR="00E21F0B" w:rsidRPr="00E21F0B">
        <w:rPr>
          <w:sz w:val="24"/>
          <w:lang w:val="hu-HU"/>
        </w:rPr>
        <w:t xml:space="preserve"> </w:t>
      </w:r>
      <w:r w:rsidR="00E21F0B" w:rsidRPr="00E21F0B">
        <w:rPr>
          <w:sz w:val="24"/>
          <w:lang w:val="hu-HU"/>
        </w:rPr>
        <w:tab/>
      </w:r>
      <w:hyperlink r:id="rId27" w:history="1">
        <w:r w:rsidRPr="00E21F0B">
          <w:rPr>
            <w:rStyle w:val="Hyperlink"/>
            <w:sz w:val="24"/>
            <w:lang w:val="hu-HU"/>
          </w:rPr>
          <w:t>https://www.un.org/sustainabledevelopment/health/</w:t>
        </w:r>
      </w:hyperlink>
      <w:r w:rsidRPr="00E21F0B">
        <w:rPr>
          <w:sz w:val="24"/>
          <w:lang w:val="hu-HU"/>
        </w:rPr>
        <w:t xml:space="preserve">. </w:t>
      </w:r>
    </w:p>
  </w:footnote>
  <w:footnote w:id="17">
    <w:p w14:paraId="5DE8D5BA" w14:textId="593DB834" w:rsidR="00C51A17" w:rsidRPr="00E21F0B" w:rsidRDefault="00C51A17" w:rsidP="00E21F0B">
      <w:pPr>
        <w:pStyle w:val="FootnoteText"/>
        <w:ind w:left="567" w:hanging="567"/>
        <w:rPr>
          <w:sz w:val="24"/>
          <w:lang w:val="hu-HU"/>
        </w:rPr>
      </w:pPr>
      <w:r w:rsidRPr="00E21F0B">
        <w:rPr>
          <w:rStyle w:val="FootnoteReference"/>
          <w:sz w:val="24"/>
          <w:lang w:val="hu-HU"/>
        </w:rPr>
        <w:footnoteRef/>
      </w:r>
      <w:r w:rsidR="00E21F0B" w:rsidRPr="00E21F0B">
        <w:rPr>
          <w:sz w:val="24"/>
          <w:lang w:val="hu-HU"/>
        </w:rPr>
        <w:t xml:space="preserve"> </w:t>
      </w:r>
      <w:r w:rsidR="00E21F0B" w:rsidRPr="00E21F0B">
        <w:rPr>
          <w:sz w:val="24"/>
          <w:lang w:val="hu-HU"/>
        </w:rPr>
        <w:tab/>
      </w:r>
      <w:hyperlink r:id="rId28" w:history="1">
        <w:r w:rsidRPr="00E21F0B">
          <w:rPr>
            <w:rStyle w:val="Hyperlink"/>
            <w:sz w:val="24"/>
            <w:lang w:val="hu-HU"/>
          </w:rPr>
          <w:t>https://ec.europa.eu/commission/presscorner/detail/hu/ip_22_7834</w:t>
        </w:r>
      </w:hyperlink>
      <w:r w:rsidRPr="00E21F0B">
        <w:rPr>
          <w:sz w:val="24"/>
          <w:lang w:val="hu-HU"/>
        </w:rPr>
        <w:t xml:space="preserve">. </w:t>
      </w:r>
    </w:p>
  </w:footnote>
  <w:footnote w:id="18">
    <w:p w14:paraId="485C2B58" w14:textId="6D70368B" w:rsidR="00C51A17" w:rsidRPr="00E21F0B" w:rsidRDefault="00C51A17" w:rsidP="00E21F0B">
      <w:pPr>
        <w:pStyle w:val="FootnoteText"/>
        <w:ind w:left="567" w:hanging="567"/>
        <w:rPr>
          <w:sz w:val="24"/>
          <w:lang w:val="hu-HU"/>
        </w:rPr>
      </w:pPr>
      <w:r w:rsidRPr="00E21F0B">
        <w:rPr>
          <w:rStyle w:val="FootnoteReference"/>
          <w:sz w:val="24"/>
          <w:lang w:val="hu-HU"/>
        </w:rPr>
        <w:footnoteRef/>
      </w:r>
      <w:r w:rsidR="00E21F0B" w:rsidRPr="00E21F0B">
        <w:rPr>
          <w:sz w:val="24"/>
          <w:lang w:val="hu-HU"/>
        </w:rPr>
        <w:t xml:space="preserve"> </w:t>
      </w:r>
      <w:r w:rsidR="00E21F0B" w:rsidRPr="00E21F0B">
        <w:rPr>
          <w:sz w:val="24"/>
          <w:lang w:val="hu-HU"/>
        </w:rPr>
        <w:tab/>
      </w:r>
      <w:hyperlink r:id="rId29" w:history="1">
        <w:r w:rsidRPr="00E21F0B">
          <w:rPr>
            <w:rStyle w:val="Hyperlink"/>
            <w:sz w:val="24"/>
            <w:lang w:val="hu-HU"/>
          </w:rPr>
          <w:t>https://commission.europa.eu/document/2c64e540-c07a-4376-a1da-368d289f4afe_en</w:t>
        </w:r>
      </w:hyperlink>
      <w:r w:rsidRPr="00E21F0B">
        <w:rPr>
          <w:sz w:val="24"/>
          <w:lang w:val="hu-HU"/>
        </w:rPr>
        <w:t>.</w:t>
      </w:r>
    </w:p>
  </w:footnote>
  <w:footnote w:id="19">
    <w:p w14:paraId="12F7A298" w14:textId="05EE67E3" w:rsidR="00C51A17" w:rsidRPr="00E21F0B" w:rsidRDefault="00C51A17" w:rsidP="00E21F0B">
      <w:pPr>
        <w:pStyle w:val="FootnoteText"/>
        <w:ind w:left="567" w:hanging="567"/>
        <w:rPr>
          <w:sz w:val="24"/>
          <w:lang w:val="hu-HU"/>
        </w:rPr>
      </w:pPr>
      <w:r w:rsidRPr="00E21F0B">
        <w:rPr>
          <w:rStyle w:val="FootnoteReference"/>
          <w:sz w:val="24"/>
          <w:lang w:val="hu-HU"/>
        </w:rPr>
        <w:footnoteRef/>
      </w:r>
      <w:r w:rsidR="00E21F0B" w:rsidRPr="00E21F0B">
        <w:rPr>
          <w:sz w:val="24"/>
          <w:lang w:val="hu-HU"/>
        </w:rPr>
        <w:t xml:space="preserve"> </w:t>
      </w:r>
      <w:r w:rsidR="00E21F0B" w:rsidRPr="00E21F0B">
        <w:rPr>
          <w:sz w:val="24"/>
          <w:lang w:val="hu-HU"/>
        </w:rPr>
        <w:tab/>
      </w:r>
      <w:r w:rsidRPr="00E21F0B">
        <w:rPr>
          <w:sz w:val="24"/>
          <w:lang w:val="hu-HU"/>
        </w:rPr>
        <w:t xml:space="preserve">A 182/2011/EU rendelet 6. cikkének (3) bekezdése </w:t>
      </w:r>
      <w:proofErr w:type="gramStart"/>
      <w:r w:rsidRPr="00E21F0B">
        <w:rPr>
          <w:sz w:val="24"/>
          <w:lang w:val="hu-HU"/>
        </w:rPr>
        <w:t>szerint</w:t>
      </w:r>
      <w:proofErr w:type="gramEnd"/>
      <w:r w:rsidRPr="00E21F0B">
        <w:rPr>
          <w:sz w:val="24"/>
          <w:lang w:val="hu-HU"/>
        </w:rPr>
        <w:t xml:space="preserve"> ha nincs meg a tagállamok minősített többsége a fellebbviteli bizottságban, az Európai Bizottság az engedélyezést „folytathatja”, nem pedig „köteles folytatni”.</w:t>
      </w:r>
    </w:p>
  </w:footnote>
  <w:footnote w:id="20">
    <w:p w14:paraId="4125499B" w14:textId="6BF7FB75" w:rsidR="00C51A17" w:rsidRPr="00E21F0B" w:rsidRDefault="00C51A17" w:rsidP="00E21F0B">
      <w:pPr>
        <w:pStyle w:val="FootnoteText"/>
        <w:ind w:left="567" w:hanging="567"/>
        <w:rPr>
          <w:sz w:val="24"/>
          <w:lang w:val="hu-HU"/>
        </w:rPr>
      </w:pPr>
      <w:r w:rsidRPr="00E21F0B">
        <w:rPr>
          <w:rStyle w:val="FootnoteReference"/>
          <w:sz w:val="24"/>
          <w:lang w:val="hu-HU"/>
        </w:rPr>
        <w:footnoteRef/>
      </w:r>
      <w:r w:rsidR="00E21F0B" w:rsidRPr="00E21F0B">
        <w:rPr>
          <w:sz w:val="24"/>
          <w:lang w:val="hu-HU"/>
        </w:rPr>
        <w:t xml:space="preserve"> </w:t>
      </w:r>
      <w:r w:rsidR="00E21F0B" w:rsidRPr="00E21F0B">
        <w:rPr>
          <w:sz w:val="24"/>
          <w:lang w:val="hu-HU"/>
        </w:rPr>
        <w:tab/>
      </w:r>
      <w:hyperlink r:id="rId30" w:history="1">
        <w:r w:rsidRPr="00E21F0B">
          <w:rPr>
            <w:rStyle w:val="Hyperlink"/>
            <w:sz w:val="24"/>
            <w:lang w:val="hu-HU"/>
          </w:rPr>
          <w:t>https://food.ec.europa.eu/document/download/ee1a5aed-5303-4c32-bb59-813143a1df47_en?filename=sc_modif-genet_20250613_sum.pdf</w:t>
        </w:r>
      </w:hyperlink>
      <w:r w:rsidRPr="00E21F0B">
        <w:rPr>
          <w:sz w:val="24"/>
          <w:lang w:val="hu-HU"/>
        </w:rPr>
        <w:t>.</w:t>
      </w:r>
    </w:p>
  </w:footnote>
  <w:footnote w:id="21">
    <w:p w14:paraId="4E85957A" w14:textId="408905E3" w:rsidR="00C51A17" w:rsidRPr="00E21F0B" w:rsidRDefault="00C51A17" w:rsidP="00E21F0B">
      <w:pPr>
        <w:pStyle w:val="FootnoteText"/>
        <w:ind w:left="567" w:hanging="567"/>
        <w:rPr>
          <w:sz w:val="24"/>
          <w:lang w:val="hu-HU"/>
        </w:rPr>
      </w:pPr>
      <w:r w:rsidRPr="00E21F0B">
        <w:rPr>
          <w:rStyle w:val="FootnoteReference"/>
          <w:sz w:val="24"/>
          <w:lang w:val="hu-HU"/>
        </w:rPr>
        <w:footnoteRef/>
      </w:r>
      <w:r w:rsidR="00E21F0B" w:rsidRPr="00E21F0B">
        <w:rPr>
          <w:sz w:val="24"/>
          <w:lang w:val="hu-HU"/>
        </w:rPr>
        <w:t xml:space="preserve"> </w:t>
      </w:r>
      <w:r w:rsidR="00E21F0B" w:rsidRPr="00E21F0B">
        <w:rPr>
          <w:sz w:val="24"/>
          <w:lang w:val="hu-HU"/>
        </w:rPr>
        <w:tab/>
      </w:r>
      <w:r w:rsidRPr="00E21F0B">
        <w:rPr>
          <w:sz w:val="24"/>
          <w:lang w:val="hu-HU"/>
        </w:rPr>
        <w:t xml:space="preserve">Az Európai Parlament és a Tanács 178/2002/EK rendelete (2002. január 28.) az élelmiszerjog általános elveiről és követelményeiről, az Európai Élelmiszerbiztonsági Hatóság létrehozásáról és az élelmiszerbiztonságra vonatkozó eljárások megállapításáról (HL L 31., 2002.2.1., 1. o., ELI: </w:t>
      </w:r>
      <w:hyperlink r:id="rId31" w:history="1">
        <w:r w:rsidRPr="00E21F0B">
          <w:rPr>
            <w:rStyle w:val="Hyperlink"/>
            <w:sz w:val="24"/>
            <w:lang w:val="hu-HU"/>
          </w:rPr>
          <w:t>http://data.europa.eu/eli/reg/2002/178/oj</w:t>
        </w:r>
      </w:hyperlink>
      <w:r w:rsidRPr="00E21F0B">
        <w:rPr>
          <w:sz w:val="24"/>
          <w:lang w:val="hu-HU"/>
        </w:rPr>
        <w:t>).</w:t>
      </w:r>
    </w:p>
  </w:footnote>
  <w:footnote w:id="22">
    <w:p w14:paraId="75C43ECF" w14:textId="7824704F" w:rsidR="00C51A17" w:rsidRPr="00E21F0B" w:rsidRDefault="00C51A17" w:rsidP="00E21F0B">
      <w:pPr>
        <w:pStyle w:val="FootnoteText"/>
        <w:ind w:left="567" w:hanging="567"/>
        <w:rPr>
          <w:sz w:val="24"/>
          <w:lang w:val="hu-HU"/>
        </w:rPr>
      </w:pPr>
      <w:r w:rsidRPr="00E21F0B">
        <w:rPr>
          <w:rStyle w:val="FootnoteReference"/>
          <w:sz w:val="24"/>
          <w:lang w:val="hu-HU"/>
        </w:rPr>
        <w:footnoteRef/>
      </w:r>
      <w:r w:rsidR="00E21F0B" w:rsidRPr="00E21F0B">
        <w:rPr>
          <w:sz w:val="24"/>
          <w:lang w:val="hu-HU"/>
        </w:rPr>
        <w:t xml:space="preserve"> </w:t>
      </w:r>
      <w:r w:rsidR="00E21F0B" w:rsidRPr="00E21F0B">
        <w:rPr>
          <w:sz w:val="24"/>
          <w:lang w:val="hu-HU"/>
        </w:rPr>
        <w:tab/>
      </w:r>
      <w:r w:rsidRPr="00E21F0B">
        <w:rPr>
          <w:sz w:val="24"/>
          <w:lang w:val="hu-HU"/>
        </w:rPr>
        <w:t>„A vegyi anyagokra vonatkozó fenntarthatósági stratégia a toxikus anyagoktól mentes környezetért” című, 2020. október 14-i bizottsági közlemény (</w:t>
      </w:r>
      <w:proofErr w:type="gramStart"/>
      <w:r w:rsidRPr="00E21F0B">
        <w:rPr>
          <w:sz w:val="24"/>
          <w:lang w:val="hu-HU"/>
        </w:rPr>
        <w:t>COM(</w:t>
      </w:r>
      <w:proofErr w:type="gramEnd"/>
      <w:r w:rsidRPr="00E21F0B">
        <w:rPr>
          <w:sz w:val="24"/>
          <w:lang w:val="hu-HU"/>
        </w:rPr>
        <w:t xml:space="preserve">2020)0667, </w:t>
      </w:r>
      <w:hyperlink r:id="rId32" w:anchor="document2" w:history="1">
        <w:r w:rsidRPr="00E21F0B">
          <w:rPr>
            <w:rStyle w:val="Hyperlink"/>
            <w:sz w:val="24"/>
            <w:lang w:val="hu-HU"/>
          </w:rPr>
          <w:t>https://eur-lex.europa.eu/legal-content/HU/TXT/?uri=COM%3A2020%3A667%3AFIN#document2</w:t>
        </w:r>
      </w:hyperlink>
      <w:r w:rsidRPr="00E21F0B">
        <w:rPr>
          <w:sz w:val="24"/>
          <w:lang w:val="hu-HU"/>
        </w:rPr>
        <w:t>) mellékletében foglaltaknak megfelelően.</w:t>
      </w:r>
    </w:p>
  </w:footnote>
  <w:footnote w:id="23">
    <w:p w14:paraId="04AA9512" w14:textId="6A3D2C04" w:rsidR="00C51A17" w:rsidRPr="00E21F0B" w:rsidRDefault="00C51A17" w:rsidP="00E21F0B">
      <w:pPr>
        <w:pStyle w:val="FootnoteText"/>
        <w:ind w:left="567" w:hanging="567"/>
        <w:rPr>
          <w:sz w:val="24"/>
          <w:lang w:val="hu-HU"/>
        </w:rPr>
      </w:pPr>
      <w:r w:rsidRPr="00E21F0B">
        <w:rPr>
          <w:rStyle w:val="FootnoteReference"/>
          <w:sz w:val="24"/>
          <w:lang w:val="hu-HU"/>
        </w:rPr>
        <w:footnoteRef/>
      </w:r>
      <w:r w:rsidR="00E21F0B" w:rsidRPr="00E21F0B">
        <w:rPr>
          <w:sz w:val="24"/>
          <w:lang w:val="hu-HU"/>
        </w:rPr>
        <w:t xml:space="preserve"> </w:t>
      </w:r>
      <w:r w:rsidR="00E21F0B" w:rsidRPr="00E21F0B">
        <w:rPr>
          <w:sz w:val="24"/>
          <w:lang w:val="hu-HU"/>
        </w:rPr>
        <w:tab/>
      </w:r>
      <w:hyperlink r:id="rId33" w:history="1">
        <w:r w:rsidRPr="00E21F0B">
          <w:rPr>
            <w:rStyle w:val="Hyperlink"/>
            <w:sz w:val="24"/>
            <w:lang w:val="hu-HU"/>
          </w:rPr>
          <w:t>https://tillymetz.lu/wp-content/uploads/2020/09/Co-signed-letter-MEP-Metz.pdf</w:t>
        </w:r>
      </w:hyperlink>
      <w:r w:rsidRPr="00E21F0B">
        <w:rPr>
          <w:sz w:val="24"/>
          <w:lang w:val="hu-HU"/>
        </w:rPr>
        <w:t xml:space="preserve">. </w:t>
      </w:r>
    </w:p>
  </w:footnote>
  <w:footnote w:id="24">
    <w:p w14:paraId="1F258F69" w14:textId="7F72F3D7" w:rsidR="00C51A17" w:rsidRPr="00E21F0B" w:rsidRDefault="00C51A17" w:rsidP="00E21F0B">
      <w:pPr>
        <w:pStyle w:val="FootnoteText"/>
        <w:ind w:left="567" w:hanging="567"/>
        <w:rPr>
          <w:sz w:val="24"/>
          <w:lang w:val="hu-HU"/>
        </w:rPr>
      </w:pPr>
      <w:r w:rsidRPr="00E21F0B">
        <w:rPr>
          <w:rStyle w:val="FootnoteReference"/>
          <w:sz w:val="24"/>
          <w:lang w:val="hu-HU"/>
        </w:rPr>
        <w:footnoteRef/>
      </w:r>
      <w:r w:rsidR="00E21F0B" w:rsidRPr="00E21F0B">
        <w:rPr>
          <w:sz w:val="24"/>
          <w:lang w:val="hu-HU"/>
        </w:rPr>
        <w:t xml:space="preserve"> </w:t>
      </w:r>
      <w:r w:rsidR="00E21F0B" w:rsidRPr="00E21F0B">
        <w:rPr>
          <w:sz w:val="24"/>
          <w:lang w:val="hu-HU"/>
        </w:rPr>
        <w:tab/>
      </w:r>
      <w:r w:rsidRPr="00E21F0B">
        <w:rPr>
          <w:sz w:val="24"/>
          <w:lang w:val="hu-HU"/>
        </w:rPr>
        <w:t>Az Európai Parlament állásfoglalása (2020. január 15.) az európai zöld megállapodásról (HL C 270., 2021.7.7., 2. o.</w:t>
      </w:r>
      <w:r w:rsidR="003D38B6">
        <w:rPr>
          <w:sz w:val="24"/>
          <w:lang w:val="hu-HU"/>
        </w:rPr>
        <w:t>)</w:t>
      </w:r>
      <w:r w:rsidRPr="00E21F0B">
        <w:rPr>
          <w:sz w:val="24"/>
          <w:lang w:val="hu-HU"/>
        </w:rPr>
        <w:t>, 102. bekezdés.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348A6" w14:textId="77777777" w:rsidR="00064002" w:rsidRPr="00E21F0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20D87" w14:textId="77777777" w:rsidR="00064002" w:rsidRPr="00E21F0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45E8F" w14:textId="77777777" w:rsidR="00064002" w:rsidRPr="00E21F0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68113685">
    <w:abstractNumId w:val="9"/>
  </w:num>
  <w:num w:numId="2" w16cid:durableId="1345323113">
    <w:abstractNumId w:val="9"/>
  </w:num>
  <w:num w:numId="3" w16cid:durableId="1488782299">
    <w:abstractNumId w:val="7"/>
  </w:num>
  <w:num w:numId="4" w16cid:durableId="864440936">
    <w:abstractNumId w:val="7"/>
  </w:num>
  <w:num w:numId="5" w16cid:durableId="63994131">
    <w:abstractNumId w:val="6"/>
  </w:num>
  <w:num w:numId="6" w16cid:durableId="128598490">
    <w:abstractNumId w:val="6"/>
  </w:num>
  <w:num w:numId="7" w16cid:durableId="510728978">
    <w:abstractNumId w:val="5"/>
  </w:num>
  <w:num w:numId="8" w16cid:durableId="488132030">
    <w:abstractNumId w:val="5"/>
  </w:num>
  <w:num w:numId="9" w16cid:durableId="1137994096">
    <w:abstractNumId w:val="4"/>
  </w:num>
  <w:num w:numId="10" w16cid:durableId="1896812961">
    <w:abstractNumId w:val="4"/>
  </w:num>
  <w:num w:numId="11" w16cid:durableId="245459474">
    <w:abstractNumId w:val="8"/>
  </w:num>
  <w:num w:numId="12" w16cid:durableId="1643927523">
    <w:abstractNumId w:val="8"/>
  </w:num>
  <w:num w:numId="13" w16cid:durableId="1056705652">
    <w:abstractNumId w:val="3"/>
  </w:num>
  <w:num w:numId="14" w16cid:durableId="115300332">
    <w:abstractNumId w:val="3"/>
  </w:num>
  <w:num w:numId="15" w16cid:durableId="1749232814">
    <w:abstractNumId w:val="2"/>
  </w:num>
  <w:num w:numId="16" w16cid:durableId="2059931908">
    <w:abstractNumId w:val="2"/>
  </w:num>
  <w:num w:numId="17" w16cid:durableId="909264799">
    <w:abstractNumId w:val="1"/>
  </w:num>
  <w:num w:numId="18" w16cid:durableId="191575676">
    <w:abstractNumId w:val="1"/>
  </w:num>
  <w:num w:numId="19" w16cid:durableId="1285191755">
    <w:abstractNumId w:val="0"/>
  </w:num>
  <w:num w:numId="20" w16cid:durableId="917250819">
    <w:abstractNumId w:val="0"/>
  </w:num>
  <w:num w:numId="21" w16cid:durableId="1397166536">
    <w:abstractNumId w:val="9"/>
  </w:num>
  <w:num w:numId="22" w16cid:durableId="1904287497">
    <w:abstractNumId w:val="7"/>
  </w:num>
  <w:num w:numId="23" w16cid:durableId="1577783637">
    <w:abstractNumId w:val="6"/>
  </w:num>
  <w:num w:numId="24" w16cid:durableId="1399939538">
    <w:abstractNumId w:val="5"/>
  </w:num>
  <w:num w:numId="25" w16cid:durableId="857044383">
    <w:abstractNumId w:val="4"/>
  </w:num>
  <w:num w:numId="26" w16cid:durableId="1998263602">
    <w:abstractNumId w:val="8"/>
  </w:num>
  <w:num w:numId="27" w16cid:durableId="1630818627">
    <w:abstractNumId w:val="3"/>
  </w:num>
  <w:num w:numId="28" w16cid:durableId="1780443909">
    <w:abstractNumId w:val="2"/>
  </w:num>
  <w:num w:numId="29" w16cid:durableId="469788212">
    <w:abstractNumId w:val="1"/>
  </w:num>
  <w:num w:numId="30" w16cid:durableId="1010177324">
    <w:abstractNumId w:val="0"/>
  </w:num>
  <w:num w:numId="31" w16cid:durableId="1396199860">
    <w:abstractNumId w:val="9"/>
  </w:num>
  <w:num w:numId="32" w16cid:durableId="1552031428">
    <w:abstractNumId w:val="7"/>
  </w:num>
  <w:num w:numId="33" w16cid:durableId="460267169">
    <w:abstractNumId w:val="6"/>
  </w:num>
  <w:num w:numId="34" w16cid:durableId="2052683849">
    <w:abstractNumId w:val="5"/>
  </w:num>
  <w:num w:numId="35" w16cid:durableId="626470809">
    <w:abstractNumId w:val="4"/>
  </w:num>
  <w:num w:numId="36" w16cid:durableId="425155079">
    <w:abstractNumId w:val="8"/>
  </w:num>
  <w:num w:numId="37" w16cid:durableId="811213580">
    <w:abstractNumId w:val="3"/>
  </w:num>
  <w:num w:numId="38" w16cid:durableId="932325638">
    <w:abstractNumId w:val="2"/>
  </w:num>
  <w:num w:numId="39" w16cid:durableId="1915507312">
    <w:abstractNumId w:val="1"/>
  </w:num>
  <w:num w:numId="40" w16cid:durableId="2073504079">
    <w:abstractNumId w:val="0"/>
  </w:num>
  <w:num w:numId="41" w16cid:durableId="1396470641">
    <w:abstractNumId w:val="10"/>
  </w:num>
  <w:num w:numId="42" w16cid:durableId="1859732242">
    <w:abstractNumId w:val="10"/>
  </w:num>
  <w:num w:numId="43" w16cid:durableId="1283263717">
    <w:abstractNumId w:val="10"/>
  </w:num>
  <w:num w:numId="44" w16cid:durableId="1029669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07/2025"/>
    <w:docVar w:name="dvlangue" w:val="HU"/>
    <w:docVar w:name="dvnumam" w:val="0"/>
    <w:docVar w:name="dvpe" w:val="775.588"/>
    <w:docVar w:name="dvrapporteur" w:val="Előadók: "/>
    <w:docVar w:name="dvtitre" w:val="Az Európai Parlament 2025.  ...-i állásfoglalása a géntechnológiával módosított DP51291 kukoricát tartalmazó, abból álló vagy abból előállított termékek forgalomba hozatalának az 1829/2003/EK európai parlamenti és tanácsi rendelet szerinti engedélyezéséről szóló bizottsági végrehajtási határozat tervezetéről(D108064/03 – 2025/2807(RSP))"/>
  </w:docVars>
  <w:rsids>
    <w:rsidRoot w:val="00484B3D"/>
    <w:rsid w:val="00002272"/>
    <w:rsid w:val="00064002"/>
    <w:rsid w:val="000677B9"/>
    <w:rsid w:val="000831BA"/>
    <w:rsid w:val="000A42CC"/>
    <w:rsid w:val="000A7290"/>
    <w:rsid w:val="000E7DD9"/>
    <w:rsid w:val="000F2871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67CF3"/>
    <w:rsid w:val="00395FA1"/>
    <w:rsid w:val="003D38B6"/>
    <w:rsid w:val="003E15D4"/>
    <w:rsid w:val="00411CCE"/>
    <w:rsid w:val="0041666E"/>
    <w:rsid w:val="00421060"/>
    <w:rsid w:val="00441431"/>
    <w:rsid w:val="0046443E"/>
    <w:rsid w:val="00471C19"/>
    <w:rsid w:val="00484B3D"/>
    <w:rsid w:val="004867E3"/>
    <w:rsid w:val="00494A28"/>
    <w:rsid w:val="004C0004"/>
    <w:rsid w:val="004C5D52"/>
    <w:rsid w:val="0050519A"/>
    <w:rsid w:val="005072A1"/>
    <w:rsid w:val="00514517"/>
    <w:rsid w:val="0053562E"/>
    <w:rsid w:val="00545827"/>
    <w:rsid w:val="00560270"/>
    <w:rsid w:val="005C2568"/>
    <w:rsid w:val="005D0622"/>
    <w:rsid w:val="005E6749"/>
    <w:rsid w:val="005F1B17"/>
    <w:rsid w:val="006037C0"/>
    <w:rsid w:val="006631B6"/>
    <w:rsid w:val="00680577"/>
    <w:rsid w:val="0068579F"/>
    <w:rsid w:val="006D5E7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5B00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50F2"/>
    <w:rsid w:val="00A1687D"/>
    <w:rsid w:val="00A43E52"/>
    <w:rsid w:val="00A4678D"/>
    <w:rsid w:val="00A6171A"/>
    <w:rsid w:val="00A778C7"/>
    <w:rsid w:val="00AB441E"/>
    <w:rsid w:val="00AB6293"/>
    <w:rsid w:val="00AD6EE6"/>
    <w:rsid w:val="00AE0928"/>
    <w:rsid w:val="00AF3B82"/>
    <w:rsid w:val="00B12E95"/>
    <w:rsid w:val="00B22876"/>
    <w:rsid w:val="00B558F0"/>
    <w:rsid w:val="00BD1932"/>
    <w:rsid w:val="00BD48FE"/>
    <w:rsid w:val="00BD7BD8"/>
    <w:rsid w:val="00BE6ADC"/>
    <w:rsid w:val="00C05BFE"/>
    <w:rsid w:val="00C23CD4"/>
    <w:rsid w:val="00C51A17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1F0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D6FD76"/>
  <w15:chartTrackingRefBased/>
  <w15:docId w15:val="{A5CC21A9-3ECD-40DB-B5F4-61945F202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51A17"/>
    <w:pPr>
      <w:spacing w:before="480" w:after="240"/>
    </w:pPr>
  </w:style>
  <w:style w:type="paragraph" w:customStyle="1" w:styleId="NormalHanging12a">
    <w:name w:val="NormalHanging12a"/>
    <w:basedOn w:val="Normal"/>
    <w:rsid w:val="00C51A17"/>
    <w:pPr>
      <w:spacing w:after="240"/>
      <w:ind w:left="567" w:hanging="567"/>
    </w:pPr>
  </w:style>
  <w:style w:type="paragraph" w:customStyle="1" w:styleId="NormalBold">
    <w:name w:val="NormalBold"/>
    <w:basedOn w:val="Normal"/>
    <w:rsid w:val="00C51A17"/>
    <w:rPr>
      <w:b/>
    </w:rPr>
  </w:style>
  <w:style w:type="character" w:styleId="Hyperlink">
    <w:name w:val="Hyperlink"/>
    <w:basedOn w:val="DefaultParagraphFont"/>
    <w:uiPriority w:val="99"/>
    <w:rsid w:val="00C51A17"/>
    <w:rPr>
      <w:color w:val="0563C1" w:themeColor="hyperlink"/>
      <w:u w:val="single"/>
    </w:rPr>
  </w:style>
  <w:style w:type="character" w:customStyle="1" w:styleId="Funotenzeichen">
    <w:name w:val="Fußnotenzeichen"/>
    <w:qFormat/>
    <w:rsid w:val="00C51A17"/>
    <w:rPr>
      <w:vertAlign w:val="superscript"/>
    </w:rPr>
  </w:style>
  <w:style w:type="paragraph" w:styleId="Revision">
    <w:name w:val="Revision"/>
    <w:hidden/>
    <w:uiPriority w:val="99"/>
    <w:semiHidden/>
    <w:rsid w:val="005D0622"/>
    <w:rPr>
      <w:sz w:val="24"/>
      <w:lang w:val="hu-HU"/>
    </w:rPr>
  </w:style>
  <w:style w:type="character" w:styleId="UnresolvedMention">
    <w:name w:val="Unresolved Mention"/>
    <w:basedOn w:val="DefaultParagraphFont"/>
    <w:uiPriority w:val="99"/>
    <w:semiHidden/>
    <w:unhideWhenUsed/>
    <w:rsid w:val="005D06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3" Type="http://schemas.openxmlformats.org/officeDocument/2006/relationships/hyperlink" Target="http://data.europa.eu/eli/C/2025/2246/oj" TargetMode="External"/><Relationship Id="rId18" Type="http://schemas.openxmlformats.org/officeDocument/2006/relationships/hyperlink" Target="https://doi.org/10.1371/journal.pone.0123011" TargetMode="External"/><Relationship Id="rId26" Type="http://schemas.openxmlformats.org/officeDocument/2006/relationships/hyperlink" Target="https://www.ohchr.org/en/documents/thematic-reports/ahrc3448-report-special-rapporteur-right-food" TargetMode="External"/><Relationship Id="rId3" Type="http://schemas.openxmlformats.org/officeDocument/2006/relationships/hyperlink" Target="http://data.europa.eu/eli/reg/2011/182/oj" TargetMode="External"/><Relationship Id="rId21" Type="http://schemas.openxmlformats.org/officeDocument/2006/relationships/hyperlink" Target="https://doi.org/10.1186/2190-4715-24-24" TargetMode="External"/><Relationship Id="rId7" Type="http://schemas.openxmlformats.org/officeDocument/2006/relationships/hyperlink" Target="http://data.europa.eu/eli/C/2025/1799/oj" TargetMode="External"/><Relationship Id="rId12" Type="http://schemas.openxmlformats.org/officeDocument/2006/relationships/hyperlink" Target="http://data.europa.eu/eli/C/2025/1804/oj" TargetMode="External"/><Relationship Id="rId17" Type="http://schemas.openxmlformats.org/officeDocument/2006/relationships/hyperlink" Target="http://data.europa.eu/eli/reg_impl/2013/503/oj" TargetMode="External"/><Relationship Id="rId25" Type="http://schemas.openxmlformats.org/officeDocument/2006/relationships/hyperlink" Target="https://agriculture.ec.europa.eu/document/download/171329ff-0f50-4fa5-946f-aea11032172e_en?filename=strategic-dialogue-report-2024_en.pdf" TargetMode="External"/><Relationship Id="rId33" Type="http://schemas.openxmlformats.org/officeDocument/2006/relationships/hyperlink" Target="https://tillymetz.lu/wp-content/uploads/2020/09/Co-signed-letter-MEP-Metz.pdf" TargetMode="External"/><Relationship Id="rId2" Type="http://schemas.openxmlformats.org/officeDocument/2006/relationships/hyperlink" Target="http://data.europa.eu/eli/reg/2003/1829/oj" TargetMode="External"/><Relationship Id="rId16" Type="http://schemas.openxmlformats.org/officeDocument/2006/relationships/hyperlink" Target="https://www.testbiotech.org/wp-content/uploads/2024/12/Testbiotech_comment_maize_DP51291.pdf" TargetMode="External"/><Relationship Id="rId20" Type="http://schemas.openxmlformats.org/officeDocument/2006/relationships/hyperlink" Target="https://www.ncbi.nlm.nih.gov/pubmed/26296738" TargetMode="External"/><Relationship Id="rId29" Type="http://schemas.openxmlformats.org/officeDocument/2006/relationships/hyperlink" Target="https://commission.europa.eu/document/2c64e540-c07a-4376-a1da-368d289f4afe_en" TargetMode="External"/><Relationship Id="rId1" Type="http://schemas.openxmlformats.org/officeDocument/2006/relationships/hyperlink" Target="http://data.europa.eu/eli/dec_impl/2025/1898/oj" TargetMode="External"/><Relationship Id="rId6" Type="http://schemas.openxmlformats.org/officeDocument/2006/relationships/hyperlink" Target="http://data.europa.eu/eli/C/2025/1798/oj" TargetMode="External"/><Relationship Id="rId11" Type="http://schemas.openxmlformats.org/officeDocument/2006/relationships/hyperlink" Target="http://data.europa.eu/eli/C/2025/1803/oj" TargetMode="External"/><Relationship Id="rId24" Type="http://schemas.openxmlformats.org/officeDocument/2006/relationships/hyperlink" Target="https://doi.org/10.1038/s41598-017-01478-w" TargetMode="External"/><Relationship Id="rId32" Type="http://schemas.openxmlformats.org/officeDocument/2006/relationships/hyperlink" Target="https://eur-lex.europa.eu/legal-content/HU/TXT/?uri=COM:2020:667:FIN" TargetMode="External"/><Relationship Id="rId5" Type="http://schemas.openxmlformats.org/officeDocument/2006/relationships/hyperlink" Target="http://data.europa.eu/eli/C/2025/1797/oj" TargetMode="External"/><Relationship Id="rId15" Type="http://schemas.openxmlformats.org/officeDocument/2006/relationships/hyperlink" Target="http://data.europa.eu/eli/reg/2009/1107/oj" TargetMode="External"/><Relationship Id="rId23" Type="http://schemas.openxmlformats.org/officeDocument/2006/relationships/hyperlink" Target="https://doi.org/10.1016/j.fct.2016.03.009" TargetMode="External"/><Relationship Id="rId28" Type="http://schemas.openxmlformats.org/officeDocument/2006/relationships/hyperlink" Target="https://ec.europa.eu/commission/presscorner/detail/hu/ip_22_7834" TargetMode="External"/><Relationship Id="rId10" Type="http://schemas.openxmlformats.org/officeDocument/2006/relationships/hyperlink" Target="http://data.europa.eu/eli/C/2025/1802/oj" TargetMode="External"/><Relationship Id="rId19" Type="http://schemas.openxmlformats.org/officeDocument/2006/relationships/hyperlink" Target="https://doi.org/10.1126/science.abe1148" TargetMode="External"/><Relationship Id="rId31" Type="http://schemas.openxmlformats.org/officeDocument/2006/relationships/hyperlink" Target="http://data.europa.eu/eli/reg/2002/178/oj" TargetMode="External"/><Relationship Id="rId4" Type="http://schemas.openxmlformats.org/officeDocument/2006/relationships/hyperlink" Target="https://doi.org/10.2903/j.efsa.2024.9059" TargetMode="External"/><Relationship Id="rId9" Type="http://schemas.openxmlformats.org/officeDocument/2006/relationships/hyperlink" Target="http://data.europa.eu/eli/C/2025/1801/oj" TargetMode="External"/><Relationship Id="rId14" Type="http://schemas.openxmlformats.org/officeDocument/2006/relationships/hyperlink" Target="http://data.europa.eu/eli/C/2025/2247/oj" TargetMode="External"/><Relationship Id="rId22" Type="http://schemas.openxmlformats.org/officeDocument/2006/relationships/hyperlink" Target="https://onlinelibrary.wiley.com/doi/full/10.1002/jat.3252" TargetMode="External"/><Relationship Id="rId27" Type="http://schemas.openxmlformats.org/officeDocument/2006/relationships/hyperlink" Target="https://www.un.org/sustainabledevelopment/health/" TargetMode="External"/><Relationship Id="rId30" Type="http://schemas.openxmlformats.org/officeDocument/2006/relationships/hyperlink" Target="https://food.ec.europa.eu/document/download/ee1a5aed-5303-4c32-bb59-813143a1df47_en?filename=sc_modif-genet_20250613_sum.pdf" TargetMode="External"/><Relationship Id="rId8" Type="http://schemas.openxmlformats.org/officeDocument/2006/relationships/hyperlink" Target="http://data.europa.eu/eli/C/2025/180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2091</Words>
  <Characters>15311</Characters>
  <Application>Microsoft Office Word</Application>
  <DocSecurity>0</DocSecurity>
  <Lines>612</Lines>
  <Paragraphs>252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KOVACS-BOKOR Karoly</cp:lastModifiedBy>
  <cp:revision>2</cp:revision>
  <cp:lastPrinted>2004-11-19T15:42:00Z</cp:lastPrinted>
  <dcterms:created xsi:type="dcterms:W3CDTF">2025-11-12T15:00:00Z</dcterms:created>
  <dcterms:modified xsi:type="dcterms:W3CDTF">2025-11-12T15:00:00Z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B10-0407/2025</vt:lpwstr>
  </property>
  <property fmtid="{D5CDD505-2E9C-101B-9397-08002B2CF9AE}" pid="4" name="&lt;Type&gt;">
    <vt:lpwstr>RR</vt:lpwstr>
  </property>
</Properties>
</file>