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3DFF" w14:paraId="2D6129DE" w14:textId="77777777" w:rsidTr="0010095E">
        <w:trPr>
          <w:trHeight w:hRule="exact" w:val="1418"/>
        </w:trPr>
        <w:tc>
          <w:tcPr>
            <w:tcW w:w="6804" w:type="dxa"/>
            <w:shd w:val="clear" w:color="auto" w:fill="auto"/>
            <w:vAlign w:val="center"/>
          </w:tcPr>
          <w:p w14:paraId="7356DB46" w14:textId="77777777" w:rsidR="00751A4A" w:rsidRPr="004B3DFF" w:rsidRDefault="002162EA" w:rsidP="0010095E">
            <w:pPr>
              <w:pStyle w:val="EPName"/>
            </w:pPr>
            <w:r w:rsidRPr="004B3DFF">
              <w:t>Europos Parlamentas</w:t>
            </w:r>
          </w:p>
          <w:p w14:paraId="6626F6C0" w14:textId="77777777" w:rsidR="00751A4A" w:rsidRPr="004B3DFF" w:rsidRDefault="005F1B17" w:rsidP="005F1B17">
            <w:pPr>
              <w:pStyle w:val="EPTerm"/>
              <w:rPr>
                <w:rStyle w:val="HideTWBExt"/>
                <w:noProof w:val="0"/>
                <w:vanish w:val="0"/>
                <w:color w:val="auto"/>
              </w:rPr>
            </w:pPr>
            <w:r w:rsidRPr="004B3DFF">
              <w:t>2024</w:t>
            </w:r>
            <w:r w:rsidR="00817416" w:rsidRPr="004B3DFF">
              <w:t>-202</w:t>
            </w:r>
            <w:r w:rsidRPr="004B3DFF">
              <w:t>9</w:t>
            </w:r>
          </w:p>
        </w:tc>
        <w:tc>
          <w:tcPr>
            <w:tcW w:w="2268" w:type="dxa"/>
            <w:shd w:val="clear" w:color="auto" w:fill="auto"/>
          </w:tcPr>
          <w:p w14:paraId="7FD51A5C" w14:textId="77777777" w:rsidR="00751A4A" w:rsidRPr="004B3DFF" w:rsidRDefault="00187494" w:rsidP="0010095E">
            <w:pPr>
              <w:pStyle w:val="EPLogo"/>
            </w:pPr>
            <w:r w:rsidRPr="004B3DFF">
              <w:rPr>
                <w:noProof/>
                <w:lang w:eastAsia="ja-JP"/>
              </w:rPr>
              <w:drawing>
                <wp:inline distT="0" distB="0" distL="0" distR="0" wp14:anchorId="5DA49DA6" wp14:editId="0F40D1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8FF99A" w14:textId="77777777" w:rsidR="00D058B8" w:rsidRPr="004B3DFF" w:rsidRDefault="00D058B8" w:rsidP="004C5D52">
      <w:pPr>
        <w:pStyle w:val="LineTop"/>
      </w:pPr>
    </w:p>
    <w:p w14:paraId="45673527" w14:textId="77777777" w:rsidR="00680577" w:rsidRPr="004B3DFF" w:rsidRDefault="002162EA" w:rsidP="00680577">
      <w:pPr>
        <w:pStyle w:val="EPBodyTA1"/>
      </w:pPr>
      <w:r w:rsidRPr="004B3DFF">
        <w:t>PRIIMTI TEKSTAI</w:t>
      </w:r>
    </w:p>
    <w:p w14:paraId="236EF974" w14:textId="77777777" w:rsidR="00D058B8" w:rsidRPr="004B3DFF" w:rsidRDefault="00D058B8" w:rsidP="00D058B8">
      <w:pPr>
        <w:pStyle w:val="LineBottom"/>
      </w:pPr>
    </w:p>
    <w:p w14:paraId="73649A46" w14:textId="233826A4" w:rsidR="002162EA" w:rsidRPr="004B3DFF" w:rsidRDefault="002162EA" w:rsidP="002162EA">
      <w:pPr>
        <w:pStyle w:val="ATHeading1"/>
      </w:pPr>
      <w:bookmarkStart w:id="0" w:name="TANumber"/>
      <w:r w:rsidRPr="004B3DFF">
        <w:t>P10_TA(2025)0</w:t>
      </w:r>
      <w:r w:rsidR="00964561">
        <w:t>222</w:t>
      </w:r>
      <w:bookmarkEnd w:id="0"/>
    </w:p>
    <w:p w14:paraId="757F660A" w14:textId="0E177C6B" w:rsidR="002162EA" w:rsidRPr="004B3DFF" w:rsidRDefault="00C7692D" w:rsidP="002162EA">
      <w:pPr>
        <w:pStyle w:val="ATHeading2"/>
      </w:pPr>
      <w:bookmarkStart w:id="1" w:name="title"/>
      <w:r>
        <w:t>G</w:t>
      </w:r>
      <w:r w:rsidR="002162EA" w:rsidRPr="004B3DFF">
        <w:t>enetiškai modifikuoti kukurūzai DP51291</w:t>
      </w:r>
      <w:bookmarkEnd w:id="1"/>
    </w:p>
    <w:p w14:paraId="337A7C27" w14:textId="77777777" w:rsidR="002162EA" w:rsidRPr="004B3DFF" w:rsidRDefault="002162EA" w:rsidP="002162EA">
      <w:pPr>
        <w:rPr>
          <w:i/>
          <w:vanish/>
        </w:rPr>
      </w:pPr>
      <w:r w:rsidRPr="004B3DFF">
        <w:rPr>
          <w:i/>
        </w:rPr>
        <w:fldChar w:fldCharType="begin"/>
      </w:r>
      <w:r w:rsidRPr="004B3DFF">
        <w:rPr>
          <w:i/>
        </w:rPr>
        <w:instrText xml:space="preserve"> TC"(</w:instrText>
      </w:r>
      <w:bookmarkStart w:id="2" w:name="DocNumber"/>
      <w:r w:rsidRPr="004B3DFF">
        <w:rPr>
          <w:i/>
        </w:rPr>
        <w:instrText>B10-0407/2025</w:instrText>
      </w:r>
      <w:bookmarkEnd w:id="2"/>
      <w:r w:rsidRPr="004B3DFF">
        <w:rPr>
          <w:i/>
        </w:rPr>
        <w:instrText xml:space="preserve">)"\l3 \n&gt; \* MERGEFORMAT </w:instrText>
      </w:r>
      <w:r w:rsidRPr="004B3DFF">
        <w:rPr>
          <w:i/>
        </w:rPr>
        <w:fldChar w:fldCharType="end"/>
      </w:r>
    </w:p>
    <w:p w14:paraId="7CF9BB02" w14:textId="77777777" w:rsidR="002162EA" w:rsidRPr="004B3DFF" w:rsidRDefault="002162EA" w:rsidP="002162EA">
      <w:pPr>
        <w:rPr>
          <w:vanish/>
        </w:rPr>
      </w:pPr>
      <w:bookmarkStart w:id="3" w:name="PE"/>
      <w:r w:rsidRPr="004B3DFF">
        <w:rPr>
          <w:vanish/>
        </w:rPr>
        <w:t>PE775.588</w:t>
      </w:r>
      <w:bookmarkEnd w:id="3"/>
    </w:p>
    <w:p w14:paraId="69AFAAF7" w14:textId="6634E543" w:rsidR="002162EA" w:rsidRPr="004B3DFF" w:rsidRDefault="002162EA" w:rsidP="0051419A">
      <w:pPr>
        <w:pStyle w:val="ATHeading3"/>
      </w:pPr>
      <w:bookmarkStart w:id="4" w:name="Sujet"/>
      <w:r w:rsidRPr="004B3DFF">
        <w:t xml:space="preserve">2025 m. spalio 8 d. Europos Parlamento rezoliucija dėl </w:t>
      </w:r>
      <w:r w:rsidR="00C7692D">
        <w:t xml:space="preserve">2025 m. rugsėjo 22 d. </w:t>
      </w:r>
      <w:r w:rsidRPr="004B3DFF">
        <w:t>Komisijos įgyvendinimo sprendimo</w:t>
      </w:r>
      <w:r w:rsidR="00C7692D">
        <w:t xml:space="preserve"> (ES) 2025/1898</w:t>
      </w:r>
      <w:r w:rsidRPr="004B3DFF">
        <w:t>, kuriuo pagal Europos Parlamento ir Tarybos reglamentą (EB) Nr. 1829/2003 leidžiama pateikti rinkai produktus, kurių sudėtyje yra genetiškai modifikuotų kukurūzų DP51291, kurie iš jų sudaryti arba kurie iš jų pagaminti</w:t>
      </w:r>
      <w:bookmarkEnd w:id="4"/>
      <w:r w:rsidRPr="004B3DFF">
        <w:t xml:space="preserve"> </w:t>
      </w:r>
      <w:bookmarkStart w:id="5" w:name="References"/>
      <w:r w:rsidRPr="004B3DFF">
        <w:t>(2025/2807(RSP))</w:t>
      </w:r>
      <w:bookmarkEnd w:id="5"/>
    </w:p>
    <w:p w14:paraId="4365F0CE" w14:textId="77777777" w:rsidR="00700B87" w:rsidRPr="004B3DFF" w:rsidRDefault="00700B87" w:rsidP="00700B87">
      <w:pPr>
        <w:pStyle w:val="EPComma"/>
        <w:jc w:val="both"/>
      </w:pPr>
      <w:bookmarkStart w:id="6" w:name="TextBodyBegin"/>
      <w:bookmarkEnd w:id="6"/>
      <w:r w:rsidRPr="004B3DFF">
        <w:rPr>
          <w:i/>
        </w:rPr>
        <w:t>Europos Parlamentas</w:t>
      </w:r>
      <w:r w:rsidRPr="004B3DFF">
        <w:t>,</w:t>
      </w:r>
    </w:p>
    <w:p w14:paraId="38D3F351" w14:textId="342FE039" w:rsidR="00700B87" w:rsidRPr="004B3DFF" w:rsidRDefault="00700B87" w:rsidP="00700B87">
      <w:pPr>
        <w:pStyle w:val="NormalHanging12a"/>
        <w:widowControl/>
        <w:rPr>
          <w:szCs w:val="24"/>
        </w:rPr>
      </w:pPr>
      <w:r w:rsidRPr="004B3DFF">
        <w:t>–</w:t>
      </w:r>
      <w:r w:rsidRPr="004B3DFF">
        <w:tab/>
        <w:t xml:space="preserve">atsižvelgdamas į </w:t>
      </w:r>
      <w:r w:rsidR="00C7692D" w:rsidRPr="00C7692D">
        <w:t xml:space="preserve">2025 m. rugsėjo 22 d. </w:t>
      </w:r>
      <w:r w:rsidRPr="004B3DFF">
        <w:t>Komisijos įgyvendinimo sprendim</w:t>
      </w:r>
      <w:r w:rsidR="009426C6">
        <w:t>ą</w:t>
      </w:r>
      <w:r w:rsidR="00C7692D">
        <w:t xml:space="preserve"> (ES) 2025/1898</w:t>
      </w:r>
      <w:r w:rsidR="00250EF9" w:rsidRPr="004B3DFF">
        <w:rPr>
          <w:rStyle w:val="FootnoteReference"/>
          <w:szCs w:val="24"/>
        </w:rPr>
        <w:footnoteReference w:id="1"/>
      </w:r>
      <w:r w:rsidRPr="004B3DFF">
        <w:t>, kuriuo pagal Europos Parlamento ir Tarybos reglamentą (EB) Nr. 1829/2003 leidžiama pateikti rinkai produktus, kurių sudėtyje yra genetiškai modifikuotų kukurūzų DP51291, kurie iš jų sudaryti arba kurie iš jų pagaminti,</w:t>
      </w:r>
    </w:p>
    <w:p w14:paraId="362A3428" w14:textId="77777777" w:rsidR="00700B87" w:rsidRPr="004B3DFF" w:rsidRDefault="00700B87" w:rsidP="00700B87">
      <w:pPr>
        <w:pStyle w:val="NormalHanging12a"/>
        <w:widowControl/>
        <w:rPr>
          <w:szCs w:val="24"/>
        </w:rPr>
      </w:pPr>
      <w:r w:rsidRPr="004B3DFF">
        <w:t>–</w:t>
      </w:r>
      <w:r w:rsidRPr="004B3DFF">
        <w:tab/>
        <w:t>atsižvelgdamas į 2003 m. rugsėjo 22 d. Europos Parlamento ir Tarybos reglamentą (EB) Nr. 1829/2003 dėl genetiškai modifikuoto maisto ir pašarų</w:t>
      </w:r>
      <w:r w:rsidRPr="004B3DFF">
        <w:rPr>
          <w:rStyle w:val="FootnoteReference"/>
          <w:szCs w:val="24"/>
        </w:rPr>
        <w:footnoteReference w:id="2"/>
      </w:r>
      <w:r w:rsidRPr="004B3DFF">
        <w:t>, ypač į jo 7 straipsnio 3 dalį ir 19 straipsnio 3 dalį,</w:t>
      </w:r>
    </w:p>
    <w:p w14:paraId="0C1FB22F" w14:textId="77777777" w:rsidR="00700B87" w:rsidRPr="004B3DFF" w:rsidRDefault="00700B87" w:rsidP="00700B87">
      <w:pPr>
        <w:pStyle w:val="NormalHanging12a"/>
        <w:widowControl/>
        <w:rPr>
          <w:szCs w:val="24"/>
        </w:rPr>
      </w:pPr>
      <w:r w:rsidRPr="004B3DFF">
        <w:t>–</w:t>
      </w:r>
      <w:r w:rsidRPr="004B3DFF">
        <w:tab/>
        <w:t>atsižvelgdamas į tai, kad Reglamento (EB) Nr. 1829/2003 35 straipsnyje nurodytas Augalų, gyvūnų, maisto ir pašarų nuolatinis komitetas per 2025 m. birželio 13 d. vykusį balsavim</w:t>
      </w:r>
      <w:r w:rsidRPr="004B3DFF">
        <w:rPr>
          <w:shd w:val="clear" w:color="auto" w:fill="FFFFFF"/>
        </w:rPr>
        <w:t xml:space="preserve">ą nusprendė nuomonės neteikti, ir į tai, kad apeliacinis komitetas 2025 m. liepos 15 d. balsavimu taip pat nusprendė </w:t>
      </w:r>
      <w:r w:rsidRPr="004B3DFF">
        <w:t>nuomonės neteikti,</w:t>
      </w:r>
    </w:p>
    <w:p w14:paraId="37036BC6" w14:textId="77777777" w:rsidR="00700B87" w:rsidRPr="004B3DFF" w:rsidRDefault="00700B87" w:rsidP="00700B87">
      <w:pPr>
        <w:pStyle w:val="NormalHanging12a"/>
        <w:widowControl/>
        <w:rPr>
          <w:szCs w:val="24"/>
        </w:rPr>
      </w:pPr>
      <w:r w:rsidRPr="004B3DFF">
        <w:t>–</w:t>
      </w:r>
      <w:r w:rsidRPr="004B3DFF">
        <w:tab/>
        <w:t>atsižvelgdamas į 2011 m. vasario 16 d. Europos Parlamento ir Tarybos reglamento (ES) Nr. 182/2011, kuriuo nustatomos valstybių narių vykdomos Komisijos naudojimosi įgyvendinimo įgaliojimais kontrolės mechanizmų taisyklės ir bendrieji principai, 11 straipsnį</w:t>
      </w:r>
      <w:r w:rsidRPr="004B3DFF">
        <w:rPr>
          <w:rStyle w:val="FootnoteReference"/>
          <w:szCs w:val="24"/>
        </w:rPr>
        <w:footnoteReference w:id="3"/>
      </w:r>
      <w:r w:rsidRPr="004B3DFF">
        <w:t>,</w:t>
      </w:r>
    </w:p>
    <w:p w14:paraId="194A5556" w14:textId="77777777" w:rsidR="00700B87" w:rsidRPr="004B3DFF" w:rsidRDefault="00700B87" w:rsidP="00700B87">
      <w:pPr>
        <w:pStyle w:val="NormalHanging12a"/>
        <w:widowControl/>
        <w:rPr>
          <w:szCs w:val="24"/>
        </w:rPr>
      </w:pPr>
      <w:r w:rsidRPr="004B3DFF">
        <w:t>–</w:t>
      </w:r>
      <w:r w:rsidRPr="004B3DFF">
        <w:tab/>
        <w:t>atsižvelgdamas į Europos maisto saugos tarnybos (EFSA) 2024 m. spalio 2 d. priimtą nuomonę, kuri paskelbta 2024 m. lapkričio 11 d.</w:t>
      </w:r>
      <w:r w:rsidRPr="004B3DFF">
        <w:rPr>
          <w:rStyle w:val="FootnoteReference"/>
          <w:szCs w:val="24"/>
        </w:rPr>
        <w:footnoteReference w:id="4"/>
      </w:r>
      <w:r w:rsidRPr="004B3DFF">
        <w:t>,</w:t>
      </w:r>
    </w:p>
    <w:p w14:paraId="53B885E1" w14:textId="77777777" w:rsidR="00700B87" w:rsidRPr="004B3DFF" w:rsidRDefault="00700B87" w:rsidP="00700B87">
      <w:pPr>
        <w:pStyle w:val="NormalHanging12a"/>
        <w:widowControl/>
        <w:rPr>
          <w:szCs w:val="24"/>
          <w:shd w:val="clear" w:color="auto" w:fill="FFFFFF"/>
        </w:rPr>
      </w:pPr>
      <w:r w:rsidRPr="004B3DFF">
        <w:lastRenderedPageBreak/>
        <w:t>–</w:t>
      </w:r>
      <w:r w:rsidRPr="004B3DFF">
        <w:tab/>
      </w:r>
      <w:r w:rsidRPr="004B3DFF">
        <w:rPr>
          <w:shd w:val="clear" w:color="auto" w:fill="FFFFFF"/>
        </w:rPr>
        <w:t>atsižvelgdamas į ankstesnes savo rezoliucijas, kuriomis prieštaraujama leidimui naudoti genetiškai modifikuotus organizmus (GMO)</w:t>
      </w:r>
      <w:r w:rsidRPr="004B3DFF">
        <w:rPr>
          <w:rStyle w:val="FootnoteReference"/>
          <w:szCs w:val="24"/>
          <w:shd w:val="clear" w:color="auto" w:fill="FFFFFF"/>
        </w:rPr>
        <w:footnoteReference w:id="5"/>
      </w:r>
      <w:r w:rsidRPr="004B3DFF">
        <w:rPr>
          <w:shd w:val="clear" w:color="auto" w:fill="FFFFFF"/>
        </w:rPr>
        <w:t>,</w:t>
      </w:r>
    </w:p>
    <w:p w14:paraId="68F4E712" w14:textId="25249A78" w:rsidR="00700B87" w:rsidRPr="004B3DFF" w:rsidRDefault="00700B87" w:rsidP="00700B87">
      <w:pPr>
        <w:pStyle w:val="NormalHanging12a"/>
        <w:widowControl/>
        <w:rPr>
          <w:szCs w:val="24"/>
        </w:rPr>
      </w:pPr>
      <w:r w:rsidRPr="004B3DFF">
        <w:lastRenderedPageBreak/>
        <w:t>–</w:t>
      </w:r>
      <w:r w:rsidRPr="004B3DFF">
        <w:tab/>
        <w:t>atsižvelgdamas į Darbo tvarkos taisyklių 115 straipsnio 2 ir 3 dalis,</w:t>
      </w:r>
    </w:p>
    <w:p w14:paraId="165191AE" w14:textId="77777777" w:rsidR="00700B87" w:rsidRPr="004B3DFF" w:rsidRDefault="00700B87" w:rsidP="00700B87">
      <w:pPr>
        <w:pStyle w:val="NormalHanging12a"/>
        <w:widowControl/>
        <w:rPr>
          <w:szCs w:val="24"/>
        </w:rPr>
      </w:pPr>
      <w:r w:rsidRPr="004B3DFF">
        <w:t>–</w:t>
      </w:r>
      <w:r w:rsidRPr="004B3DFF">
        <w:tab/>
        <w:t>atsižvelgdamas į Aplinkos, visuomenės sveikatos ir maisto saugos komiteto pasiūlymą dėl rezoliucijos,</w:t>
      </w:r>
    </w:p>
    <w:p w14:paraId="524E8884" w14:textId="77777777" w:rsidR="00700B87" w:rsidRPr="004B3DFF" w:rsidRDefault="00700B87" w:rsidP="00700B87">
      <w:pPr>
        <w:pStyle w:val="NormalHanging12a"/>
        <w:widowControl/>
        <w:rPr>
          <w:szCs w:val="24"/>
        </w:rPr>
      </w:pPr>
      <w:r w:rsidRPr="004B3DFF">
        <w:t>A.</w:t>
      </w:r>
      <w:r w:rsidRPr="004B3DFF">
        <w:tab/>
        <w:t>kadangi 2023 m. sausio 27 d. Belgijoje įsisteigusi bendrovė „Corteva Agriscience Belgium B.V.“ Jungtinėse Amerikos Valstijose įsisteigusios bendrovės „Corteva Agriscience LLC“ vardu Nyderlandų nacionalinei kompetentingai institucijai pateikė paraišką dėl maisto produktų, maisto sudedamųjų dalių ir pašarų, kurių sudėtyje yra genetiškai modifikuotų kukurūzų DP51291 (toliau – genetiškai modifikuoti kukurūzai), kurie iš jų sudaryti arba kurie iš jų pagaminti, pateikimo rinkai;</w:t>
      </w:r>
    </w:p>
    <w:p w14:paraId="29D814A9" w14:textId="77777777" w:rsidR="00700B87" w:rsidRPr="004B3DFF" w:rsidRDefault="00700B87" w:rsidP="00700B87">
      <w:pPr>
        <w:pStyle w:val="NormalHanging12a"/>
        <w:widowControl/>
        <w:rPr>
          <w:szCs w:val="24"/>
        </w:rPr>
      </w:pPr>
      <w:r w:rsidRPr="004B3DFF">
        <w:t>B.</w:t>
      </w:r>
      <w:r w:rsidRPr="004B3DFF">
        <w:tab/>
        <w:t>kadangi genetiškai modifikuoti kukurūzai gamina toksiną IPD072Aa, kuris veikia lapgraužius, fosfinotricino acetiltransferazės (PAT) baltymą, kuris užtikrina atsparumą gliufozinato turintiems herbicidams, ir PMI baltymą, kuris veikia kaip atrankos žymuo;</w:t>
      </w:r>
    </w:p>
    <w:p w14:paraId="619D4FAA" w14:textId="77777777" w:rsidR="00700B87" w:rsidRPr="004B3DFF" w:rsidRDefault="00700B87" w:rsidP="00700B87">
      <w:pPr>
        <w:pStyle w:val="NormalHanging12a"/>
        <w:widowControl/>
        <w:rPr>
          <w:szCs w:val="24"/>
        </w:rPr>
      </w:pPr>
      <w:r w:rsidRPr="004B3DFF">
        <w:t>C.</w:t>
      </w:r>
      <w:r w:rsidRPr="004B3DFF">
        <w:tab/>
        <w:t>kadangi gliufozinatas, kuris laikomas papildomu herbicidu, priskiriamas prie toksiškų reprodukcijai medžiagų (1B kategorija), atitinka Europos Parlamento ir Tarybos reglamente (EB) Nr. 1107/2009 nustatytus paraiškos atmetimo kriterijus</w:t>
      </w:r>
      <w:r w:rsidRPr="004B3DFF">
        <w:rPr>
          <w:rStyle w:val="FootnoteReference"/>
          <w:szCs w:val="24"/>
        </w:rPr>
        <w:footnoteReference w:id="6"/>
      </w:r>
      <w:r w:rsidRPr="004B3DFF">
        <w:t>; kadangi leidimas Sąjungoje naudoti gliufozinatą baigė galioti 2018 m. liepos 31 d.;</w:t>
      </w:r>
    </w:p>
    <w:p w14:paraId="6B061668" w14:textId="77777777" w:rsidR="00700B87" w:rsidRPr="004B3DFF" w:rsidRDefault="00700B87" w:rsidP="00700B87">
      <w:pPr>
        <w:pStyle w:val="NormalHanging12a"/>
        <w:widowControl/>
        <w:rPr>
          <w:szCs w:val="24"/>
        </w:rPr>
      </w:pPr>
      <w:r w:rsidRPr="004B3DFF">
        <w:t>D.</w:t>
      </w:r>
      <w:r w:rsidRPr="004B3DFF">
        <w:tab/>
        <w:t xml:space="preserve">kadangi IPD072Aa yra bakterijos </w:t>
      </w:r>
      <w:r w:rsidRPr="004B3DFF">
        <w:rPr>
          <w:i/>
        </w:rPr>
        <w:t>Pseudomonas chlororaphis</w:t>
      </w:r>
      <w:r w:rsidRPr="004B3DFF">
        <w:t xml:space="preserve"> gaminamas insekticidinis toksinas, sukurtas kovoti su lapgraužiu; </w:t>
      </w:r>
    </w:p>
    <w:p w14:paraId="639671F7" w14:textId="77777777" w:rsidR="00700B87" w:rsidRPr="004B3DFF" w:rsidRDefault="00700B87" w:rsidP="00700B87">
      <w:pPr>
        <w:pStyle w:val="NormalHanging12a"/>
        <w:widowControl/>
        <w:rPr>
          <w:b/>
          <w:i/>
          <w:iCs/>
          <w:szCs w:val="24"/>
        </w:rPr>
      </w:pPr>
      <w:r w:rsidRPr="004B3DFF">
        <w:rPr>
          <w:b/>
          <w:i/>
        </w:rPr>
        <w:t>Sudėtinga genų inžinerija</w:t>
      </w:r>
    </w:p>
    <w:p w14:paraId="1D9EF703" w14:textId="77777777" w:rsidR="00700B87" w:rsidRPr="004B3DFF" w:rsidRDefault="00700B87" w:rsidP="00700B87">
      <w:pPr>
        <w:pStyle w:val="NormalHanging12a"/>
        <w:widowControl/>
        <w:rPr>
          <w:szCs w:val="24"/>
        </w:rPr>
      </w:pPr>
      <w:r w:rsidRPr="004B3DFF">
        <w:t>E.</w:t>
      </w:r>
      <w:r w:rsidRPr="004B3DFF">
        <w:tab/>
        <w:t xml:space="preserve">kadangi kukurūzai DP51291 buvo sukurti vykdant sudėtingą, daugiapakopį genų inžinerijos procesą, kurio metu buvo sukurtas genominis įterpimo pagrindas ir bendrai bombarduojama mikrodalelėmis naudojant penkiais plazmides, o vėliau naudojant </w:t>
      </w:r>
      <w:r w:rsidRPr="004B3DFF">
        <w:rPr>
          <w:i/>
        </w:rPr>
        <w:t>agrobacterium tumefaciens</w:t>
      </w:r>
      <w:r w:rsidRPr="004B3DFF">
        <w:t xml:space="preserve"> į įterpimo pagrindą buvo įterptos ekspresijos kasetės;</w:t>
      </w:r>
    </w:p>
    <w:p w14:paraId="7676DF3D" w14:textId="77777777" w:rsidR="00700B87" w:rsidRPr="004B3DFF" w:rsidRDefault="00700B87" w:rsidP="00700B87">
      <w:pPr>
        <w:pStyle w:val="NormalHanging12a"/>
        <w:widowControl/>
        <w:rPr>
          <w:szCs w:val="24"/>
        </w:rPr>
      </w:pPr>
      <w:r w:rsidRPr="004B3DFF">
        <w:lastRenderedPageBreak/>
        <w:t>F.</w:t>
      </w:r>
      <w:r w:rsidRPr="004B3DFF">
        <w:tab/>
        <w:t xml:space="preserve">kadangi, kaip matyti iš bioinformacinės analizės, šio genetinio modifikavimo proceso metu buvo pašalinta 113 kukurūzų genomo DNR bazinių porų, ir tai lėmė keleto naujų atvirų skaitymo rėmelių (angl. </w:t>
      </w:r>
      <w:r w:rsidRPr="004B3DFF">
        <w:rPr>
          <w:i/>
        </w:rPr>
        <w:t>open reading frames</w:t>
      </w:r>
      <w:r w:rsidRPr="004B3DFF">
        <w:t>, ORF) susidarymą, o tai rodo galimus genomo sutrikimus, atsiradusius dėl transformavimo procedūros; penki iš šių ORF turėjo daugiau kaip 35 proc. sekos tapatumą su žinomais alergenais, taigi viršijo ribą, kuri paprastai naudojama alergeniškumo vertinimuose</w:t>
      </w:r>
      <w:r w:rsidRPr="004B3DFF">
        <w:rPr>
          <w:rStyle w:val="FootnoteReference"/>
          <w:szCs w:val="24"/>
        </w:rPr>
        <w:footnoteReference w:id="7"/>
      </w:r>
      <w:r w:rsidRPr="004B3DFF">
        <w:t xml:space="preserve">; </w:t>
      </w:r>
    </w:p>
    <w:p w14:paraId="495F2D5B" w14:textId="77777777" w:rsidR="00700B87" w:rsidRPr="004B3DFF" w:rsidRDefault="00700B87" w:rsidP="00700B87">
      <w:pPr>
        <w:pStyle w:val="NormalHanging12a"/>
        <w:widowControl/>
        <w:rPr>
          <w:b/>
          <w:i/>
          <w:iCs/>
          <w:szCs w:val="24"/>
        </w:rPr>
      </w:pPr>
      <w:r w:rsidRPr="004B3DFF">
        <w:rPr>
          <w:b/>
          <w:i/>
        </w:rPr>
        <w:t>Duomenų apie žemės ūkio praktiką ir aplinkos veiksnius trūkumas</w:t>
      </w:r>
    </w:p>
    <w:p w14:paraId="635BE22F" w14:textId="77777777" w:rsidR="00700B87" w:rsidRPr="004B3DFF" w:rsidRDefault="00700B87" w:rsidP="00700B87">
      <w:pPr>
        <w:pStyle w:val="NormalHanging12a"/>
        <w:widowControl/>
        <w:rPr>
          <w:szCs w:val="24"/>
        </w:rPr>
      </w:pPr>
      <w:r w:rsidRPr="004B3DFF">
        <w:t>G.</w:t>
      </w:r>
      <w:r w:rsidRPr="004B3DFF">
        <w:tab/>
        <w:t>kadangi Komisijos įgyvendinimo reglamente (ES) Nr. 503/2013</w:t>
      </w:r>
      <w:r w:rsidRPr="004B3DFF">
        <w:rPr>
          <w:rStyle w:val="FootnoteReference"/>
          <w:szCs w:val="24"/>
        </w:rPr>
        <w:footnoteReference w:id="8"/>
      </w:r>
      <w:r w:rsidRPr="004B3DFF">
        <w:t xml:space="preserve"> reikalaujama įvertinti, ar numatoma žemės ūkio praktika daro įtaką tiriamų taškų raiškai; kadangi, kaip nurodyta tame įgyvendinimo reglamente, tai ypač svarbu herbicidams atsparių augalų aspektu;</w:t>
      </w:r>
    </w:p>
    <w:p w14:paraId="57011504" w14:textId="2BB9ADB2" w:rsidR="00700B87" w:rsidRPr="004B3DFF" w:rsidRDefault="00700B87" w:rsidP="00700B87">
      <w:pPr>
        <w:pStyle w:val="NormalHanging12a"/>
        <w:widowControl/>
        <w:rPr>
          <w:szCs w:val="24"/>
        </w:rPr>
      </w:pPr>
      <w:r w:rsidRPr="004B3DFF">
        <w:t>H.</w:t>
      </w:r>
      <w:r w:rsidRPr="004B3DFF">
        <w:tab/>
        <w:t>kadangi stresą aplinkai keliantys veiksniai, tokie kaip sausra ar ekstremali temperatūra, gali sukelti netikėtus genų raiškos modelius naujai įterptose DNR sekose</w:t>
      </w:r>
      <w:r w:rsidRPr="004B3DFF">
        <w:rPr>
          <w:rStyle w:val="FootnoteReference"/>
          <w:szCs w:val="24"/>
        </w:rPr>
        <w:footnoteReference w:id="9"/>
      </w:r>
      <w:r w:rsidR="0051419A">
        <w:t>;</w:t>
      </w:r>
    </w:p>
    <w:p w14:paraId="5F902287" w14:textId="77777777" w:rsidR="00700B87" w:rsidRPr="004B3DFF" w:rsidRDefault="00700B87" w:rsidP="00700B87">
      <w:pPr>
        <w:pStyle w:val="NormalHanging12a"/>
        <w:widowControl/>
        <w:rPr>
          <w:szCs w:val="24"/>
        </w:rPr>
      </w:pPr>
      <w:r w:rsidRPr="004B3DFF">
        <w:t>I.</w:t>
      </w:r>
      <w:r w:rsidRPr="004B3DFF">
        <w:tab/>
        <w:t>kadangi lauko tyrimai, kuriais grindžiama genetiškai modifikuotų kukurūzų sudėties ir fenotipinė analizė, buvo atlikti per vieną augimo sezoną (2021 m.) Jungtinėse Amerikos Valstijose ir Kanadoje, esant oro sąlygoms, kurios deramai neatspindi kukurūzų auginimo regionų įvairovės, ypač tokiose šalyse kaip Brazilija;</w:t>
      </w:r>
    </w:p>
    <w:p w14:paraId="37897A59" w14:textId="77777777" w:rsidR="00700B87" w:rsidRPr="004B3DFF" w:rsidRDefault="00700B87" w:rsidP="00700B87">
      <w:pPr>
        <w:pStyle w:val="NormalHanging12a"/>
        <w:widowControl/>
        <w:rPr>
          <w:szCs w:val="24"/>
        </w:rPr>
      </w:pPr>
      <w:r w:rsidRPr="004B3DFF">
        <w:t>J.</w:t>
      </w:r>
      <w:r w:rsidRPr="004B3DFF">
        <w:tab/>
        <w:t>kadangi kai kuriose tyrimų vietovėse buvo pranešta apie ekstremalius meteorologinius reiškinius; kadangi nebuvo atlikti jokie konkretūs tyrimai, siekiant įvertinti būsimas sąlygas, kurioms turės įtakos vykstantys klimato pokyčiai;</w:t>
      </w:r>
    </w:p>
    <w:p w14:paraId="302771FD" w14:textId="77777777" w:rsidR="00700B87" w:rsidRPr="004B3DFF" w:rsidRDefault="00700B87" w:rsidP="00700B87">
      <w:pPr>
        <w:pStyle w:val="NormalHanging12a"/>
        <w:widowControl/>
        <w:rPr>
          <w:szCs w:val="24"/>
        </w:rPr>
      </w:pPr>
      <w:r w:rsidRPr="004B3DFF">
        <w:t>K.</w:t>
      </w:r>
      <w:r w:rsidRPr="004B3DFF">
        <w:tab/>
        <w:t>kadangi atliekant lauko tyrimus gliufozinatas buvo naudojamas tik kartą, vadovaujantis EFSA rekomenduojamomis dozėmis; kadangi realioje žemės ūkio praktikoje herbicidų naudojimo mastas ir dažnumas dažnai smarkiai skiriasi priklausomai nuo regiono ir gali būti didesnis arba kartotinis, ir tai reiškia, kad lauko tyrimų duomenys gali nepakankamai atspindėti visas aplinkos ir žemės ūkio sąlygas, kuriomis genetiškai modifikuoti kukurūzai gali būti auginami arba importuojami;</w:t>
      </w:r>
    </w:p>
    <w:p w14:paraId="744CBF96" w14:textId="77777777" w:rsidR="00700B87" w:rsidRPr="004B3DFF" w:rsidRDefault="00700B87" w:rsidP="00700B87">
      <w:pPr>
        <w:pStyle w:val="NormalHanging12a"/>
        <w:widowControl/>
        <w:rPr>
          <w:b/>
          <w:i/>
          <w:iCs/>
          <w:szCs w:val="24"/>
        </w:rPr>
      </w:pPr>
      <w:r w:rsidRPr="004B3DFF">
        <w:rPr>
          <w:b/>
          <w:i/>
        </w:rPr>
        <w:t xml:space="preserve">Gliufozinato vertinimo trūkumas </w:t>
      </w:r>
    </w:p>
    <w:p w14:paraId="3F5EE50A" w14:textId="77777777" w:rsidR="00700B87" w:rsidRPr="004B3DFF" w:rsidRDefault="00700B87" w:rsidP="00700B87">
      <w:pPr>
        <w:pStyle w:val="NormalHanging12a"/>
        <w:widowControl/>
        <w:rPr>
          <w:szCs w:val="24"/>
        </w:rPr>
      </w:pPr>
      <w:r w:rsidRPr="004B3DFF">
        <w:t>L.</w:t>
      </w:r>
      <w:r w:rsidRPr="004B3DFF">
        <w:tab/>
        <w:t>kadangi gliufozinatas siejamas su didele rizika biologinei įvairovei, toksiškumui ir ilgalaikei ekosistemų būklei;</w:t>
      </w:r>
    </w:p>
    <w:p w14:paraId="36857ABD" w14:textId="77777777" w:rsidR="00700B87" w:rsidRPr="004B3DFF" w:rsidRDefault="00700B87" w:rsidP="00700B87">
      <w:pPr>
        <w:pStyle w:val="NormalHanging12a"/>
        <w:widowControl/>
        <w:rPr>
          <w:szCs w:val="24"/>
        </w:rPr>
      </w:pPr>
      <w:r w:rsidRPr="004B3DFF">
        <w:t>M.</w:t>
      </w:r>
      <w:r w:rsidRPr="004B3DFF">
        <w:tab/>
        <w:t xml:space="preserve">kadangi didžioji dauguma genetiškai modifikuotų kultūrų buvo genetiškai modifikuotos taip, kad būtų atsparios vienam ar keliems papildomiems herbicidams, kuriuos galima naudoti auginant genetiškai modifikuotas kultūras, jų nesunaikinant, kaip būtų </w:t>
      </w:r>
      <w:r w:rsidRPr="004B3DFF">
        <w:lastRenderedPageBreak/>
        <w:t>herbicidams neatsparių pasėlių atveju; kadangi ne vienu tyrimu įrodyta, jog auginant herbicidams atsparias genetiškai modifikuotas kultūras dažniau naudojami papildomi herbicidai, labiausiai dėl to, kad atsirado herbicidams atsparių piktžolių</w:t>
      </w:r>
      <w:r w:rsidRPr="004B3DFF">
        <w:rPr>
          <w:rStyle w:val="FootnoteReference"/>
          <w:szCs w:val="24"/>
        </w:rPr>
        <w:footnoteReference w:id="10"/>
      </w:r>
      <w:r w:rsidRPr="004B3DFF">
        <w:t>;</w:t>
      </w:r>
    </w:p>
    <w:p w14:paraId="39C270CA" w14:textId="77777777" w:rsidR="00700B87" w:rsidRPr="004B3DFF" w:rsidRDefault="00700B87" w:rsidP="00700B87">
      <w:pPr>
        <w:pStyle w:val="NormalHanging12a"/>
        <w:widowControl/>
        <w:rPr>
          <w:szCs w:val="24"/>
        </w:rPr>
      </w:pPr>
      <w:r w:rsidRPr="004B3DFF">
        <w:t>N.</w:t>
      </w:r>
      <w:r w:rsidRPr="004B3DFF">
        <w:tab/>
        <w:t>kadangi herbicidams atsparias genetiškai modifikuotas kultūras auginantys ūkininkai įtraukiami į piktžolių valdymo sistemą, kuri labai arba visiškai priklauso nuo herbicidų, ir tai daroma taikant priemoką už genetiškai modifikuotas sėklas, kuri gali būti pateisinama tik tuo atveju, jei tokias sėklas perkantys ūkininkai purškia ir papildomą herbicidą; kadangi dėl padidėjusios priklausomybės nuo papildomų herbicidų ūkiuose, kuriuose sėjamos genetiškai modifikuotos kultūros, sparčiau atsiranda ir plinta tiems herbicidams atsparios piktžolės, todėl reikia naudoti dar daugiau herbicidų, ir taip susidaro užburtas ratas, kitaip vadinamas „įsuktu herbicidų ratu“;</w:t>
      </w:r>
    </w:p>
    <w:p w14:paraId="736DBDD6" w14:textId="77777777" w:rsidR="00700B87" w:rsidRPr="004B3DFF" w:rsidRDefault="00700B87" w:rsidP="00700B87">
      <w:pPr>
        <w:pStyle w:val="NormalHanging12a"/>
        <w:widowControl/>
        <w:rPr>
          <w:szCs w:val="24"/>
        </w:rPr>
      </w:pPr>
      <w:r w:rsidRPr="004B3DFF">
        <w:t>O.</w:t>
      </w:r>
      <w:r w:rsidRPr="004B3DFF">
        <w:tab/>
        <w:t>kadangi neigiamas poveikis, kurį lemia pernelyg didelė priklausomybė nuo herbicidų, pasireikš dirvožemio būklės, vandens kokybės ir virš žemės bei po žeme esančios biologinės įvairovės blogėjimu, taip pat turi įtakos žmonėms ir gyvūnams, be kita ko, dėl didesnių herbicidų liekanų maiste ir pašaruose;</w:t>
      </w:r>
    </w:p>
    <w:p w14:paraId="5418AD62" w14:textId="77777777" w:rsidR="00700B87" w:rsidRPr="004B3DFF" w:rsidRDefault="00700B87" w:rsidP="00700B87">
      <w:pPr>
        <w:pStyle w:val="NormalHanging12a"/>
        <w:widowControl/>
        <w:rPr>
          <w:szCs w:val="24"/>
        </w:rPr>
      </w:pPr>
      <w:r w:rsidRPr="004B3DFF">
        <w:t>P.</w:t>
      </w:r>
      <w:r w:rsidRPr="004B3DFF">
        <w:tab/>
        <w:t>kadangi laikoma, jog herbicidų liekanų ir metabolitų, randamų genetiškai modifikuotuose augaluose, vertinimas nėra EFSA genetiškai modifikuotų organizmų specialistų grupės (toliau – EFSA GMO specialistų grupė) kompetencijos sritis, todėl jis nėra atliekamas vykdant GMO autorizacijos procedūrą;</w:t>
      </w:r>
    </w:p>
    <w:p w14:paraId="51C05F25" w14:textId="77777777" w:rsidR="00700B87" w:rsidRPr="004B3DFF" w:rsidRDefault="00700B87" w:rsidP="00700B87">
      <w:pPr>
        <w:pStyle w:val="NormalHanging12a"/>
        <w:widowControl/>
        <w:rPr>
          <w:b/>
          <w:i/>
          <w:iCs/>
          <w:szCs w:val="24"/>
        </w:rPr>
      </w:pPr>
      <w:r w:rsidRPr="004B3DFF">
        <w:rPr>
          <w:b/>
          <w:i/>
        </w:rPr>
        <w:t>Neišspręsti klausimai, susiję su IPD072Aa toksinu</w:t>
      </w:r>
    </w:p>
    <w:p w14:paraId="5C0EE069" w14:textId="77777777" w:rsidR="00700B87" w:rsidRPr="004B3DFF" w:rsidRDefault="00700B87" w:rsidP="00700B87">
      <w:pPr>
        <w:pStyle w:val="NormalHanging12a"/>
        <w:widowControl/>
        <w:rPr>
          <w:szCs w:val="24"/>
        </w:rPr>
      </w:pPr>
      <w:r w:rsidRPr="004B3DFF">
        <w:t>Q.</w:t>
      </w:r>
      <w:r w:rsidRPr="004B3DFF">
        <w:tab/>
        <w:t>kadangi Įgyvendinimo reglamente (ES) Nr. 503/2013 reikalaujama atlikti toksikologinį vertinimą, siekiant įrodyti, kad numatomas genetinės modifikacijos poveikis neturi nepageidaujamo poveikio žmonių ir gyvūnų sveikatai;</w:t>
      </w:r>
    </w:p>
    <w:p w14:paraId="41C41168" w14:textId="77777777" w:rsidR="00700B87" w:rsidRPr="004B3DFF" w:rsidRDefault="00700B87" w:rsidP="00700B87">
      <w:pPr>
        <w:pStyle w:val="NormalHanging12a"/>
        <w:widowControl/>
        <w:rPr>
          <w:szCs w:val="24"/>
        </w:rPr>
      </w:pPr>
      <w:r w:rsidRPr="004B3DFF">
        <w:t>R.</w:t>
      </w:r>
      <w:r w:rsidRPr="004B3DFF">
        <w:tab/>
        <w:t xml:space="preserve">kadangi IPD072Aa yra naujas baltymas, jo naudojimas žemės ūkyje ir patekimas į maisto grandinę negali būti visiškai pagrįstas anksčiau įgyta patirtimi; </w:t>
      </w:r>
    </w:p>
    <w:p w14:paraId="19DCA6E3" w14:textId="77777777" w:rsidR="00700B87" w:rsidRPr="004B3DFF" w:rsidRDefault="00700B87" w:rsidP="00700B87">
      <w:pPr>
        <w:pStyle w:val="NormalHanging12a"/>
        <w:widowControl/>
        <w:rPr>
          <w:szCs w:val="24"/>
        </w:rPr>
      </w:pPr>
      <w:r w:rsidRPr="004B3DFF">
        <w:t>S.</w:t>
      </w:r>
      <w:r w:rsidRPr="004B3DFF">
        <w:tab/>
        <w:t>kadangi, nepaisant skirtumų, pastebėti IPD072Aa ir Bt toksinų panašumai rodo, kad rizikos vertinimo procesą reikia vykdyti atsargiai; kadangi keli tyrimai atskleidė, kad Bt toksinai gali sukelti šalutinių poveikių imuninei sistemai, įskaitant galimas adjuvantines savybes</w:t>
      </w:r>
      <w:r w:rsidRPr="004B3DFF">
        <w:rPr>
          <w:rStyle w:val="FootnoteReference"/>
          <w:szCs w:val="24"/>
        </w:rPr>
        <w:footnoteReference w:id="11"/>
      </w:r>
      <w:r w:rsidRPr="004B3DFF">
        <w:t>, t. y. dėl jų gali padidėti kitų baltymų, su kuriais šie baltymai sąveikauja, alergeniškumas;</w:t>
      </w:r>
    </w:p>
    <w:p w14:paraId="40FB1FB7" w14:textId="77777777" w:rsidR="00700B87" w:rsidRPr="004B3DFF" w:rsidRDefault="00700B87" w:rsidP="00700B87">
      <w:pPr>
        <w:pStyle w:val="NormalHanging12a"/>
        <w:widowControl/>
        <w:rPr>
          <w:szCs w:val="24"/>
        </w:rPr>
      </w:pPr>
      <w:r w:rsidRPr="004B3DFF">
        <w:lastRenderedPageBreak/>
        <w:t>T.</w:t>
      </w:r>
      <w:r w:rsidRPr="004B3DFF">
        <w:tab/>
        <w:t>kadangi atliekant mokslinį tyrimą nustatyta, kad Bt toksinų toksiškumas taip pat gali sustiprėti sąveikaujant su liekanomis, liekančiomis po purškimo herbicidais, ir kadangi reikia atlikti daugiau tyrimų dėl sukauptų įvykių (genetiškai modifikuotos kultūros, kurios buvo modifikuotos, kad būtų atsparios herbicidams ir gamintų insekticidus Bt toksinų pavidalu) kombinatorinio poveikio</w:t>
      </w:r>
      <w:r w:rsidRPr="004B3DFF">
        <w:rPr>
          <w:rStyle w:val="FootnoteReference"/>
          <w:szCs w:val="24"/>
        </w:rPr>
        <w:footnoteReference w:id="12"/>
      </w:r>
      <w:r w:rsidRPr="004B3DFF">
        <w:t>; kadangi vis dėlto laikoma, kad galimos herbicidų liekanų ir jų metabolitų sąveikos su Bt toksinais vertinimas nepatenka į EFSA GMO specialistų grupės kompetencijos sritį ir todėl nevykdomas atliekant rizikos vertinimą;</w:t>
      </w:r>
    </w:p>
    <w:p w14:paraId="7CFC93BB" w14:textId="77777777" w:rsidR="00700B87" w:rsidRPr="004B3DFF" w:rsidRDefault="00700B87" w:rsidP="00700B87">
      <w:pPr>
        <w:pStyle w:val="NormalHanging12a"/>
        <w:widowControl/>
        <w:rPr>
          <w:szCs w:val="24"/>
        </w:rPr>
      </w:pPr>
      <w:r w:rsidRPr="004B3DFF">
        <w:t>U.</w:t>
      </w:r>
      <w:r w:rsidRPr="004B3DFF">
        <w:tab/>
        <w:t>kadangi IPD072Aa toksiškumo vertinime neatsižvelgiama į galimą sinerginį ar kumuliacinį poveikį, atsirandantį sąveikaujant su augalų metabolitais ar herbicidų liekanomis;</w:t>
      </w:r>
    </w:p>
    <w:p w14:paraId="00BC6E7D" w14:textId="77777777" w:rsidR="00700B87" w:rsidRPr="004B3DFF" w:rsidRDefault="00700B87" w:rsidP="00700B87">
      <w:pPr>
        <w:pStyle w:val="NormalHanging12a"/>
        <w:widowControl/>
        <w:rPr>
          <w:szCs w:val="24"/>
        </w:rPr>
      </w:pPr>
      <w:r w:rsidRPr="004B3DFF">
        <w:t>V.</w:t>
      </w:r>
      <w:r w:rsidRPr="004B3DFF">
        <w:tab/>
        <w:t>nors nepateikta jokių duomenų apie IPD072Aa kaupimąsi maisto tinkle, jo paplitimą aplinkoje, ypač per nuotekas ir mėšlą į dirvožemį ir vandens ekosistemas, arba jo poveikį nekontroliuojamiems organizmams;</w:t>
      </w:r>
    </w:p>
    <w:p w14:paraId="57E76722" w14:textId="77777777" w:rsidR="00700B87" w:rsidRPr="004B3DFF" w:rsidRDefault="00700B87" w:rsidP="00700B87">
      <w:pPr>
        <w:pStyle w:val="NormalHanging12a"/>
        <w:widowControl/>
        <w:rPr>
          <w:szCs w:val="24"/>
        </w:rPr>
      </w:pPr>
      <w:r w:rsidRPr="004B3DFF">
        <w:t>W.</w:t>
      </w:r>
      <w:r w:rsidRPr="004B3DFF">
        <w:tab/>
        <w:t xml:space="preserve">kadangi dėl galimybės, kad genai bus pernešti į giminingus laukinius augalus, pvz., </w:t>
      </w:r>
      <w:r w:rsidRPr="004B3DFF">
        <w:rPr>
          <w:i/>
        </w:rPr>
        <w:t>Euchlaena mexicana</w:t>
      </w:r>
      <w:r w:rsidRPr="004B3DFF">
        <w:t>, kaip pranešta Ispanijoje ir Prancūzijoje, kyla susirūpinimas dėl transgeninio patvarumo aplinkoje ir galimų ekologinių padarinių</w:t>
      </w:r>
      <w:r w:rsidRPr="004B3DFF">
        <w:rPr>
          <w:rStyle w:val="FootnoteReference"/>
          <w:szCs w:val="24"/>
        </w:rPr>
        <w:footnoteReference w:id="13"/>
      </w:r>
      <w:r w:rsidRPr="004B3DFF">
        <w:t>;</w:t>
      </w:r>
    </w:p>
    <w:p w14:paraId="636C6642" w14:textId="77777777" w:rsidR="00700B87" w:rsidRPr="004B3DFF" w:rsidRDefault="00700B87" w:rsidP="00700B87">
      <w:pPr>
        <w:pStyle w:val="NormalHanging12a"/>
        <w:widowControl/>
        <w:rPr>
          <w:szCs w:val="24"/>
        </w:rPr>
      </w:pPr>
      <w:r w:rsidRPr="004B3DFF">
        <w:t>X.</w:t>
      </w:r>
      <w:r w:rsidRPr="004B3DFF">
        <w:tab/>
        <w:t>kadangi Įgyvendinimo reglamente (ES) Nr. 503/2013 nustatyti stebėsenos reikalavimai nėra pakankamai vykdomi, nes nėra atliekamas nepriklausomas bendrovės „Corteva Agriscience LLC“ pateiktų duomenų patikrinimas;</w:t>
      </w:r>
    </w:p>
    <w:p w14:paraId="509BCE4A" w14:textId="77777777" w:rsidR="00700B87" w:rsidRPr="004B3DFF" w:rsidRDefault="00700B87" w:rsidP="00700B87">
      <w:pPr>
        <w:pStyle w:val="NormalHanging12a"/>
        <w:widowControl/>
        <w:rPr>
          <w:b/>
          <w:i/>
          <w:iCs/>
          <w:szCs w:val="24"/>
        </w:rPr>
      </w:pPr>
      <w:r w:rsidRPr="004B3DFF">
        <w:rPr>
          <w:b/>
          <w:i/>
        </w:rPr>
        <w:t>Vienodų sąlygų pasauliniu mastu užtikrinimas ir Sąjungos tarptautinių įsipareigojimų laikymasis</w:t>
      </w:r>
    </w:p>
    <w:p w14:paraId="0445BE55" w14:textId="0D4947FB" w:rsidR="00700B87" w:rsidRPr="004B3DFF" w:rsidRDefault="00700B87" w:rsidP="00700B87">
      <w:pPr>
        <w:pStyle w:val="NormalHanging12a"/>
        <w:widowControl/>
        <w:rPr>
          <w:b/>
          <w:szCs w:val="24"/>
        </w:rPr>
      </w:pPr>
      <w:r w:rsidRPr="004B3DFF">
        <w:t>Y.</w:t>
      </w:r>
      <w:r w:rsidRPr="004B3DFF">
        <w:rPr>
          <w:b/>
        </w:rPr>
        <w:tab/>
      </w:r>
      <w:r w:rsidRPr="004B3DFF">
        <w:t xml:space="preserve">kadangi Sąjungoje neleidžiama auginti genetiškai modifikuotų kukurūzų; kadangi priėmus Komisijos </w:t>
      </w:r>
      <w:r w:rsidR="0051419A">
        <w:t xml:space="preserve">įgyvendinimo </w:t>
      </w:r>
      <w:r w:rsidRPr="004B3DFF">
        <w:t xml:space="preserve">sprendimą </w:t>
      </w:r>
      <w:r w:rsidR="0051419A">
        <w:t xml:space="preserve">(ES) 2025/1898 </w:t>
      </w:r>
      <w:r w:rsidRPr="004B3DFF">
        <w:t>būtų leidžiama į Sąjungą importuoti produktus, kurie neatitinka standartų, kurių laikosi Sąjungos ūkininkai, dėl to jie atsidurtų nepalankioje konkurencinėje padėtyje;</w:t>
      </w:r>
    </w:p>
    <w:p w14:paraId="02A3875E" w14:textId="77777777" w:rsidR="00700B87" w:rsidRPr="004B3DFF" w:rsidRDefault="00700B87" w:rsidP="00700B87">
      <w:pPr>
        <w:pStyle w:val="NormalHanging12a"/>
        <w:widowControl/>
        <w:rPr>
          <w:b/>
          <w:szCs w:val="24"/>
        </w:rPr>
      </w:pPr>
      <w:r w:rsidRPr="004B3DFF">
        <w:t>Z.</w:t>
      </w:r>
      <w:r w:rsidRPr="004B3DFF">
        <w:tab/>
        <w:t>kadangi strateginio dialogo dėl žemės ūkio ateities ES</w:t>
      </w:r>
      <w:r w:rsidRPr="004B3DFF">
        <w:rPr>
          <w:rStyle w:val="FootnoteReference"/>
          <w:szCs w:val="24"/>
        </w:rPr>
        <w:footnoteReference w:id="14"/>
      </w:r>
      <w:r w:rsidRPr="004B3DFF">
        <w:t xml:space="preserve"> išvadose Komisija raginama iš naujo įvertinti savo požiūrį dėl žemės ūkio maisto produktų patekimo į importo ir eksporto rinką, atsižvelgiant į iššūkius, susijusius su skirtingais Sąjungos ir jos prekybos partnerių standartais; kadangi sąžiningesni prekybos santykiai pasauliniu lygmeniu, derantys su sveikos aplinkos tikslais, buvo vienas iš pagrindinių ūkininkų reikalavimų per 2023 ir 2024 m. demonstracijas;</w:t>
      </w:r>
    </w:p>
    <w:p w14:paraId="568CD55F" w14:textId="77777777" w:rsidR="00700B87" w:rsidRPr="004B3DFF" w:rsidRDefault="00700B87" w:rsidP="00700B87">
      <w:pPr>
        <w:pStyle w:val="NormalHanging12a"/>
        <w:widowControl/>
        <w:rPr>
          <w:szCs w:val="24"/>
        </w:rPr>
      </w:pPr>
      <w:r w:rsidRPr="004B3DFF">
        <w:t>AA.</w:t>
      </w:r>
      <w:r w:rsidRPr="004B3DFF">
        <w:tab/>
        <w:t xml:space="preserve">kadangi Jungtinių Tautų specialiojo pranešėjo teisės į maistą klausimais 2017 metų ataskaitoje nustatyta, kad pavojingi pesticidai katastrofiškai veikia visų pirma </w:t>
      </w:r>
      <w:r w:rsidRPr="004B3DFF">
        <w:lastRenderedPageBreak/>
        <w:t>besivystančių šalių gyventojų sveikatą</w:t>
      </w:r>
      <w:r w:rsidRPr="004B3DFF">
        <w:rPr>
          <w:rStyle w:val="FootnoteReference"/>
          <w:szCs w:val="24"/>
        </w:rPr>
        <w:footnoteReference w:id="15"/>
      </w:r>
      <w:r w:rsidRPr="004B3DFF">
        <w:t>; kadangi Jungtinių Tautų darnaus vystymosi tikslas (JT DVT) Nr. 3.9 – iki 2030 m. iš esmės sumažinti mirčių ir ligų, kurias sukelia pavojingos cheminės medžiagos, oro, vandens ir dirvožemio tarša bei užterštumas, skaičių</w:t>
      </w:r>
      <w:r w:rsidRPr="004B3DFF">
        <w:rPr>
          <w:rStyle w:val="FootnoteReference"/>
          <w:szCs w:val="24"/>
        </w:rPr>
        <w:footnoteReference w:id="16"/>
      </w:r>
      <w:r w:rsidRPr="004B3DFF">
        <w:t>;</w:t>
      </w:r>
    </w:p>
    <w:p w14:paraId="73E28E81" w14:textId="77777777" w:rsidR="00700B87" w:rsidRPr="004B3DFF" w:rsidRDefault="00700B87" w:rsidP="00700B87">
      <w:pPr>
        <w:pStyle w:val="NormalHanging12a"/>
        <w:widowControl/>
        <w:rPr>
          <w:szCs w:val="24"/>
        </w:rPr>
      </w:pPr>
      <w:r w:rsidRPr="004B3DFF">
        <w:t>AB.</w:t>
      </w:r>
      <w:r w:rsidRPr="004B3DFF">
        <w:tab/>
        <w:t>kadangi Kunmingo ir Monrealio pasaulinės biologinės įvairovės strategijoje, dėl kurios susitarta 2022 m. gruodžio mėn. JT biologinės įvairovės konvencijos (JT BĮK) COP 15, įtrauktas pasaulinis tikslas iki 2030 m. bent 50 proc. sumažinti pesticidų keliamą riziką</w:t>
      </w:r>
      <w:r w:rsidRPr="004B3DFF">
        <w:rPr>
          <w:rStyle w:val="FootnoteReference"/>
          <w:szCs w:val="24"/>
        </w:rPr>
        <w:footnoteReference w:id="17"/>
      </w:r>
      <w:r w:rsidRPr="004B3DFF">
        <w:t>;</w:t>
      </w:r>
    </w:p>
    <w:p w14:paraId="5581D868" w14:textId="77777777" w:rsidR="00700B87" w:rsidRPr="004B3DFF" w:rsidRDefault="00700B87" w:rsidP="00700B87">
      <w:pPr>
        <w:pStyle w:val="NormalHanging12a"/>
        <w:widowControl/>
        <w:rPr>
          <w:szCs w:val="24"/>
        </w:rPr>
      </w:pPr>
      <w:r w:rsidRPr="004B3DFF">
        <w:t>AC.</w:t>
      </w:r>
      <w:r w:rsidRPr="004B3DFF">
        <w:tab/>
        <w:t>kadangi Reglamente (EB) Nr. 1829/2003 nustatyta, jog genetiškai modifikuotas maistas ir pašarai turi nekelti neigiamo poveikio žmonių ir gyvūnų sveikatai arba aplinkai, ir reikalaujama, kad Komisija, rengdama sprendimą, atsižvelgtų į visas atitinkamas Sąjungos teisės nuostatas ir kitus su svarstomu klausimu pagrįstai siejamus veiksnius; kadangi tokie pagrįsti veiksniai turėtų apimti Sąjungos įsipareigojimus pagal JT DVT ir JT BĮK;</w:t>
      </w:r>
    </w:p>
    <w:p w14:paraId="7157FD32" w14:textId="77777777" w:rsidR="00700B87" w:rsidRPr="004B3DFF" w:rsidRDefault="00700B87" w:rsidP="00700B87">
      <w:pPr>
        <w:pStyle w:val="NormalHanging12a"/>
        <w:widowControl/>
        <w:rPr>
          <w:b/>
          <w:i/>
          <w:iCs/>
          <w:szCs w:val="24"/>
        </w:rPr>
      </w:pPr>
      <w:r w:rsidRPr="004B3DFF">
        <w:rPr>
          <w:b/>
          <w:i/>
        </w:rPr>
        <w:t>Priklausomybės nuo importuojamų pašarų mažinimas</w:t>
      </w:r>
    </w:p>
    <w:p w14:paraId="57996B30" w14:textId="77777777" w:rsidR="00700B87" w:rsidRPr="004B3DFF" w:rsidRDefault="00700B87" w:rsidP="00700B87">
      <w:pPr>
        <w:pStyle w:val="NormalHanging12a"/>
        <w:widowControl/>
        <w:rPr>
          <w:szCs w:val="24"/>
        </w:rPr>
      </w:pPr>
      <w:r w:rsidRPr="004B3DFF">
        <w:t>AD.</w:t>
      </w:r>
      <w:r w:rsidRPr="004B3DFF">
        <w:tab/>
        <w:t>kadangi viena iš COVID-19 krizės ir tebesitęsiančio karo Ukrainoje pamokų yra tai, kad Sąjunga turi išsivaduoti iš priklausomybės nuo tam tikrų ypatingos svarbos medžiagų; kadangi paskirtajam Komisijos nariui Christophe Hansenui skirtame įgaliojamajame rašte Komisijos Pirmininkė Ursula von der Leyen prašė jo ieškoti būdų, kaip sumažinti ypatingos svarbos prekių importą</w:t>
      </w:r>
      <w:r w:rsidRPr="004B3DFF">
        <w:rPr>
          <w:rStyle w:val="FootnoteReference"/>
          <w:szCs w:val="24"/>
        </w:rPr>
        <w:footnoteReference w:id="18"/>
      </w:r>
      <w:r w:rsidRPr="004B3DFF">
        <w:t>;</w:t>
      </w:r>
    </w:p>
    <w:p w14:paraId="33B1EC60" w14:textId="77777777" w:rsidR="00700B87" w:rsidRPr="004B3DFF" w:rsidRDefault="00700B87" w:rsidP="00700B87">
      <w:pPr>
        <w:pStyle w:val="NormalHanging12a"/>
        <w:widowControl/>
        <w:rPr>
          <w:b/>
          <w:i/>
          <w:iCs/>
          <w:szCs w:val="24"/>
        </w:rPr>
      </w:pPr>
      <w:r w:rsidRPr="004B3DFF">
        <w:rPr>
          <w:b/>
          <w:i/>
        </w:rPr>
        <w:t>Nedemokratiškas sprendimų priėmimas</w:t>
      </w:r>
    </w:p>
    <w:p w14:paraId="4BC5F3D8" w14:textId="77777777" w:rsidR="00700B87" w:rsidRPr="004B3DFF" w:rsidRDefault="00700B87" w:rsidP="00700B87">
      <w:pPr>
        <w:pStyle w:val="NormalHanging12a"/>
        <w:widowControl/>
        <w:rPr>
          <w:szCs w:val="24"/>
        </w:rPr>
      </w:pPr>
      <w:r w:rsidRPr="004B3DFF">
        <w:t>AE.</w:t>
      </w:r>
      <w:r w:rsidRPr="004B3DFF">
        <w:tab/>
        <w:t>kadangi per savo aštuntąją kadenciją Parlamentas priėmė iš viso 36 rezoliucijas, kuriomis nepritarė tam, kad rinkai būtų teikiamas genetiškai modifikuotas maistas ir pašarai (33 rezoliucijos) ir kad Sąjungoje būtų leidžiama auginti GMO (trys rezoliucijos); kadangi per devintąją kadenciją Parlamentas priėmė 38 rezoliucijas, kuriomis nepritarė tam, kad rinkai būtų teikiami GMO, ir per dabartinę dešimtąją kadenciją jau priėmė 11 rezoliucijas, kuriomis prieštaraujama tam, kad rinkai būtų teikiami GMO;</w:t>
      </w:r>
    </w:p>
    <w:p w14:paraId="04287E90" w14:textId="77777777" w:rsidR="00700B87" w:rsidRPr="004B3DFF" w:rsidRDefault="00700B87" w:rsidP="00700B87">
      <w:pPr>
        <w:pStyle w:val="NormalHanging12a"/>
        <w:widowControl/>
        <w:rPr>
          <w:szCs w:val="24"/>
        </w:rPr>
      </w:pPr>
      <w:r w:rsidRPr="004B3DFF">
        <w:t>AF.</w:t>
      </w:r>
      <w:r w:rsidRPr="004B3DFF">
        <w:tab/>
        <w:t>kadangi, nepaisydama pačios pripažintų demokratijos trūkumų, to, kad valstybės narės nepalaiko GMO, ir Parlamento prieštaravimų, Komisija ir toliau suteikia leidimus GMO;</w:t>
      </w:r>
    </w:p>
    <w:p w14:paraId="208C0CAB" w14:textId="77777777" w:rsidR="00700B87" w:rsidRPr="004B3DFF" w:rsidRDefault="00700B87" w:rsidP="00700B87">
      <w:pPr>
        <w:pStyle w:val="NormalHanging12a"/>
        <w:widowControl/>
        <w:rPr>
          <w:szCs w:val="24"/>
        </w:rPr>
      </w:pPr>
      <w:r w:rsidRPr="004B3DFF">
        <w:t>AG.</w:t>
      </w:r>
      <w:r w:rsidRPr="004B3DFF">
        <w:tab/>
        <w:t>kadangi nereikia teisės aktų pakeitimų, kad Komisija galėtų nesuteikti leidimų GMO, kai apeliaciniame komitete nesama patvirtinimo kvalifikuota valstybių narių balsų dauguma</w:t>
      </w:r>
      <w:r w:rsidRPr="004B3DFF">
        <w:rPr>
          <w:rStyle w:val="FootnoteReference"/>
          <w:szCs w:val="24"/>
        </w:rPr>
        <w:footnoteReference w:id="19"/>
      </w:r>
      <w:r w:rsidRPr="004B3DFF">
        <w:t>;</w:t>
      </w:r>
    </w:p>
    <w:p w14:paraId="37CEB1FF" w14:textId="77777777" w:rsidR="00700B87" w:rsidRPr="004B3DFF" w:rsidRDefault="00700B87" w:rsidP="00700B87">
      <w:pPr>
        <w:pStyle w:val="NormalHanging12a"/>
        <w:widowControl/>
        <w:rPr>
          <w:szCs w:val="24"/>
        </w:rPr>
      </w:pPr>
      <w:r w:rsidRPr="004B3DFF">
        <w:t>AH.</w:t>
      </w:r>
      <w:r w:rsidRPr="004B3DFF">
        <w:tab/>
        <w:t xml:space="preserve">kadangi Reglamento (EB) Nr. 1829/2003 35 straipsnyje nurodytas Augalų, gyvūnų, maisto ir pašarų nuolatinis komitetas per 2025 m. birželio 13 d. vykusį balsavimą </w:t>
      </w:r>
      <w:r w:rsidRPr="004B3DFF">
        <w:lastRenderedPageBreak/>
        <w:t>nepateikė nuomonės, o tai reiškia, kad leidimas kvalifikuota valstybių narių balsų dauguma patvirtintas nebuvo</w:t>
      </w:r>
      <w:r w:rsidRPr="004B3DFF">
        <w:rPr>
          <w:rStyle w:val="FootnoteReference"/>
          <w:szCs w:val="24"/>
        </w:rPr>
        <w:footnoteReference w:id="20"/>
      </w:r>
      <w:r w:rsidRPr="004B3DFF">
        <w:t xml:space="preserve">; </w:t>
      </w:r>
      <w:r w:rsidRPr="004B3DFF">
        <w:rPr>
          <w:shd w:val="clear" w:color="auto" w:fill="FFFFFF"/>
        </w:rPr>
        <w:t>kadangi apeliacinis komitetas per 2025 m. liepos 15 d. vykusį balsavimą taip pat nusprendė nuomonės neteikti;</w:t>
      </w:r>
    </w:p>
    <w:p w14:paraId="0F8F4E1E" w14:textId="4F5B1225" w:rsidR="00700B87" w:rsidRPr="004B3DFF" w:rsidRDefault="00700B87" w:rsidP="00700B87">
      <w:pPr>
        <w:pStyle w:val="NormalBold"/>
        <w:widowControl/>
        <w:spacing w:after="240"/>
        <w:ind w:left="567" w:hanging="567"/>
        <w:rPr>
          <w:b w:val="0"/>
          <w:szCs w:val="24"/>
        </w:rPr>
      </w:pPr>
      <w:r w:rsidRPr="004B3DFF">
        <w:rPr>
          <w:b w:val="0"/>
        </w:rPr>
        <w:t>1.</w:t>
      </w:r>
      <w:r w:rsidRPr="004B3DFF">
        <w:rPr>
          <w:b w:val="0"/>
        </w:rPr>
        <w:tab/>
        <w:t xml:space="preserve">mano, kad Komisijos įgyvendinimo </w:t>
      </w:r>
      <w:r w:rsidR="0051419A" w:rsidRPr="0051419A">
        <w:rPr>
          <w:b w:val="0"/>
        </w:rPr>
        <w:t>sprendim</w:t>
      </w:r>
      <w:r w:rsidR="0051419A">
        <w:rPr>
          <w:b w:val="0"/>
        </w:rPr>
        <w:t>as</w:t>
      </w:r>
      <w:r w:rsidR="0051419A" w:rsidRPr="0051419A">
        <w:rPr>
          <w:b w:val="0"/>
        </w:rPr>
        <w:t xml:space="preserve"> (ES) 2025/1898 </w:t>
      </w:r>
      <w:r w:rsidRPr="004B3DFF">
        <w:rPr>
          <w:b w:val="0"/>
        </w:rPr>
        <w:t>viršija Reglamente (EB) Nr. 1829/2003 numatytus įgyvendinimo įgaliojimus;</w:t>
      </w:r>
    </w:p>
    <w:p w14:paraId="07B49D82" w14:textId="73D3E47D" w:rsidR="00700B87" w:rsidRPr="004B3DFF" w:rsidRDefault="00700B87" w:rsidP="00700B87">
      <w:pPr>
        <w:pStyle w:val="NormalBold"/>
        <w:widowControl/>
        <w:spacing w:after="240"/>
        <w:ind w:left="567" w:hanging="567"/>
        <w:rPr>
          <w:b w:val="0"/>
          <w:szCs w:val="24"/>
        </w:rPr>
      </w:pPr>
      <w:r w:rsidRPr="004B3DFF">
        <w:rPr>
          <w:b w:val="0"/>
        </w:rPr>
        <w:t>2.</w:t>
      </w:r>
      <w:r w:rsidRPr="004B3DFF">
        <w:rPr>
          <w:b w:val="0"/>
        </w:rPr>
        <w:tab/>
        <w:t xml:space="preserve">mano, kad Komisijos įgyvendinimo </w:t>
      </w:r>
      <w:r w:rsidR="0051419A" w:rsidRPr="0051419A">
        <w:rPr>
          <w:b w:val="0"/>
        </w:rPr>
        <w:t xml:space="preserve">sprendimas (ES) 2025/1898 </w:t>
      </w:r>
      <w:r w:rsidRPr="004B3DFF">
        <w:rPr>
          <w:b w:val="0"/>
        </w:rPr>
        <w:t>neatitinka Sąjungos teisės, nes jis nesuderinamas su Reglamento (EB) Nr. 1829/2003 tikslu, pagal kurį, remiantis Europos Parlamento ir Tarybos reglamentu (EB) Nr. 178/2002</w:t>
      </w:r>
      <w:r w:rsidRPr="004B3DFF">
        <w:rPr>
          <w:rStyle w:val="FootnoteReference"/>
          <w:b w:val="0"/>
          <w:szCs w:val="24"/>
        </w:rPr>
        <w:footnoteReference w:id="21"/>
      </w:r>
      <w:r w:rsidRPr="004B3DFF">
        <w:rPr>
          <w:b w:val="0"/>
        </w:rPr>
        <w:t xml:space="preserve"> nustatytais bendraisiais principais,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w:t>
      </w:r>
    </w:p>
    <w:p w14:paraId="370B3814" w14:textId="2600044D" w:rsidR="00700B87" w:rsidRPr="004B3DFF" w:rsidRDefault="00700B87" w:rsidP="00700B87">
      <w:pPr>
        <w:pStyle w:val="NormalBold"/>
        <w:widowControl/>
        <w:spacing w:after="240"/>
        <w:ind w:left="567" w:hanging="567"/>
        <w:rPr>
          <w:b w:val="0"/>
          <w:szCs w:val="24"/>
        </w:rPr>
      </w:pPr>
      <w:r w:rsidRPr="004B3DFF">
        <w:rPr>
          <w:b w:val="0"/>
        </w:rPr>
        <w:t>3.</w:t>
      </w:r>
      <w:r w:rsidRPr="004B3DFF">
        <w:rPr>
          <w:b w:val="0"/>
        </w:rPr>
        <w:tab/>
        <w:t xml:space="preserve">prašo Komisijos </w:t>
      </w:r>
      <w:r w:rsidR="00FC4228" w:rsidRPr="00FC4228">
        <w:rPr>
          <w:b w:val="0"/>
        </w:rPr>
        <w:t xml:space="preserve">panaikinti </w:t>
      </w:r>
      <w:r w:rsidR="002657C0" w:rsidRPr="004B3DFF">
        <w:rPr>
          <w:b w:val="0"/>
        </w:rPr>
        <w:t xml:space="preserve">Įgyvendinimo </w:t>
      </w:r>
      <w:r w:rsidR="00FC4228" w:rsidRPr="00FC4228">
        <w:rPr>
          <w:b w:val="0"/>
        </w:rPr>
        <w:t>sprendimą</w:t>
      </w:r>
      <w:r w:rsidR="00FC4228">
        <w:rPr>
          <w:b w:val="0"/>
        </w:rPr>
        <w:t xml:space="preserve"> (ES) 2025/1898</w:t>
      </w:r>
      <w:r w:rsidRPr="004B3DFF">
        <w:rPr>
          <w:b w:val="0"/>
        </w:rPr>
        <w:t xml:space="preserve"> ir pateikti komitetui naują projektą;</w:t>
      </w:r>
    </w:p>
    <w:p w14:paraId="4473256A" w14:textId="77777777" w:rsidR="00700B87" w:rsidRPr="004B3DFF" w:rsidRDefault="00700B87" w:rsidP="00700B87">
      <w:pPr>
        <w:pStyle w:val="NormalBold"/>
        <w:widowControl/>
        <w:spacing w:after="240"/>
        <w:ind w:left="567" w:hanging="567"/>
        <w:rPr>
          <w:b w:val="0"/>
          <w:szCs w:val="24"/>
        </w:rPr>
      </w:pPr>
      <w:r w:rsidRPr="004B3DFF">
        <w:rPr>
          <w:b w:val="0"/>
        </w:rPr>
        <w:t>4.</w:t>
      </w:r>
      <w:r w:rsidRPr="004B3DFF">
        <w:rPr>
          <w:b w:val="0"/>
        </w:rPr>
        <w:tab/>
        <w:t>ragina Komisiją derybose dėl laisvosios prekybos susitarimų užtikrinti Sąjungos ir jos partnerių standartų konvergenciją, kad būtų laikomasi Sąjungos saugos standartų;</w:t>
      </w:r>
    </w:p>
    <w:p w14:paraId="106F3EA9" w14:textId="77777777" w:rsidR="00700B87" w:rsidRPr="004B3DFF" w:rsidRDefault="00700B87" w:rsidP="00700B87">
      <w:pPr>
        <w:pStyle w:val="NormalBold"/>
        <w:widowControl/>
        <w:spacing w:after="240"/>
        <w:ind w:left="567" w:hanging="567"/>
        <w:rPr>
          <w:b w:val="0"/>
          <w:szCs w:val="24"/>
        </w:rPr>
      </w:pPr>
      <w:r w:rsidRPr="004B3DFF">
        <w:rPr>
          <w:b w:val="0"/>
        </w:rPr>
        <w:t>5.</w:t>
      </w:r>
      <w:r w:rsidRPr="004B3DFF">
        <w:rPr>
          <w:b w:val="0"/>
        </w:rPr>
        <w:tab/>
        <w:t>ragina Komisiją, vadovaujantis bendros sveikatos koncepcija, nesuteikti leidimo genetiškai modifikuotiems kukurūzams dėl didesnės rizikos biologinei įvairovei, maisto saugai ir darbuotojų sveikatai;</w:t>
      </w:r>
    </w:p>
    <w:p w14:paraId="16C38322" w14:textId="77777777" w:rsidR="00700B87" w:rsidRPr="004B3DFF" w:rsidRDefault="00700B87" w:rsidP="00700B87">
      <w:pPr>
        <w:pStyle w:val="NormalBold"/>
        <w:widowControl/>
        <w:spacing w:after="240"/>
        <w:ind w:left="567" w:hanging="567"/>
        <w:rPr>
          <w:b w:val="0"/>
          <w:szCs w:val="24"/>
        </w:rPr>
      </w:pPr>
      <w:r w:rsidRPr="004B3DFF">
        <w:rPr>
          <w:b w:val="0"/>
        </w:rPr>
        <w:t>6.</w:t>
      </w:r>
      <w:r w:rsidRPr="004B3DFF">
        <w:rPr>
          <w:b w:val="0"/>
        </w:rPr>
        <w:tab/>
        <w:t>tikisi, kad Komisija skubiai įgyvendins savo įsipareigojimą</w:t>
      </w:r>
      <w:r w:rsidRPr="004B3DFF">
        <w:rPr>
          <w:rStyle w:val="FootnoteReference"/>
          <w:b w:val="0"/>
          <w:szCs w:val="24"/>
        </w:rPr>
        <w:footnoteReference w:id="22"/>
      </w:r>
      <w:r w:rsidRPr="004B3DFF">
        <w:rPr>
          <w:b w:val="0"/>
        </w:rPr>
        <w:t xml:space="preserve"> pateikti pasiūlymą, kuriuo būtų užtikrinta, kad Sąjungoje uždraustos pavojingos cheminės medžiagos nebūtų gaminamos eksportui;</w:t>
      </w:r>
    </w:p>
    <w:p w14:paraId="658A697E" w14:textId="77777777" w:rsidR="00700B87" w:rsidRPr="004B3DFF" w:rsidRDefault="00700B87" w:rsidP="00700B87">
      <w:pPr>
        <w:pStyle w:val="NormalBold"/>
        <w:widowControl/>
        <w:spacing w:after="240"/>
        <w:ind w:left="567" w:hanging="567"/>
        <w:rPr>
          <w:b w:val="0"/>
          <w:szCs w:val="24"/>
        </w:rPr>
      </w:pPr>
      <w:r w:rsidRPr="004B3DFF">
        <w:rPr>
          <w:b w:val="0"/>
        </w:rPr>
        <w:t>7.</w:t>
      </w:r>
      <w:r w:rsidRPr="004B3DFF">
        <w:rPr>
          <w:b w:val="0"/>
        </w:rPr>
        <w:tab/>
        <w:t>palankiai vertina tai, kad Komisija 2020 m. rugsėjo 11 d. laiške EP nariams pagaliau pripažino, kad priimant sprendimus dėl GMO leidimų reikia atsižvelgti į tvarumą</w:t>
      </w:r>
      <w:r w:rsidRPr="004B3DFF">
        <w:rPr>
          <w:rStyle w:val="FootnoteReference"/>
          <w:b w:val="0"/>
          <w:szCs w:val="24"/>
        </w:rPr>
        <w:footnoteReference w:id="23"/>
      </w:r>
      <w:r w:rsidRPr="004B3DFF">
        <w:rPr>
          <w:b w:val="0"/>
        </w:rPr>
        <w:t>; vis dėlto reiškia didelį nusivylimą, kad nuo to laiko Komisija ir toliau suteikia leidimus į Sąjungą importuoti GMO, nepaisydama nuolatinių Parlamento prieštaravimų ir to, kad dauguma valstybių narių balsuoja prieš;</w:t>
      </w:r>
    </w:p>
    <w:p w14:paraId="09FE052E" w14:textId="77777777" w:rsidR="00700B87" w:rsidRPr="004B3DFF" w:rsidRDefault="00700B87" w:rsidP="00700B87">
      <w:pPr>
        <w:pStyle w:val="NormalBold"/>
        <w:widowControl/>
        <w:spacing w:after="240"/>
        <w:ind w:left="567" w:hanging="567"/>
        <w:rPr>
          <w:b w:val="0"/>
          <w:szCs w:val="24"/>
        </w:rPr>
      </w:pPr>
      <w:r w:rsidRPr="004B3DFF">
        <w:rPr>
          <w:b w:val="0"/>
        </w:rPr>
        <w:t>8.</w:t>
      </w:r>
      <w:r w:rsidRPr="004B3DFF">
        <w:rPr>
          <w:b w:val="0"/>
        </w:rPr>
        <w:tab/>
        <w:t xml:space="preserve">dar kartą primygtinai ragina Komisiją atsižvelgti į Sąjungos įsipareigojimus pagal tarptautinius susitarimus, kaip antai Paryžiaus klimato susitarimą ir JT BĮK bei JT DVT; pakartoja savo raginimą prie įgyvendinimo aktų projektų pridėti aiškinamąjį </w:t>
      </w:r>
      <w:r w:rsidRPr="004B3DFF">
        <w:rPr>
          <w:b w:val="0"/>
        </w:rPr>
        <w:lastRenderedPageBreak/>
        <w:t>memorandumą, kuriame būtų paaiškinta, kaip tuose aktuose laikomasi žalos nedarymo principo</w:t>
      </w:r>
      <w:r w:rsidRPr="004B3DFF">
        <w:rPr>
          <w:rStyle w:val="FootnoteReference"/>
          <w:b w:val="0"/>
          <w:szCs w:val="24"/>
        </w:rPr>
        <w:footnoteReference w:id="24"/>
      </w:r>
      <w:r w:rsidRPr="004B3DFF">
        <w:rPr>
          <w:b w:val="0"/>
        </w:rPr>
        <w:t>;</w:t>
      </w:r>
    </w:p>
    <w:p w14:paraId="6856695A" w14:textId="69B1CA8C" w:rsidR="00E365E1" w:rsidRPr="004B3DFF" w:rsidRDefault="00700B87" w:rsidP="00AB2CA9">
      <w:pPr>
        <w:pStyle w:val="NormalBold"/>
        <w:widowControl/>
        <w:spacing w:after="240"/>
        <w:ind w:left="567" w:hanging="567"/>
      </w:pPr>
      <w:r w:rsidRPr="004B3DFF">
        <w:rPr>
          <w:b w:val="0"/>
        </w:rPr>
        <w:t>9.</w:t>
      </w:r>
      <w:r w:rsidRPr="004B3DFF">
        <w:rPr>
          <w:b w:val="0"/>
        </w:rPr>
        <w:tab/>
        <w:t>paveda Pirmininkei perduoti šią rezoliuciją Tarybai ir Komisijai bei valstybių narių vyriausybėms ir parlamentams.</w:t>
      </w:r>
    </w:p>
    <w:sectPr w:rsidR="00E365E1" w:rsidRPr="004B3DFF" w:rsidSect="004B3DF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BEDA1" w14:textId="77777777" w:rsidR="002162EA" w:rsidRPr="004B3DFF" w:rsidRDefault="002162EA">
      <w:r w:rsidRPr="004B3DFF">
        <w:separator/>
      </w:r>
    </w:p>
  </w:endnote>
  <w:endnote w:type="continuationSeparator" w:id="0">
    <w:p w14:paraId="4FC94A34" w14:textId="77777777" w:rsidR="002162EA" w:rsidRPr="004B3DFF" w:rsidRDefault="002162EA">
      <w:r w:rsidRPr="004B3D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A6F7A" w14:textId="77777777" w:rsidR="002162EA" w:rsidRPr="004B3DFF" w:rsidRDefault="002162EA">
      <w:r w:rsidRPr="004B3DFF">
        <w:separator/>
      </w:r>
    </w:p>
  </w:footnote>
  <w:footnote w:type="continuationSeparator" w:id="0">
    <w:p w14:paraId="6954D4FB" w14:textId="77777777" w:rsidR="002162EA" w:rsidRPr="004B3DFF" w:rsidRDefault="002162EA">
      <w:r w:rsidRPr="004B3DFF">
        <w:continuationSeparator/>
      </w:r>
    </w:p>
  </w:footnote>
  <w:footnote w:id="1">
    <w:p w14:paraId="336C96B3" w14:textId="1B3E36EC" w:rsidR="00250EF9" w:rsidRPr="004B3DFF" w:rsidRDefault="00250EF9" w:rsidP="00250EF9">
      <w:pPr>
        <w:pStyle w:val="FootnoteText"/>
        <w:ind w:left="567" w:hanging="567"/>
        <w:rPr>
          <w:b/>
          <w:bCs/>
          <w:sz w:val="24"/>
          <w:lang w:val="lt-LT"/>
        </w:rPr>
      </w:pPr>
      <w:r w:rsidRPr="004B3DFF">
        <w:rPr>
          <w:rStyle w:val="FootnoteReference"/>
          <w:sz w:val="24"/>
          <w:lang w:val="lt-LT"/>
        </w:rPr>
        <w:footnoteRef/>
      </w:r>
      <w:r w:rsidRPr="004B3DFF">
        <w:rPr>
          <w:sz w:val="24"/>
          <w:lang w:val="lt-LT"/>
        </w:rPr>
        <w:t xml:space="preserve"> </w:t>
      </w:r>
      <w:r w:rsidRPr="004B3DFF">
        <w:rPr>
          <w:sz w:val="24"/>
          <w:lang w:val="lt-LT"/>
        </w:rPr>
        <w:tab/>
        <w:t>OL L, 20</w:t>
      </w:r>
      <w:r>
        <w:rPr>
          <w:sz w:val="24"/>
          <w:lang w:val="lt-LT"/>
        </w:rPr>
        <w:t>25/1898, 2025</w:t>
      </w:r>
      <w:r w:rsidRPr="004B3DFF">
        <w:rPr>
          <w:sz w:val="24"/>
          <w:lang w:val="lt-LT"/>
        </w:rPr>
        <w:t> </w:t>
      </w:r>
      <w:r>
        <w:rPr>
          <w:sz w:val="24"/>
          <w:lang w:val="lt-LT"/>
        </w:rPr>
        <w:t>9</w:t>
      </w:r>
      <w:r w:rsidRPr="004B3DFF">
        <w:rPr>
          <w:sz w:val="24"/>
          <w:lang w:val="lt-LT"/>
        </w:rPr>
        <w:t> 2</w:t>
      </w:r>
      <w:r>
        <w:rPr>
          <w:sz w:val="24"/>
          <w:lang w:val="lt-LT"/>
        </w:rPr>
        <w:t>3</w:t>
      </w:r>
      <w:r w:rsidRPr="004B3DFF">
        <w:rPr>
          <w:sz w:val="24"/>
          <w:lang w:val="lt-LT"/>
        </w:rPr>
        <w:t xml:space="preserve">, </w:t>
      </w:r>
      <w:r w:rsidRPr="00250EF9">
        <w:rPr>
          <w:sz w:val="24"/>
          <w:lang w:val="lt-LT"/>
        </w:rPr>
        <w:t>ELI: </w:t>
      </w:r>
      <w:hyperlink r:id="rId1" w:history="1">
        <w:r w:rsidRPr="00BB1AE5">
          <w:rPr>
            <w:rStyle w:val="Hyperlink"/>
            <w:sz w:val="24"/>
            <w:szCs w:val="24"/>
            <w:lang w:val="fi-FI"/>
          </w:rPr>
          <w:t>http://data.europa.eu/eli/dec_impl/2025/1898/oj</w:t>
        </w:r>
      </w:hyperlink>
      <w:r w:rsidRPr="00250EF9">
        <w:rPr>
          <w:sz w:val="24"/>
          <w:u w:val="single"/>
          <w:lang w:val="lt-LT"/>
        </w:rPr>
        <w:t>.</w:t>
      </w:r>
    </w:p>
  </w:footnote>
  <w:footnote w:id="2">
    <w:p w14:paraId="267D29B2" w14:textId="744C5889" w:rsidR="00700B87" w:rsidRPr="004B3DFF" w:rsidRDefault="00700B87" w:rsidP="004B3DFF">
      <w:pPr>
        <w:pStyle w:val="FootnoteText"/>
        <w:ind w:left="567" w:hanging="567"/>
        <w:rPr>
          <w:b/>
          <w:bCs/>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r w:rsidRPr="004B3DFF">
        <w:rPr>
          <w:sz w:val="24"/>
          <w:lang w:val="lt-LT"/>
        </w:rPr>
        <w:t>OL L 268, 2003 </w:t>
      </w:r>
      <w:r w:rsidR="00250EF9">
        <w:rPr>
          <w:sz w:val="24"/>
          <w:lang w:val="lt-LT"/>
        </w:rPr>
        <w:t>10</w:t>
      </w:r>
      <w:r w:rsidRPr="004B3DFF">
        <w:rPr>
          <w:sz w:val="24"/>
          <w:lang w:val="lt-LT"/>
        </w:rPr>
        <w:t> </w:t>
      </w:r>
      <w:r w:rsidR="00250EF9">
        <w:rPr>
          <w:sz w:val="24"/>
          <w:lang w:val="lt-LT"/>
        </w:rPr>
        <w:t>18</w:t>
      </w:r>
      <w:r w:rsidRPr="004B3DFF">
        <w:rPr>
          <w:sz w:val="24"/>
          <w:lang w:val="lt-LT"/>
        </w:rPr>
        <w:t>, p. 1, ELI: </w:t>
      </w:r>
      <w:hyperlink r:id="rId2" w:history="1">
        <w:r w:rsidRPr="004B3DFF">
          <w:rPr>
            <w:rStyle w:val="Hyperlink"/>
            <w:sz w:val="24"/>
            <w:lang w:val="lt-LT"/>
          </w:rPr>
          <w:t>http://data.europa.eu/eli/reg/2003/1829/oj</w:t>
        </w:r>
      </w:hyperlink>
      <w:r w:rsidRPr="004B3DFF">
        <w:rPr>
          <w:sz w:val="24"/>
          <w:u w:val="single"/>
          <w:lang w:val="lt-LT"/>
        </w:rPr>
        <w:t>.</w:t>
      </w:r>
    </w:p>
  </w:footnote>
  <w:footnote w:id="3">
    <w:p w14:paraId="2AB545E4" w14:textId="1C478365"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r w:rsidRPr="004B3DFF">
        <w:rPr>
          <w:sz w:val="24"/>
          <w:lang w:val="lt-LT"/>
        </w:rPr>
        <w:t xml:space="preserve">OL L 55, 2011 2 28, p. 13, ELI: </w:t>
      </w:r>
      <w:hyperlink r:id="rId3" w:history="1">
        <w:r w:rsidRPr="004B3DFF">
          <w:rPr>
            <w:rStyle w:val="Hyperlink"/>
            <w:sz w:val="24"/>
            <w:lang w:val="lt-LT"/>
          </w:rPr>
          <w:t>http://data.europa.eu/eli/reg/2011/182/oj</w:t>
        </w:r>
      </w:hyperlink>
      <w:r w:rsidRPr="004B3DFF">
        <w:rPr>
          <w:sz w:val="24"/>
          <w:lang w:val="lt-LT"/>
        </w:rPr>
        <w:t>.</w:t>
      </w:r>
    </w:p>
  </w:footnote>
  <w:footnote w:id="4">
    <w:p w14:paraId="07470676" w14:textId="7A485EC4" w:rsidR="00700B87" w:rsidRPr="004B3DFF" w:rsidRDefault="00700B87" w:rsidP="004B3DFF">
      <w:pPr>
        <w:pStyle w:val="FootnoteText"/>
        <w:ind w:left="567" w:hanging="567"/>
        <w:rPr>
          <w:sz w:val="24"/>
          <w:lang w:val="lt-LT"/>
        </w:rPr>
      </w:pPr>
      <w:r w:rsidRPr="004B3DFF">
        <w:rPr>
          <w:rStyle w:val="Funotenzeichen"/>
          <w:sz w:val="24"/>
          <w:lang w:val="lt-LT"/>
        </w:rPr>
        <w:footnoteRef/>
      </w:r>
      <w:r w:rsidR="004B3DFF" w:rsidRPr="004B3DFF">
        <w:rPr>
          <w:sz w:val="24"/>
          <w:lang w:val="lt-LT"/>
        </w:rPr>
        <w:t xml:space="preserve"> </w:t>
      </w:r>
      <w:r w:rsidR="004B3DFF" w:rsidRPr="004B3DFF">
        <w:rPr>
          <w:sz w:val="24"/>
          <w:lang w:val="lt-LT"/>
        </w:rPr>
        <w:tab/>
      </w:r>
      <w:r w:rsidRPr="004B3DFF">
        <w:rPr>
          <w:sz w:val="24"/>
          <w:lang w:val="lt-LT"/>
        </w:rPr>
        <w:t xml:space="preserve">EFSA genetiškai modifikuotų organizmų specialistų grupės mokslinė nuomonė „Assessment of genetically modified maize DP51291 (application GMFF-2021-0071)“, </w:t>
      </w:r>
      <w:r w:rsidRPr="004B3DFF">
        <w:rPr>
          <w:i/>
          <w:sz w:val="24"/>
          <w:lang w:val="lt-LT"/>
        </w:rPr>
        <w:t>EFSA Journal</w:t>
      </w:r>
      <w:r w:rsidRPr="004B3DFF">
        <w:rPr>
          <w:sz w:val="24"/>
          <w:lang w:val="lt-LT"/>
        </w:rPr>
        <w:t xml:space="preserve">, 2024;22(11):9059; </w:t>
      </w:r>
      <w:hyperlink r:id="rId4" w:history="1">
        <w:r w:rsidRPr="004B3DFF">
          <w:rPr>
            <w:rStyle w:val="Hyperlink"/>
            <w:sz w:val="24"/>
            <w:lang w:val="lt-LT"/>
          </w:rPr>
          <w:t>https://doi.org/10.2903/j.efsa.2024.9059</w:t>
        </w:r>
      </w:hyperlink>
      <w:r w:rsidRPr="004B3DFF">
        <w:rPr>
          <w:sz w:val="24"/>
          <w:lang w:val="lt-LT"/>
        </w:rPr>
        <w:t xml:space="preserve">. </w:t>
      </w:r>
    </w:p>
  </w:footnote>
  <w:footnote w:id="5">
    <w:p w14:paraId="4ACF8D0C" w14:textId="7C5CA0D8" w:rsidR="00700B87" w:rsidRPr="004B3DFF" w:rsidRDefault="00700B87" w:rsidP="004B3DFF">
      <w:pPr>
        <w:pStyle w:val="FootnoteText"/>
        <w:ind w:left="567" w:hanging="567"/>
        <w:rPr>
          <w:color w:val="000000" w:themeColor="text1"/>
          <w:sz w:val="24"/>
          <w:vertAlign w:val="superscript"/>
          <w:lang w:val="lt-LT"/>
        </w:rPr>
      </w:pPr>
      <w:r w:rsidRPr="004B3DFF">
        <w:rPr>
          <w:rStyle w:val="FootnoteReference"/>
          <w:sz w:val="24"/>
          <w:lang w:val="lt-LT"/>
        </w:rPr>
        <w:footnoteRef/>
      </w:r>
      <w:r w:rsidR="004B3DFF" w:rsidRPr="004B3DFF">
        <w:rPr>
          <w:color w:val="000000" w:themeColor="text1"/>
          <w:sz w:val="24"/>
          <w:lang w:val="lt-LT"/>
        </w:rPr>
        <w:t xml:space="preserve"> </w:t>
      </w:r>
      <w:r w:rsidR="004B3DFF" w:rsidRPr="004B3DFF">
        <w:rPr>
          <w:color w:val="000000" w:themeColor="text1"/>
          <w:sz w:val="24"/>
          <w:lang w:val="lt-LT"/>
        </w:rPr>
        <w:tab/>
      </w:r>
      <w:r w:rsidRPr="004B3DFF">
        <w:rPr>
          <w:color w:val="000000" w:themeColor="text1"/>
          <w:sz w:val="24"/>
          <w:lang w:val="lt-LT"/>
        </w:rPr>
        <w:t>Per aštuntąją kadenciją Parlamentas priėmė 36 rezoliucijas, o per devintąją kadenciją – 38 rezoliucijas, kuriose prieštaraujama leidimui naudoti GMO. Be to, per dešimtąją kadenciją Parlamentas priėmė šias rezoliucijas:</w:t>
      </w:r>
    </w:p>
    <w:p w14:paraId="1762D755" w14:textId="7936E751" w:rsidR="00700B87" w:rsidRPr="004B3DFF" w:rsidRDefault="004B3DFF" w:rsidP="004B3DFF">
      <w:pPr>
        <w:pStyle w:val="FootnoteText"/>
        <w:ind w:left="567" w:hanging="567"/>
        <w:rPr>
          <w:color w:val="000000" w:themeColor="text1"/>
          <w:sz w:val="24"/>
          <w:vertAlign w:val="superscript"/>
          <w:lang w:val="lt-LT"/>
        </w:rPr>
      </w:pPr>
      <w:r w:rsidRPr="004B3DFF">
        <w:rPr>
          <w:color w:val="000000" w:themeColor="text1"/>
          <w:sz w:val="24"/>
          <w:lang w:val="lt-LT"/>
        </w:rPr>
        <w:t xml:space="preserve"> </w:t>
      </w:r>
      <w:r w:rsidRPr="004B3DFF">
        <w:rPr>
          <w:color w:val="000000" w:themeColor="text1"/>
          <w:sz w:val="24"/>
          <w:lang w:val="lt-LT"/>
        </w:rPr>
        <w:tab/>
      </w:r>
      <w:r w:rsidR="00700B87" w:rsidRPr="004B3DFF">
        <w:rPr>
          <w:color w:val="000000" w:themeColor="text1"/>
          <w:sz w:val="24"/>
          <w:lang w:val="lt-LT"/>
        </w:rPr>
        <w:t>–</w:t>
      </w:r>
      <w:r w:rsidR="00CD38E6">
        <w:rPr>
          <w:color w:val="000000" w:themeColor="text1"/>
          <w:sz w:val="24"/>
          <w:lang w:val="lt-LT"/>
        </w:rPr>
        <w:tab/>
      </w:r>
      <w:r w:rsidR="00700B87" w:rsidRPr="004B3DFF">
        <w:rPr>
          <w:color w:val="000000" w:themeColor="text1"/>
          <w:sz w:val="24"/>
          <w:lang w:val="lt-LT"/>
        </w:rPr>
        <w:t xml:space="preserve">2024 m. lapkričio 26 d. Europos Parlamento rezoliuciją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(OL C, C/2025/1797, 2025 4 4, ELI: </w:t>
      </w:r>
      <w:hyperlink r:id="rId5" w:history="1">
        <w:r w:rsidR="00700B87" w:rsidRPr="004B3DFF">
          <w:rPr>
            <w:rStyle w:val="Hyperlink"/>
            <w:sz w:val="24"/>
            <w:lang w:val="lt-LT"/>
          </w:rPr>
          <w:t>http://data.europa.eu/eli/C/2025/1797/oj</w:t>
        </w:r>
      </w:hyperlink>
      <w:r w:rsidR="00700B87" w:rsidRPr="004B3DFF">
        <w:rPr>
          <w:color w:val="000000" w:themeColor="text1"/>
          <w:sz w:val="24"/>
          <w:lang w:val="lt-LT"/>
        </w:rPr>
        <w:t>).</w:t>
      </w:r>
    </w:p>
    <w:p w14:paraId="45EBA6C7" w14:textId="1C1C2D7E" w:rsidR="00700B87" w:rsidRPr="004B3DFF" w:rsidRDefault="004B3DFF" w:rsidP="004B3DFF">
      <w:pPr>
        <w:pStyle w:val="FootnoteText"/>
        <w:ind w:left="567" w:hanging="567"/>
        <w:rPr>
          <w:color w:val="000000" w:themeColor="text1"/>
          <w:sz w:val="24"/>
          <w:vertAlign w:val="superscript"/>
          <w:lang w:val="lt-LT"/>
        </w:rPr>
      </w:pPr>
      <w:r w:rsidRPr="004B3DFF">
        <w:rPr>
          <w:color w:val="000000" w:themeColor="text1"/>
          <w:sz w:val="24"/>
          <w:lang w:val="lt-LT"/>
        </w:rPr>
        <w:t xml:space="preserve"> </w:t>
      </w:r>
      <w:r w:rsidRPr="004B3DFF">
        <w:rPr>
          <w:color w:val="000000" w:themeColor="text1"/>
          <w:sz w:val="24"/>
          <w:lang w:val="lt-LT"/>
        </w:rPr>
        <w:tab/>
      </w:r>
      <w:r w:rsidR="00700B87" w:rsidRPr="004B3DFF">
        <w:rPr>
          <w:color w:val="000000" w:themeColor="text1"/>
          <w:sz w:val="24"/>
          <w:lang w:val="lt-LT"/>
        </w:rPr>
        <w:t>–</w:t>
      </w:r>
      <w:r w:rsidR="00700B87" w:rsidRPr="004B3DFF">
        <w:rPr>
          <w:color w:val="000000" w:themeColor="text1"/>
          <w:sz w:val="24"/>
          <w:lang w:val="lt-LT"/>
        </w:rPr>
        <w:tab/>
        <w:t xml:space="preserve">2024 m. lapkričio 26 d. Europos Parlamento rezoliuciją dėl Komisijos įgyvendinimo sprendimo (ES) 2024/2627, kuriuo pagal Europos Parlamento ir Tarybos reglamentą (EB) Nr. 1829/2003 leidžiama pateikti rinkai produktus, kurių sudėtyje yra genetiškai modifikuotos medvilnės COT102, kurie iš jos sudaryti arba kurie iš jos pagaminti (OL C, C/2025/1798, 2025 4 4, ELI: </w:t>
      </w:r>
      <w:hyperlink r:id="rId6" w:history="1">
        <w:r w:rsidR="00700B87" w:rsidRPr="004B3DFF">
          <w:rPr>
            <w:rStyle w:val="Hyperlink"/>
            <w:sz w:val="24"/>
            <w:lang w:val="lt-LT"/>
          </w:rPr>
          <w:t>http://data.europa.eu/eli/C/2025/1798/oj</w:t>
        </w:r>
      </w:hyperlink>
      <w:r w:rsidR="00700B87" w:rsidRPr="004B3DFF">
        <w:rPr>
          <w:color w:val="000000" w:themeColor="text1"/>
          <w:sz w:val="24"/>
          <w:lang w:val="lt-LT"/>
        </w:rPr>
        <w:t>).</w:t>
      </w:r>
    </w:p>
    <w:p w14:paraId="7C6A0465" w14:textId="000A0EB3" w:rsidR="00700B87" w:rsidRPr="004B3DFF" w:rsidRDefault="004B3DFF" w:rsidP="004B3DFF">
      <w:pPr>
        <w:pStyle w:val="FootnoteText"/>
        <w:ind w:left="567" w:hanging="567"/>
        <w:rPr>
          <w:color w:val="000000" w:themeColor="text1"/>
          <w:sz w:val="24"/>
          <w:vertAlign w:val="superscript"/>
          <w:lang w:val="lt-LT"/>
        </w:rPr>
      </w:pPr>
      <w:r w:rsidRPr="004B3DFF">
        <w:rPr>
          <w:color w:val="000000" w:themeColor="text1"/>
          <w:sz w:val="24"/>
          <w:lang w:val="lt-LT"/>
        </w:rPr>
        <w:t xml:space="preserve"> </w:t>
      </w:r>
      <w:r w:rsidRPr="004B3DFF">
        <w:rPr>
          <w:color w:val="000000" w:themeColor="text1"/>
          <w:sz w:val="24"/>
          <w:lang w:val="lt-LT"/>
        </w:rPr>
        <w:tab/>
      </w:r>
      <w:r w:rsidR="00700B87" w:rsidRPr="004B3DFF">
        <w:rPr>
          <w:color w:val="000000" w:themeColor="text1"/>
          <w:sz w:val="24"/>
          <w:lang w:val="lt-LT"/>
        </w:rPr>
        <w:t>–</w:t>
      </w:r>
      <w:r w:rsidR="00700B87" w:rsidRPr="004B3DFF">
        <w:rPr>
          <w:color w:val="000000" w:themeColor="text1"/>
          <w:sz w:val="24"/>
          <w:lang w:val="lt-LT"/>
        </w:rPr>
        <w:tab/>
        <w:t xml:space="preserve">2024 m. lapkričio 26 d. Europos Parlamento rezoliuciją dėl Komisijos įgyvendinimo sprendimo (ES) 2024/2629, kuriuo pagal Europos Parlamento ir Tarybos reglamentą (EB) Nr. 1829/2003 atnaujinamas leidimas pateikti rinkai produktus, kurių sudėtyje yra genetiškai modifikuotų kukurūzų MON 89034 × 1507 × MON 88017 × 59122 ir aštuonių jų subkombinacijų, kurie iš jų sudaryti arba kurie iš jų pagaminti (OL C, C/2025/1799, 2025 4 4, ELI: </w:t>
      </w:r>
      <w:hyperlink r:id="rId7" w:history="1">
        <w:r w:rsidR="00700B87" w:rsidRPr="004B3DFF">
          <w:rPr>
            <w:rStyle w:val="Hyperlink"/>
            <w:sz w:val="24"/>
            <w:lang w:val="lt-LT"/>
          </w:rPr>
          <w:t>http://data.europa.eu/eli/C/2025/1799/oj</w:t>
        </w:r>
      </w:hyperlink>
      <w:r w:rsidR="00700B87" w:rsidRPr="004B3DFF">
        <w:rPr>
          <w:color w:val="000000" w:themeColor="text1"/>
          <w:sz w:val="24"/>
          <w:lang w:val="lt-LT"/>
        </w:rPr>
        <w:t>).</w:t>
      </w:r>
    </w:p>
    <w:p w14:paraId="0A378A4F" w14:textId="1CE286ED" w:rsidR="00700B87" w:rsidRPr="004B3DFF" w:rsidRDefault="004B3DFF" w:rsidP="004B3DFF">
      <w:pPr>
        <w:pStyle w:val="FootnoteText"/>
        <w:ind w:left="567" w:hanging="567"/>
        <w:rPr>
          <w:color w:val="000000" w:themeColor="text1"/>
          <w:sz w:val="24"/>
          <w:vertAlign w:val="superscript"/>
          <w:lang w:val="lt-LT"/>
        </w:rPr>
      </w:pPr>
      <w:r w:rsidRPr="004B3DFF">
        <w:rPr>
          <w:color w:val="000000" w:themeColor="text1"/>
          <w:sz w:val="24"/>
          <w:lang w:val="lt-LT"/>
        </w:rPr>
        <w:t xml:space="preserve"> </w:t>
      </w:r>
      <w:r w:rsidRPr="004B3DFF">
        <w:rPr>
          <w:color w:val="000000" w:themeColor="text1"/>
          <w:sz w:val="24"/>
          <w:lang w:val="lt-LT"/>
        </w:rPr>
        <w:tab/>
      </w:r>
      <w:r w:rsidR="00700B87" w:rsidRPr="004B3DFF">
        <w:rPr>
          <w:color w:val="000000" w:themeColor="text1"/>
          <w:sz w:val="24"/>
          <w:lang w:val="lt-LT"/>
        </w:rPr>
        <w:t>–</w:t>
      </w:r>
      <w:r w:rsidR="00700B87" w:rsidRPr="004B3DFF">
        <w:rPr>
          <w:color w:val="000000" w:themeColor="text1"/>
          <w:sz w:val="24"/>
          <w:lang w:val="lt-LT"/>
        </w:rPr>
        <w:tab/>
        <w:t xml:space="preserve">2024 m. lapkričio 26 d. Europos Parlamento rezoliuciją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(OL C, C/2025/1800, 2025 4 4, ELI: </w:t>
      </w:r>
      <w:hyperlink r:id="rId8" w:history="1">
        <w:r w:rsidR="00700B87" w:rsidRPr="004B3DFF">
          <w:rPr>
            <w:rStyle w:val="Hyperlink"/>
            <w:sz w:val="24"/>
            <w:lang w:val="lt-LT"/>
          </w:rPr>
          <w:t>http://data.europa.eu/eli/C/2025/1800/oj</w:t>
        </w:r>
      </w:hyperlink>
      <w:r w:rsidR="00700B87" w:rsidRPr="004B3DFF">
        <w:rPr>
          <w:color w:val="000000" w:themeColor="text1"/>
          <w:sz w:val="24"/>
          <w:lang w:val="lt-LT"/>
        </w:rPr>
        <w:t>).</w:t>
      </w:r>
    </w:p>
    <w:p w14:paraId="0FC1B6AB" w14:textId="395EF7C8" w:rsidR="00700B87" w:rsidRPr="004B3DFF" w:rsidRDefault="004B3DFF" w:rsidP="004B3DFF">
      <w:pPr>
        <w:pStyle w:val="FootnoteText"/>
        <w:ind w:left="567" w:hanging="567"/>
        <w:rPr>
          <w:color w:val="000000" w:themeColor="text1"/>
          <w:sz w:val="24"/>
          <w:vertAlign w:val="superscript"/>
          <w:lang w:val="lt-LT"/>
        </w:rPr>
      </w:pPr>
      <w:r w:rsidRPr="004B3DFF">
        <w:rPr>
          <w:color w:val="000000" w:themeColor="text1"/>
          <w:sz w:val="24"/>
          <w:lang w:val="lt-LT"/>
        </w:rPr>
        <w:t xml:space="preserve"> </w:t>
      </w:r>
      <w:r w:rsidRPr="004B3DFF">
        <w:rPr>
          <w:color w:val="000000" w:themeColor="text1"/>
          <w:sz w:val="24"/>
          <w:lang w:val="lt-LT"/>
        </w:rPr>
        <w:tab/>
      </w:r>
      <w:r w:rsidR="00700B87" w:rsidRPr="004B3DFF">
        <w:rPr>
          <w:color w:val="000000" w:themeColor="text1"/>
          <w:sz w:val="24"/>
          <w:lang w:val="lt-LT"/>
        </w:rPr>
        <w:t>–</w:t>
      </w:r>
      <w:r w:rsidR="00700B87" w:rsidRPr="004B3DFF">
        <w:rPr>
          <w:color w:val="000000" w:themeColor="text1"/>
          <w:sz w:val="24"/>
          <w:lang w:val="lt-LT"/>
        </w:rPr>
        <w:tab/>
        <w:t xml:space="preserve">2024 m. lapkričio 26 d. Europos Parlamento rezoliuciją dėl Komisijos įgyvendinimo sprendimo (ES) 2024/1822, kuriuo pagal Europos Parlamento ir Tarybos reglamentą (EB) Nr. 1829/2003 leidžiama pateikti rinkai produktus, kurių sudėtyje yra genetiškai modifikuotų kukurūzų DP915635. kurie iš jų sudaryti ar pagaminti (OL C, C/2025/1801, 2025 4 4, ELI: </w:t>
      </w:r>
      <w:hyperlink r:id="rId9" w:history="1">
        <w:r w:rsidR="00700B87" w:rsidRPr="004B3DFF">
          <w:rPr>
            <w:rStyle w:val="Hyperlink"/>
            <w:sz w:val="24"/>
            <w:lang w:val="lt-LT"/>
          </w:rPr>
          <w:t>http://data.europa.eu/eli/C/2025/1801/oj</w:t>
        </w:r>
      </w:hyperlink>
      <w:r w:rsidR="00700B87" w:rsidRPr="004B3DFF">
        <w:rPr>
          <w:color w:val="000000" w:themeColor="text1"/>
          <w:sz w:val="24"/>
          <w:lang w:val="lt-LT"/>
        </w:rPr>
        <w:t>).</w:t>
      </w:r>
    </w:p>
    <w:p w14:paraId="158979EB" w14:textId="0B54984A" w:rsidR="00700B87" w:rsidRPr="004B3DFF" w:rsidRDefault="004B3DFF" w:rsidP="004B3DFF">
      <w:pPr>
        <w:pStyle w:val="FootnoteText"/>
        <w:ind w:left="567" w:hanging="567"/>
        <w:rPr>
          <w:color w:val="000000" w:themeColor="text1"/>
          <w:sz w:val="24"/>
          <w:vertAlign w:val="superscript"/>
          <w:lang w:val="lt-LT"/>
        </w:rPr>
      </w:pPr>
      <w:r w:rsidRPr="004B3DFF">
        <w:rPr>
          <w:color w:val="000000" w:themeColor="text1"/>
          <w:sz w:val="24"/>
          <w:lang w:val="lt-LT"/>
        </w:rPr>
        <w:t xml:space="preserve"> </w:t>
      </w:r>
      <w:r w:rsidRPr="004B3DFF">
        <w:rPr>
          <w:color w:val="000000" w:themeColor="text1"/>
          <w:sz w:val="24"/>
          <w:lang w:val="lt-LT"/>
        </w:rPr>
        <w:tab/>
      </w:r>
      <w:r w:rsidR="00700B87" w:rsidRPr="004B3DFF">
        <w:rPr>
          <w:color w:val="000000" w:themeColor="text1"/>
          <w:sz w:val="24"/>
          <w:lang w:val="lt-LT"/>
        </w:rPr>
        <w:t>–</w:t>
      </w:r>
      <w:r w:rsidR="00700B87" w:rsidRPr="004B3DFF">
        <w:rPr>
          <w:color w:val="000000" w:themeColor="text1"/>
          <w:sz w:val="24"/>
          <w:lang w:val="lt-LT"/>
        </w:rPr>
        <w:tab/>
        <w:t xml:space="preserve">2024 m. lapkričio 26 d. Europos Parlamento rezoliuciją dėl Komisijos įgyvendinimo sprendimo (ES) 2024/1826, kuriuo pagal Europos Parlamento ir Tarybos reglamentą (EB) Nr. 1829/2003 leidžiama pateikti rinkai produktus, kurių sudėtyje yra genetiškai modifikuotų kukurūzų DP23211, kurie iš jų sudaryti arba kurie iš jų pagaminti (OL C, C/2025/1802, 2025 4 4, ELI: </w:t>
      </w:r>
      <w:hyperlink r:id="rId10" w:history="1">
        <w:r w:rsidR="00700B87" w:rsidRPr="004B3DFF">
          <w:rPr>
            <w:rStyle w:val="Hyperlink"/>
            <w:sz w:val="24"/>
            <w:lang w:val="lt-LT"/>
          </w:rPr>
          <w:t>http://data.europa.eu/eli/C/2025/1802/oj</w:t>
        </w:r>
      </w:hyperlink>
      <w:r w:rsidR="00700B87" w:rsidRPr="004B3DFF">
        <w:rPr>
          <w:color w:val="000000" w:themeColor="text1"/>
          <w:sz w:val="24"/>
          <w:lang w:val="lt-LT"/>
        </w:rPr>
        <w:t>).</w:t>
      </w:r>
    </w:p>
    <w:p w14:paraId="5616DDE6" w14:textId="1F42FD44" w:rsidR="00700B87" w:rsidRPr="004B3DFF" w:rsidRDefault="004B3DFF" w:rsidP="004B3DFF">
      <w:pPr>
        <w:pStyle w:val="FootnoteText"/>
        <w:ind w:left="567" w:hanging="567"/>
        <w:rPr>
          <w:color w:val="000000" w:themeColor="text1"/>
          <w:sz w:val="24"/>
          <w:vertAlign w:val="superscript"/>
          <w:lang w:val="lt-LT"/>
        </w:rPr>
      </w:pPr>
      <w:r w:rsidRPr="004B3DFF">
        <w:rPr>
          <w:color w:val="000000" w:themeColor="text1"/>
          <w:sz w:val="24"/>
          <w:lang w:val="lt-LT"/>
        </w:rPr>
        <w:t xml:space="preserve"> </w:t>
      </w:r>
      <w:r w:rsidRPr="004B3DFF">
        <w:rPr>
          <w:color w:val="000000" w:themeColor="text1"/>
          <w:sz w:val="24"/>
          <w:lang w:val="lt-LT"/>
        </w:rPr>
        <w:tab/>
      </w:r>
      <w:r w:rsidR="00700B87" w:rsidRPr="004B3DFF">
        <w:rPr>
          <w:color w:val="000000" w:themeColor="text1"/>
          <w:sz w:val="24"/>
          <w:lang w:val="lt-LT"/>
        </w:rPr>
        <w:t>–</w:t>
      </w:r>
      <w:r w:rsidR="00700B87" w:rsidRPr="004B3DFF">
        <w:rPr>
          <w:color w:val="000000" w:themeColor="text1"/>
          <w:sz w:val="24"/>
          <w:lang w:val="lt-LT"/>
        </w:rPr>
        <w:tab/>
        <w:t>2024 m. lapkričio 26 d. Europos Parlamento rezoliuciją dėl Komisijos įgyvendinimo sprendimo</w:t>
      </w:r>
      <w:r w:rsidR="00405C0A">
        <w:rPr>
          <w:color w:val="000000" w:themeColor="text1"/>
          <w:sz w:val="24"/>
          <w:lang w:val="lt-LT"/>
        </w:rPr>
        <w:t xml:space="preserve"> </w:t>
      </w:r>
      <w:r w:rsidR="00405C0A" w:rsidRPr="00405C0A">
        <w:rPr>
          <w:color w:val="000000" w:themeColor="text1"/>
          <w:sz w:val="24"/>
          <w:lang w:val="lt-LT"/>
        </w:rPr>
        <w:t>(ES) 2024/2618</w:t>
      </w:r>
      <w:r w:rsidR="00700B87" w:rsidRPr="004B3DFF">
        <w:rPr>
          <w:color w:val="000000" w:themeColor="text1"/>
          <w:sz w:val="24"/>
          <w:lang w:val="lt-LT"/>
        </w:rPr>
        <w:t xml:space="preserve">, kuriuo pagal Europos Parlamento ir Tarybos reglamentą (EB) Nr. 1829/2003 leidžiama pateikti rinkai produktus, kurių sudėtyje yra genetiškai modifikuotų kukurūzų </w:t>
      </w:r>
      <w:r w:rsidR="00405C0A" w:rsidRPr="00405C0A">
        <w:rPr>
          <w:color w:val="000000" w:themeColor="text1"/>
          <w:sz w:val="24"/>
          <w:lang w:val="lt-LT"/>
        </w:rPr>
        <w:t>DP202216</w:t>
      </w:r>
      <w:r w:rsidR="00700B87" w:rsidRPr="004B3DFF">
        <w:rPr>
          <w:color w:val="000000" w:themeColor="text1"/>
          <w:sz w:val="24"/>
          <w:lang w:val="lt-LT"/>
        </w:rPr>
        <w:t xml:space="preserve">, kurie iš jų sudaryti arba kurie iš jų pagaminti (OL C, C/2025/1803, 2025 4 4, ELI: </w:t>
      </w:r>
      <w:hyperlink r:id="rId11" w:history="1">
        <w:r w:rsidR="00700B87" w:rsidRPr="004B3DFF">
          <w:rPr>
            <w:rStyle w:val="Hyperlink"/>
            <w:sz w:val="24"/>
            <w:lang w:val="lt-LT"/>
          </w:rPr>
          <w:t>http://data.europa.eu/eli/C/2025/1803/oj</w:t>
        </w:r>
      </w:hyperlink>
      <w:r w:rsidR="00700B87" w:rsidRPr="004B3DFF">
        <w:rPr>
          <w:color w:val="000000" w:themeColor="text1"/>
          <w:sz w:val="24"/>
          <w:lang w:val="lt-LT"/>
        </w:rPr>
        <w:t>).</w:t>
      </w:r>
    </w:p>
    <w:p w14:paraId="464B9CDE" w14:textId="3C0AF8D8" w:rsidR="00700B87" w:rsidRPr="004B3DFF" w:rsidRDefault="004B3DFF" w:rsidP="004B3DFF">
      <w:pPr>
        <w:pStyle w:val="FootnoteText"/>
        <w:ind w:left="567" w:hanging="567"/>
        <w:rPr>
          <w:color w:val="000000" w:themeColor="text1"/>
          <w:sz w:val="24"/>
          <w:vertAlign w:val="superscript"/>
          <w:lang w:val="lt-LT"/>
        </w:rPr>
      </w:pPr>
      <w:r w:rsidRPr="004B3DFF">
        <w:rPr>
          <w:color w:val="000000" w:themeColor="text1"/>
          <w:sz w:val="24"/>
          <w:lang w:val="lt-LT"/>
        </w:rPr>
        <w:t xml:space="preserve"> </w:t>
      </w:r>
      <w:r w:rsidRPr="004B3DFF">
        <w:rPr>
          <w:color w:val="000000" w:themeColor="text1"/>
          <w:sz w:val="24"/>
          <w:lang w:val="lt-LT"/>
        </w:rPr>
        <w:tab/>
      </w:r>
      <w:r w:rsidR="00700B87" w:rsidRPr="004B3DFF">
        <w:rPr>
          <w:color w:val="000000" w:themeColor="text1"/>
          <w:sz w:val="24"/>
          <w:lang w:val="lt-LT"/>
        </w:rPr>
        <w:t>–</w:t>
      </w:r>
      <w:r w:rsidR="00700B87" w:rsidRPr="004B3DFF">
        <w:rPr>
          <w:color w:val="000000" w:themeColor="text1"/>
          <w:sz w:val="24"/>
          <w:lang w:val="lt-LT"/>
        </w:rPr>
        <w:tab/>
        <w:t xml:space="preserve">2024 m. lapkričio 26 d. Europos Parlamento rezoliuciją Komisijos įgyvendinimo sprendimo, kuriuo pagal Europos Parlamento ir Tarybos reglamentą (EB) Nr. 1829/2003 leidžiama pateikti rinkai produktus, kurių sudėtyje yra genetiškai modifikuotų kukurūzų MON 94804, kurie iš jų sudaryti arba kurie iš jų pagaminti, projekto (OL C, C/2025/1804, 2025 4 4, ELI: </w:t>
      </w:r>
      <w:hyperlink r:id="rId12" w:history="1">
        <w:r w:rsidR="00700B87" w:rsidRPr="004B3DFF">
          <w:rPr>
            <w:rStyle w:val="Hyperlink"/>
            <w:sz w:val="24"/>
            <w:lang w:val="lt-LT"/>
          </w:rPr>
          <w:t>http://data.europa.eu/eli/C/2025/1804/oj</w:t>
        </w:r>
      </w:hyperlink>
      <w:r w:rsidR="00700B87" w:rsidRPr="004B3DFF">
        <w:rPr>
          <w:color w:val="000000" w:themeColor="text1"/>
          <w:sz w:val="24"/>
          <w:lang w:val="lt-LT"/>
        </w:rPr>
        <w:t>).</w:t>
      </w:r>
    </w:p>
    <w:p w14:paraId="5DCDC218" w14:textId="0BF95448" w:rsidR="00700B87" w:rsidRPr="004B3DFF" w:rsidRDefault="004B3DFF" w:rsidP="004B3DFF">
      <w:pPr>
        <w:pStyle w:val="FootnoteText"/>
        <w:ind w:left="567" w:hanging="567"/>
        <w:rPr>
          <w:sz w:val="24"/>
          <w:vertAlign w:val="superscript"/>
          <w:lang w:val="lt-LT"/>
        </w:rPr>
      </w:pPr>
      <w:r w:rsidRPr="004B3DFF">
        <w:rPr>
          <w:color w:val="000000" w:themeColor="text1"/>
          <w:sz w:val="24"/>
          <w:lang w:val="lt-LT"/>
        </w:rPr>
        <w:t xml:space="preserve"> </w:t>
      </w:r>
      <w:r w:rsidRPr="004B3DFF">
        <w:rPr>
          <w:color w:val="000000" w:themeColor="text1"/>
          <w:sz w:val="24"/>
          <w:lang w:val="lt-LT"/>
        </w:rPr>
        <w:tab/>
      </w:r>
      <w:r w:rsidR="00700B87" w:rsidRPr="004B3DFF">
        <w:rPr>
          <w:color w:val="000000" w:themeColor="text1"/>
          <w:sz w:val="24"/>
          <w:lang w:val="lt-LT"/>
        </w:rPr>
        <w:t>–</w:t>
      </w:r>
      <w:r w:rsidR="00700B87" w:rsidRPr="004B3DFF">
        <w:rPr>
          <w:color w:val="000000" w:themeColor="text1"/>
          <w:sz w:val="24"/>
          <w:lang w:val="lt-LT"/>
        </w:rPr>
        <w:tab/>
      </w:r>
      <w:r w:rsidR="00700B87" w:rsidRPr="004B3DFF">
        <w:rPr>
          <w:sz w:val="24"/>
          <w:lang w:val="lt-LT"/>
        </w:rPr>
        <w:t xml:space="preserve">2025 m. vasario 12 d. Europos Parlamento rezoliuciją dėl Komisijos įgyvendinimo sprendimo, kuriuo pagal Europos Parlamento ir Tarybos reglamentą (EB) Nr. 1829/2003 leidžiama pateikti rinkai produktus, kurių sudėtyje yra genetiškai modifikuotų kukurūzų DP910521, kurie iš jų sudaryti arba kurie iš jų pagaminti, projekto (OL C, C/2025/2246, 2025 4 29, ELI: </w:t>
      </w:r>
      <w:hyperlink r:id="rId13" w:tooltip="Suteikia prieigą prie šio dokumento per jo ELI URI." w:history="1">
        <w:r w:rsidR="00700B87" w:rsidRPr="004B3DFF">
          <w:rPr>
            <w:rStyle w:val="Hyperlink"/>
            <w:sz w:val="24"/>
            <w:lang w:val="lt-LT"/>
          </w:rPr>
          <w:t>http://data.europa.eu/eli/C/2025/2246/oj</w:t>
        </w:r>
      </w:hyperlink>
      <w:r w:rsidR="00700B87" w:rsidRPr="004B3DFF">
        <w:rPr>
          <w:sz w:val="24"/>
          <w:lang w:val="lt-LT"/>
        </w:rPr>
        <w:t>).</w:t>
      </w:r>
    </w:p>
    <w:p w14:paraId="399BFD91" w14:textId="77231184" w:rsidR="00700B87" w:rsidRPr="004B3DFF" w:rsidRDefault="004B3DFF" w:rsidP="004B3DFF">
      <w:pPr>
        <w:pStyle w:val="FootnoteText"/>
        <w:ind w:left="567" w:hanging="567"/>
        <w:rPr>
          <w:sz w:val="24"/>
          <w:vertAlign w:val="superscript"/>
          <w:lang w:val="lt-LT"/>
        </w:rPr>
      </w:pPr>
      <w:r w:rsidRPr="004B3DFF">
        <w:rPr>
          <w:sz w:val="24"/>
          <w:lang w:val="lt-LT"/>
        </w:rPr>
        <w:t xml:space="preserve"> </w:t>
      </w:r>
      <w:r w:rsidRPr="004B3DFF">
        <w:rPr>
          <w:sz w:val="24"/>
          <w:lang w:val="lt-LT"/>
        </w:rPr>
        <w:tab/>
      </w:r>
      <w:r w:rsidR="00700B87" w:rsidRPr="004B3DFF">
        <w:rPr>
          <w:sz w:val="24"/>
          <w:lang w:val="lt-LT"/>
        </w:rPr>
        <w:t>–</w:t>
      </w:r>
      <w:r w:rsidR="00700B87" w:rsidRPr="004B3DFF">
        <w:rPr>
          <w:sz w:val="24"/>
          <w:lang w:val="lt-LT"/>
        </w:rPr>
        <w:tab/>
        <w:t xml:space="preserve">2025 m. vasario 12 d. Europos Parlamento rezoliuciją dėl Komisijos įgyvendinimo sprendimo, kuriuo pagal Europos Parlamento ir Tarybos reglamentą (EB) Nr. 1829/2003 leidžiama pateikti rinkai produktus, kurių sudėtyje yra genetiškai modifikuotų kukurūzų MON 95275, kurie iš jų sudaryti arba kurie iš jų pagaminti, projekto (OL C, C/2025/2247, 2025 4 29, ELI: </w:t>
      </w:r>
      <w:hyperlink r:id="rId14" w:tooltip="Suteikia prieigą prie šio dokumento per jo ELI URI." w:history="1">
        <w:r w:rsidR="00700B87" w:rsidRPr="004B3DFF">
          <w:rPr>
            <w:rStyle w:val="Hyperlink"/>
            <w:sz w:val="24"/>
            <w:lang w:val="lt-LT"/>
          </w:rPr>
          <w:t>http://data.europa.eu/eli/C/2025/2247/oj</w:t>
        </w:r>
      </w:hyperlink>
      <w:r w:rsidR="00700B87" w:rsidRPr="004B3DFF">
        <w:rPr>
          <w:sz w:val="24"/>
          <w:lang w:val="lt-LT"/>
        </w:rPr>
        <w:t>).</w:t>
      </w:r>
    </w:p>
    <w:p w14:paraId="305B7E44" w14:textId="3982BA69" w:rsidR="00700B87" w:rsidRPr="004B3DFF" w:rsidRDefault="004B3DFF" w:rsidP="004B3DFF">
      <w:pPr>
        <w:pStyle w:val="FootnoteText"/>
        <w:ind w:left="567" w:hanging="567"/>
        <w:rPr>
          <w:sz w:val="24"/>
          <w:lang w:val="lt-LT"/>
        </w:rPr>
      </w:pPr>
      <w:r w:rsidRPr="004B3DFF">
        <w:rPr>
          <w:sz w:val="24"/>
          <w:lang w:val="lt-LT"/>
        </w:rPr>
        <w:t xml:space="preserve"> </w:t>
      </w:r>
      <w:r w:rsidRPr="004B3DFF">
        <w:rPr>
          <w:sz w:val="24"/>
          <w:lang w:val="lt-LT"/>
        </w:rPr>
        <w:tab/>
      </w:r>
      <w:r w:rsidR="00700B87" w:rsidRPr="004B3DFF">
        <w:rPr>
          <w:sz w:val="24"/>
          <w:lang w:val="lt-LT"/>
        </w:rPr>
        <w:t>–</w:t>
      </w:r>
      <w:r w:rsidR="00700B87" w:rsidRPr="004B3DFF">
        <w:rPr>
          <w:sz w:val="24"/>
          <w:lang w:val="lt-LT"/>
        </w:rPr>
        <w:tab/>
        <w:t>2025 m. gegužės 8 d. Europos Parlamento rezoliuciją dėl Komisijos įgyvendinimo sprendimo, kuriuo pagal Europos Parlamento ir Tarybos reglamentą (EB) Nr. </w:t>
      </w:r>
      <w:r w:rsidR="00700B87" w:rsidRPr="004B3DFF">
        <w:rPr>
          <w:sz w:val="24"/>
          <w:lang w:val="lt-LT"/>
        </w:rPr>
        <w:t>1829/2003 leidžiama pateikti rinkai produktus, kurių sudėtyje yra genetiškai modifikuotų sojų MON 87705 × MON 87708 × MON 89788, kurie iš jų sudaryti arba kurie iš jų pagaminti, projekto (P10_TA(</w:t>
      </w:r>
      <w:r w:rsidR="00700B87" w:rsidRPr="004B3DFF">
        <w:rPr>
          <w:sz w:val="24"/>
          <w:lang w:val="lt-LT"/>
        </w:rPr>
        <w:t>2025</w:t>
      </w:r>
      <w:r w:rsidR="00A73D89">
        <w:rPr>
          <w:sz w:val="24"/>
          <w:lang w:val="lt-LT"/>
        </w:rPr>
        <w:t>)</w:t>
      </w:r>
      <w:r w:rsidR="00700B87" w:rsidRPr="004B3DFF">
        <w:rPr>
          <w:sz w:val="24"/>
          <w:lang w:val="lt-LT"/>
        </w:rPr>
        <w:t>0106).</w:t>
      </w:r>
    </w:p>
  </w:footnote>
  <w:footnote w:id="6">
    <w:p w14:paraId="4107C155" w14:textId="0890001E"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r w:rsidRPr="004B3DFF">
        <w:rPr>
          <w:sz w:val="24"/>
          <w:lang w:val="lt-LT"/>
        </w:rPr>
        <w:t xml:space="preserve">2009 m. spalio 21 d. Europos Parlamento ir Tarybos reglamentas (EB) Nr. 1107/2009 dėl augalų apsaugos produktų pateikimo į rinką ir panaikinantis Tarybos direktyvas 79/117/EEB ir 91/414/EEB (OL L 309, 2009 11 24, p. 1, ELI: </w:t>
      </w:r>
      <w:hyperlink r:id="rId15" w:tooltip="Suteikia prieigą prie šio dokumento per jo ELI URI." w:history="1">
        <w:r w:rsidRPr="004B3DFF">
          <w:rPr>
            <w:rStyle w:val="Hyperlink"/>
            <w:sz w:val="24"/>
            <w:lang w:val="lt-LT"/>
          </w:rPr>
          <w:t>http://data.europa.eu/eli/reg/2009/1107/oj</w:t>
        </w:r>
      </w:hyperlink>
      <w:r w:rsidRPr="004B3DFF">
        <w:rPr>
          <w:sz w:val="24"/>
          <w:lang w:val="lt-LT"/>
        </w:rPr>
        <w:t>).</w:t>
      </w:r>
    </w:p>
  </w:footnote>
  <w:footnote w:id="7">
    <w:p w14:paraId="6190B06B" w14:textId="70B0A79C"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hyperlink r:id="rId16" w:history="1">
        <w:r w:rsidRPr="004B3DFF">
          <w:rPr>
            <w:rStyle w:val="Hyperlink"/>
            <w:sz w:val="24"/>
            <w:lang w:val="lt-LT"/>
          </w:rPr>
          <w:t>https://www.testbiotech.org/wp-content/uploads/2024/12/Testbiotech_comment_‌maize_DP51291.pdf</w:t>
        </w:r>
      </w:hyperlink>
      <w:r w:rsidRPr="004B3DFF">
        <w:rPr>
          <w:sz w:val="24"/>
          <w:lang w:val="lt-LT"/>
        </w:rPr>
        <w:t>.</w:t>
      </w:r>
    </w:p>
  </w:footnote>
  <w:footnote w:id="8">
    <w:p w14:paraId="06CCF136" w14:textId="58279D5C"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r w:rsidRPr="004B3DFF">
        <w:rPr>
          <w:sz w:val="24"/>
          <w:lang w:val="lt-LT"/>
        </w:rPr>
        <w:t xml:space="preserve">2013 m. balandžio 3 d. Komisijos įgyvendinimo reglamentas (ES) Nr. 503/2013 dėl paraiškų genetiškai modifikuotų maisto produktų ir pašarų leidimams gauti pagal Europos Parlamento ir Tarybos reglamentą (EB) Nr. 1829/2003 ir iš dalies jį keičiančius Komisijos reglamentą (EB) Nr. 641/2004 ir Komisijos reglamentą (EB) Nr. 1981/2006 (OL L 157, 2013 6 8, p. 1, ELI: </w:t>
      </w:r>
      <w:hyperlink r:id="rId17" w:history="1">
        <w:r w:rsidRPr="004B3DFF">
          <w:rPr>
            <w:rStyle w:val="Hyperlink"/>
            <w:sz w:val="24"/>
            <w:lang w:val="lt-LT"/>
          </w:rPr>
          <w:t>http://data.europa.eu/eli/reg_impl/2013/503/oj</w:t>
        </w:r>
      </w:hyperlink>
      <w:r w:rsidRPr="004B3DFF">
        <w:rPr>
          <w:sz w:val="24"/>
          <w:lang w:val="lt-LT"/>
        </w:rPr>
        <w:t>).</w:t>
      </w:r>
    </w:p>
  </w:footnote>
  <w:footnote w:id="9">
    <w:p w14:paraId="7F4E4D26" w14:textId="53583433"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r w:rsidRPr="004B3DFF">
        <w:rPr>
          <w:sz w:val="24"/>
          <w:lang w:val="lt-LT"/>
        </w:rPr>
        <w:t xml:space="preserve">M. Trtikova, O. G. Wikmark, N. Zemp, A. Widmer, A. Hilbeck, (2015) „Transgene Expression and Bt Protein Content in Transgenic Bt Maize (MON810) under Optimal and Stressful Environmental Conditions“, </w:t>
      </w:r>
      <w:r w:rsidRPr="004B3DFF">
        <w:rPr>
          <w:i/>
          <w:sz w:val="24"/>
          <w:lang w:val="lt-LT"/>
        </w:rPr>
        <w:t>PLoS ONE</w:t>
      </w:r>
      <w:r w:rsidRPr="004B3DFF">
        <w:rPr>
          <w:sz w:val="24"/>
          <w:lang w:val="lt-LT"/>
        </w:rPr>
        <w:t xml:space="preserve"> 10(4): e0123011, </w:t>
      </w:r>
      <w:hyperlink r:id="rId18" w:history="1">
        <w:r w:rsidRPr="004B3DFF">
          <w:rPr>
            <w:rStyle w:val="Hyperlink"/>
            <w:sz w:val="24"/>
            <w:lang w:val="lt-LT"/>
          </w:rPr>
          <w:t>https://doi.org/10.1371/journal.pone.0123011</w:t>
        </w:r>
      </w:hyperlink>
      <w:r w:rsidRPr="004B3DFF">
        <w:rPr>
          <w:sz w:val="24"/>
          <w:lang w:val="lt-LT"/>
        </w:rPr>
        <w:t>.</w:t>
      </w:r>
    </w:p>
  </w:footnote>
  <w:footnote w:id="10">
    <w:p w14:paraId="79F2B545" w14:textId="7421FFE9"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r w:rsidRPr="004B3DFF">
        <w:rPr>
          <w:sz w:val="24"/>
          <w:lang w:val="lt-LT"/>
        </w:rPr>
        <w:t xml:space="preserve">Žr., pvz., R. Schulz, S. Bub, L. L. Petschick, S. Stehle, J. Wolfram, (2021) „Applied pesticide toxicity shifts toward plants and invertebrates, even in GM crops“, </w:t>
      </w:r>
      <w:r w:rsidRPr="004B3DFF">
        <w:rPr>
          <w:i/>
          <w:sz w:val="24"/>
          <w:lang w:val="lt-LT"/>
        </w:rPr>
        <w:t>Science</w:t>
      </w:r>
      <w:r w:rsidRPr="004B3DFF">
        <w:rPr>
          <w:sz w:val="24"/>
          <w:lang w:val="lt-LT"/>
        </w:rPr>
        <w:t xml:space="preserve"> 372(6537), p. 81–84, </w:t>
      </w:r>
      <w:hyperlink r:id="rId19" w:history="1">
        <w:r w:rsidRPr="004B3DFF">
          <w:rPr>
            <w:rStyle w:val="Hyperlink"/>
            <w:sz w:val="24"/>
            <w:lang w:val="lt-LT"/>
          </w:rPr>
          <w:t>https://doi.org/10.1126/science.abe1148</w:t>
        </w:r>
      </w:hyperlink>
      <w:r w:rsidRPr="004B3DFF">
        <w:rPr>
          <w:sz w:val="24"/>
          <w:lang w:val="lt-LT"/>
        </w:rPr>
        <w:t xml:space="preserve">; S. Bonny, „Genetically Modified Herbicide-Tolerant Crops, Weeds, and Herbicides: Overview and Impact“, </w:t>
      </w:r>
      <w:r w:rsidRPr="004B3DFF">
        <w:rPr>
          <w:i/>
          <w:sz w:val="24"/>
          <w:lang w:val="lt-LT"/>
        </w:rPr>
        <w:t>Environmental Management</w:t>
      </w:r>
      <w:r w:rsidRPr="004B3DFF">
        <w:rPr>
          <w:sz w:val="24"/>
          <w:lang w:val="lt-LT"/>
        </w:rPr>
        <w:t xml:space="preserve">, sausio mėn. 2016;57(1), p. 31–48, </w:t>
      </w:r>
      <w:hyperlink r:id="rId20" w:history="1">
        <w:r w:rsidRPr="004B3DFF">
          <w:rPr>
            <w:rStyle w:val="Hyperlink"/>
            <w:sz w:val="24"/>
            <w:lang w:val="lt-LT"/>
          </w:rPr>
          <w:t>https://www.ncbi.nlm.nih.gov/pubmed/26296738</w:t>
        </w:r>
      </w:hyperlink>
      <w:r w:rsidRPr="004B3DFF">
        <w:rPr>
          <w:sz w:val="24"/>
          <w:lang w:val="lt-LT"/>
        </w:rPr>
        <w:t xml:space="preserve"> ir C. M. Benbrook „Impacts of genetically engineered crops on pesticide use in the U.S. – the first sixteen years“, </w:t>
      </w:r>
      <w:r w:rsidRPr="004B3DFF">
        <w:rPr>
          <w:i/>
          <w:sz w:val="24"/>
          <w:lang w:val="lt-LT"/>
        </w:rPr>
        <w:t>Environmental Sciences Europe</w:t>
      </w:r>
      <w:r w:rsidRPr="004B3DFF">
        <w:rPr>
          <w:sz w:val="24"/>
          <w:lang w:val="lt-LT"/>
        </w:rPr>
        <w:t xml:space="preserve">, 2012 m. rugsėjo 28 d., 24(24) tomas, </w:t>
      </w:r>
      <w:hyperlink r:id="rId21" w:history="1">
        <w:r w:rsidRPr="004B3DFF">
          <w:rPr>
            <w:rStyle w:val="Hyperlink"/>
            <w:sz w:val="24"/>
            <w:lang w:val="lt-LT"/>
          </w:rPr>
          <w:t>https://doi.org/10.1186/2190-4715-24-24</w:t>
        </w:r>
      </w:hyperlink>
      <w:r w:rsidRPr="004B3DFF">
        <w:rPr>
          <w:sz w:val="24"/>
          <w:lang w:val="lt-LT"/>
        </w:rPr>
        <w:t>.</w:t>
      </w:r>
    </w:p>
  </w:footnote>
  <w:footnote w:id="11">
    <w:p w14:paraId="6F210BAE" w14:textId="201965E6"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r w:rsidRPr="004B3DFF">
        <w:rPr>
          <w:sz w:val="24"/>
          <w:lang w:val="lt-LT"/>
        </w:rPr>
        <w:t xml:space="preserve">Žr. N. Rubio-Infante, L. Moreno-Fierros, „An overview of the safety and biological effects of </w:t>
      </w:r>
      <w:r w:rsidRPr="004B3DFF">
        <w:rPr>
          <w:i/>
          <w:sz w:val="24"/>
          <w:lang w:val="lt-LT"/>
        </w:rPr>
        <w:t>Bacillus thuringiensis</w:t>
      </w:r>
      <w:r w:rsidRPr="004B3DFF">
        <w:rPr>
          <w:sz w:val="24"/>
          <w:lang w:val="lt-LT"/>
        </w:rPr>
        <w:t xml:space="preserve"> Cry toxins in mammals“, </w:t>
      </w:r>
      <w:r w:rsidRPr="004B3DFF">
        <w:rPr>
          <w:i/>
          <w:sz w:val="24"/>
          <w:lang w:val="lt-LT"/>
        </w:rPr>
        <w:t>Journal of Applied Toxicology</w:t>
      </w:r>
      <w:r w:rsidRPr="004B3DFF">
        <w:rPr>
          <w:sz w:val="24"/>
          <w:lang w:val="lt-LT"/>
        </w:rPr>
        <w:t xml:space="preserve">, 2016 m. gegužės mėn., 36(5), p. 630–648, </w:t>
      </w:r>
      <w:hyperlink r:id="rId22" w:history="1">
        <w:r w:rsidRPr="004B3DFF">
          <w:rPr>
            <w:rStyle w:val="Hyperlink"/>
            <w:sz w:val="24"/>
            <w:lang w:val="lt-LT"/>
          </w:rPr>
          <w:t>https://onlinelibrary.wiley.com/doi/full/10.1002/jat.3252</w:t>
        </w:r>
      </w:hyperlink>
      <w:r w:rsidRPr="004B3DFF">
        <w:rPr>
          <w:sz w:val="24"/>
          <w:lang w:val="lt-LT"/>
        </w:rPr>
        <w:t>.</w:t>
      </w:r>
    </w:p>
  </w:footnote>
  <w:footnote w:id="12">
    <w:p w14:paraId="61C9F68A" w14:textId="3EC27151"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r w:rsidRPr="004B3DFF">
        <w:rPr>
          <w:sz w:val="24"/>
          <w:lang w:val="lt-LT"/>
        </w:rPr>
        <w:t>T. Bøhn, C. Macagnan Rover, P. R. Semenchuk, „</w:t>
      </w:r>
      <w:r w:rsidRPr="004B3DFF">
        <w:rPr>
          <w:i/>
          <w:sz w:val="24"/>
          <w:lang w:val="lt-LT"/>
        </w:rPr>
        <w:t>Daphnia magna</w:t>
      </w:r>
      <w:r w:rsidRPr="004B3DFF">
        <w:rPr>
          <w:sz w:val="24"/>
          <w:lang w:val="lt-LT"/>
        </w:rPr>
        <w:t xml:space="preserve"> negatively affected by chronic exposure to purified Cry-toxins“,</w:t>
      </w:r>
      <w:r w:rsidRPr="004B3DFF">
        <w:rPr>
          <w:i/>
          <w:sz w:val="24"/>
          <w:lang w:val="lt-LT"/>
        </w:rPr>
        <w:t xml:space="preserve"> Food and Chemical Toxicology</w:t>
      </w:r>
      <w:r w:rsidRPr="004B3DFF">
        <w:rPr>
          <w:sz w:val="24"/>
          <w:lang w:val="lt-LT"/>
        </w:rPr>
        <w:t xml:space="preserve">, 2016 m. gegužės mėn., 91 tomas, p. 130–140, </w:t>
      </w:r>
      <w:hyperlink r:id="rId23" w:history="1">
        <w:r w:rsidRPr="004B3DFF">
          <w:rPr>
            <w:rStyle w:val="Hyperlink"/>
            <w:sz w:val="24"/>
            <w:lang w:val="lt-LT"/>
          </w:rPr>
          <w:t>https://doi.org/10.1016/j.fct.2016.03.009</w:t>
        </w:r>
      </w:hyperlink>
      <w:r w:rsidRPr="004B3DFF">
        <w:rPr>
          <w:sz w:val="24"/>
          <w:lang w:val="lt-LT"/>
        </w:rPr>
        <w:t>.</w:t>
      </w:r>
    </w:p>
  </w:footnote>
  <w:footnote w:id="13">
    <w:p w14:paraId="1C03EE5E" w14:textId="248F0DFE"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r w:rsidRPr="004B3DFF">
        <w:rPr>
          <w:sz w:val="24"/>
          <w:lang w:val="lt-LT"/>
        </w:rPr>
        <w:t xml:space="preserve">M. Trtikova, A. Lohn, R. Binimelis, L. Chapela, B. Oehen, N. Zemp, A. Widmer, A. Hilbeck, (2017), „Teosinte in Europe – Searching for the Origin of a Novel Weed“, </w:t>
      </w:r>
      <w:r w:rsidRPr="004B3DFF">
        <w:rPr>
          <w:i/>
          <w:sz w:val="24"/>
          <w:lang w:val="lt-LT"/>
        </w:rPr>
        <w:t>Scientific Reports</w:t>
      </w:r>
      <w:r w:rsidRPr="004B3DFF">
        <w:rPr>
          <w:sz w:val="24"/>
          <w:lang w:val="lt-LT"/>
        </w:rPr>
        <w:t xml:space="preserve">, 7:1560, </w:t>
      </w:r>
      <w:hyperlink r:id="rId24" w:history="1">
        <w:r w:rsidRPr="004B3DFF">
          <w:rPr>
            <w:rStyle w:val="Hyperlink"/>
            <w:sz w:val="24"/>
            <w:lang w:val="lt-LT"/>
          </w:rPr>
          <w:t>https://doi.org/10.1038/s41598-017-01478-w</w:t>
        </w:r>
      </w:hyperlink>
      <w:r w:rsidRPr="004B3DFF">
        <w:rPr>
          <w:sz w:val="24"/>
          <w:lang w:val="lt-LT"/>
        </w:rPr>
        <w:t>.</w:t>
      </w:r>
    </w:p>
  </w:footnote>
  <w:footnote w:id="14">
    <w:p w14:paraId="5DDC44A5" w14:textId="28D2AF43"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r w:rsidRPr="004B3DFF">
        <w:rPr>
          <w:sz w:val="24"/>
          <w:lang w:val="lt-LT"/>
        </w:rPr>
        <w:t xml:space="preserve">„Strategic Dialogue on the Future of EU Agriculture – A shared prospect for farming and food in Europe“, 2024 m. rugsėjo mėn., </w:t>
      </w:r>
      <w:hyperlink r:id="rId25" w:history="1">
        <w:r w:rsidRPr="004B3DFF">
          <w:rPr>
            <w:rStyle w:val="Hyperlink"/>
            <w:sz w:val="24"/>
            <w:lang w:val="lt-LT"/>
          </w:rPr>
          <w:t>https://agriculture.ec.europa.eu/document/download/171329ff-0f50-4fa5-946f-aea11032172e_en?filename=strategic-dialogue-report-2024_en.pdf</w:t>
        </w:r>
      </w:hyperlink>
      <w:r w:rsidRPr="004B3DFF">
        <w:rPr>
          <w:sz w:val="24"/>
          <w:lang w:val="lt-LT"/>
        </w:rPr>
        <w:t xml:space="preserve">. </w:t>
      </w:r>
    </w:p>
  </w:footnote>
  <w:footnote w:id="15">
    <w:p w14:paraId="66424621" w14:textId="6361CF0F"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hyperlink r:id="rId26" w:history="1">
        <w:r w:rsidRPr="004B3DFF">
          <w:rPr>
            <w:rStyle w:val="Hyperlink"/>
            <w:sz w:val="24"/>
            <w:lang w:val="lt-LT"/>
          </w:rPr>
          <w:t>https://www.ohchr.org/en/documents/thematic-reports/ahrc3448-report-special-rapporteur-right-food</w:t>
        </w:r>
      </w:hyperlink>
      <w:r w:rsidRPr="004B3DFF">
        <w:rPr>
          <w:sz w:val="24"/>
          <w:lang w:val="lt-LT"/>
        </w:rPr>
        <w:t xml:space="preserve">. </w:t>
      </w:r>
    </w:p>
  </w:footnote>
  <w:footnote w:id="16">
    <w:p w14:paraId="1789582D" w14:textId="4C69C11D"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hyperlink r:id="rId27" w:history="1">
        <w:r w:rsidRPr="004B3DFF">
          <w:rPr>
            <w:rStyle w:val="Hyperlink"/>
            <w:sz w:val="24"/>
            <w:lang w:val="lt-LT"/>
          </w:rPr>
          <w:t>https://www.un.org/sustainabledevelopment/health/</w:t>
        </w:r>
      </w:hyperlink>
      <w:r w:rsidRPr="004B3DFF">
        <w:rPr>
          <w:sz w:val="24"/>
          <w:lang w:val="lt-LT"/>
        </w:rPr>
        <w:t xml:space="preserve">. </w:t>
      </w:r>
    </w:p>
  </w:footnote>
  <w:footnote w:id="17">
    <w:p w14:paraId="0B087750" w14:textId="75F7A6D2"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hyperlink r:id="rId28" w:history="1">
        <w:r w:rsidRPr="004B3DFF">
          <w:rPr>
            <w:rStyle w:val="Hyperlink"/>
            <w:sz w:val="24"/>
            <w:lang w:val="lt-LT"/>
          </w:rPr>
          <w:t>https://ec.europa.eu/commission/presscorner/detail/lt/ip_22_7834</w:t>
        </w:r>
      </w:hyperlink>
      <w:r w:rsidRPr="004B3DFF">
        <w:rPr>
          <w:sz w:val="24"/>
          <w:lang w:val="lt-LT"/>
        </w:rPr>
        <w:t xml:space="preserve">. </w:t>
      </w:r>
    </w:p>
  </w:footnote>
  <w:footnote w:id="18">
    <w:p w14:paraId="5ED5FE0B" w14:textId="664D7C85"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hyperlink r:id="rId29" w:history="1">
        <w:r w:rsidRPr="004B3DFF">
          <w:rPr>
            <w:rStyle w:val="Hyperlink"/>
            <w:sz w:val="24"/>
            <w:lang w:val="lt-LT"/>
          </w:rPr>
          <w:t>https://commission.europa.eu/document/2c64e540-c07a-4376-a1da-368d289f4afe_en</w:t>
        </w:r>
      </w:hyperlink>
      <w:r w:rsidRPr="004B3DFF">
        <w:rPr>
          <w:sz w:val="24"/>
          <w:lang w:val="lt-LT"/>
        </w:rPr>
        <w:t>.</w:t>
      </w:r>
    </w:p>
  </w:footnote>
  <w:footnote w:id="19">
    <w:p w14:paraId="527FDEDC" w14:textId="6B16BF7A"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r w:rsidRPr="004B3DFF">
        <w:rPr>
          <w:sz w:val="24"/>
          <w:lang w:val="lt-LT"/>
        </w:rPr>
        <w:t>Pagal Reglamento (ES) Nr. 182/2011 6 straipsnio 3 dalį Komisija „gali“, o ne „turi“ suteikti leidimą, jei apeliaciniame komitete nėra pritariančios kvalifikuotos valstybių narių balsų daugumos.</w:t>
      </w:r>
    </w:p>
  </w:footnote>
  <w:footnote w:id="20">
    <w:p w14:paraId="0E958939" w14:textId="770A25F7"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hyperlink r:id="rId30" w:history="1">
        <w:r w:rsidRPr="004B3DFF">
          <w:rPr>
            <w:rStyle w:val="Hyperlink"/>
            <w:sz w:val="24"/>
            <w:lang w:val="lt-LT"/>
          </w:rPr>
          <w:t>https://food.ec.europa.eu/document/download/ee1a5aed-5303-4c32-bb59-813143a1df47_en?filename=sc_modif-genet_20250613_sum.pdf</w:t>
        </w:r>
      </w:hyperlink>
      <w:r w:rsidRPr="004B3DFF">
        <w:rPr>
          <w:sz w:val="24"/>
          <w:lang w:val="lt-LT"/>
        </w:rPr>
        <w:t>.</w:t>
      </w:r>
    </w:p>
  </w:footnote>
  <w:footnote w:id="21">
    <w:p w14:paraId="19BE0762" w14:textId="4754F095"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r w:rsidRPr="004B3DFF">
        <w:rPr>
          <w:sz w:val="24"/>
          <w:lang w:val="lt-LT"/>
        </w:rPr>
        <w:t xml:space="preserve">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 </w:t>
      </w:r>
      <w:hyperlink r:id="rId31" w:history="1">
        <w:r w:rsidRPr="004B3DFF">
          <w:rPr>
            <w:rStyle w:val="Hyperlink"/>
            <w:sz w:val="24"/>
            <w:lang w:val="lt-LT"/>
          </w:rPr>
          <w:t>http://data.europa.eu/eli/reg/2002/178/oj</w:t>
        </w:r>
      </w:hyperlink>
      <w:r w:rsidRPr="004B3DFF">
        <w:rPr>
          <w:sz w:val="24"/>
          <w:lang w:val="lt-LT"/>
        </w:rPr>
        <w:t>).</w:t>
      </w:r>
    </w:p>
  </w:footnote>
  <w:footnote w:id="22">
    <w:p w14:paraId="2A2DEC81" w14:textId="6034A82E"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r w:rsidRPr="004B3DFF">
        <w:rPr>
          <w:sz w:val="24"/>
          <w:lang w:val="lt-LT"/>
        </w:rPr>
        <w:t xml:space="preserve">Kaip nurodyta 2020 m. spalio 14 d. Komisijos komunikato „Cheminių medžiagų strategija tvarumui užtikrinti. Aplinkos be toksinių medžiagų kūrimas“, COM(2020)0667, </w:t>
      </w:r>
      <w:hyperlink r:id="rId32" w:anchor="document2" w:history="1">
        <w:r w:rsidRPr="004B3DFF">
          <w:rPr>
            <w:rStyle w:val="Hyperlink"/>
            <w:sz w:val="24"/>
            <w:lang w:val="lt-LT"/>
          </w:rPr>
          <w:t>https://eur-lex.europa.eu/legal-content/LT/TXT/?uri=COM%3A2020%3A667%3AFIN#document2</w:t>
        </w:r>
      </w:hyperlink>
      <w:r w:rsidRPr="004B3DFF">
        <w:rPr>
          <w:sz w:val="24"/>
          <w:lang w:val="lt-LT"/>
        </w:rPr>
        <w:t>.</w:t>
      </w:r>
    </w:p>
  </w:footnote>
  <w:footnote w:id="23">
    <w:p w14:paraId="3ED6E9A7" w14:textId="537B2C57"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hyperlink r:id="rId33" w:history="1">
        <w:r w:rsidRPr="004B3DFF">
          <w:rPr>
            <w:rStyle w:val="Hyperlink"/>
            <w:sz w:val="24"/>
            <w:lang w:val="lt-LT"/>
          </w:rPr>
          <w:t>https://tillymetz.lu/wp-content/uploads/2020/09/Co-signed-letter-MEP-Metz.pdf</w:t>
        </w:r>
      </w:hyperlink>
      <w:r w:rsidRPr="004B3DFF">
        <w:rPr>
          <w:sz w:val="24"/>
          <w:lang w:val="lt-LT"/>
        </w:rPr>
        <w:t xml:space="preserve">. </w:t>
      </w:r>
    </w:p>
  </w:footnote>
  <w:footnote w:id="24">
    <w:p w14:paraId="55CE8EDF" w14:textId="70B9A9A4" w:rsidR="00700B87" w:rsidRPr="004B3DFF" w:rsidRDefault="00700B87" w:rsidP="004B3DFF">
      <w:pPr>
        <w:pStyle w:val="FootnoteText"/>
        <w:ind w:left="567" w:hanging="567"/>
        <w:rPr>
          <w:sz w:val="24"/>
          <w:lang w:val="lt-LT"/>
        </w:rPr>
      </w:pPr>
      <w:r w:rsidRPr="004B3DFF">
        <w:rPr>
          <w:rStyle w:val="FootnoteReference"/>
          <w:sz w:val="24"/>
          <w:lang w:val="lt-LT"/>
        </w:rPr>
        <w:footnoteRef/>
      </w:r>
      <w:r w:rsidR="004B3DFF" w:rsidRPr="004B3DFF">
        <w:rPr>
          <w:sz w:val="24"/>
          <w:lang w:val="lt-LT"/>
        </w:rPr>
        <w:t xml:space="preserve"> </w:t>
      </w:r>
      <w:r w:rsidR="004B3DFF" w:rsidRPr="004B3DFF">
        <w:rPr>
          <w:sz w:val="24"/>
          <w:lang w:val="lt-LT"/>
        </w:rPr>
        <w:tab/>
      </w:r>
      <w:r w:rsidRPr="004B3DFF">
        <w:rPr>
          <w:sz w:val="24"/>
          <w:lang w:val="lt-LT"/>
        </w:rPr>
        <w:t>2020 m. sausio 15 d. Europos Parlamento rezoliucija dėl Europos žaliojo kurso (OL C 270, 2021 7 7, p. 2), 102 dalis.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9119906">
    <w:abstractNumId w:val="9"/>
  </w:num>
  <w:num w:numId="2" w16cid:durableId="973951963">
    <w:abstractNumId w:val="9"/>
  </w:num>
  <w:num w:numId="3" w16cid:durableId="1366368579">
    <w:abstractNumId w:val="7"/>
  </w:num>
  <w:num w:numId="4" w16cid:durableId="703335544">
    <w:abstractNumId w:val="7"/>
  </w:num>
  <w:num w:numId="5" w16cid:durableId="1731802010">
    <w:abstractNumId w:val="6"/>
  </w:num>
  <w:num w:numId="6" w16cid:durableId="338697148">
    <w:abstractNumId w:val="6"/>
  </w:num>
  <w:num w:numId="7" w16cid:durableId="1635212607">
    <w:abstractNumId w:val="5"/>
  </w:num>
  <w:num w:numId="8" w16cid:durableId="231741013">
    <w:abstractNumId w:val="5"/>
  </w:num>
  <w:num w:numId="9" w16cid:durableId="405568815">
    <w:abstractNumId w:val="4"/>
  </w:num>
  <w:num w:numId="10" w16cid:durableId="1780952318">
    <w:abstractNumId w:val="4"/>
  </w:num>
  <w:num w:numId="11" w16cid:durableId="493497895">
    <w:abstractNumId w:val="8"/>
  </w:num>
  <w:num w:numId="12" w16cid:durableId="156460106">
    <w:abstractNumId w:val="8"/>
  </w:num>
  <w:num w:numId="13" w16cid:durableId="675419558">
    <w:abstractNumId w:val="3"/>
  </w:num>
  <w:num w:numId="14" w16cid:durableId="1490756392">
    <w:abstractNumId w:val="3"/>
  </w:num>
  <w:num w:numId="15" w16cid:durableId="281109930">
    <w:abstractNumId w:val="2"/>
  </w:num>
  <w:num w:numId="16" w16cid:durableId="334698094">
    <w:abstractNumId w:val="2"/>
  </w:num>
  <w:num w:numId="17" w16cid:durableId="1763599992">
    <w:abstractNumId w:val="1"/>
  </w:num>
  <w:num w:numId="18" w16cid:durableId="1111439849">
    <w:abstractNumId w:val="1"/>
  </w:num>
  <w:num w:numId="19" w16cid:durableId="64424012">
    <w:abstractNumId w:val="0"/>
  </w:num>
  <w:num w:numId="20" w16cid:durableId="1649240541">
    <w:abstractNumId w:val="0"/>
  </w:num>
  <w:num w:numId="21" w16cid:durableId="47148956">
    <w:abstractNumId w:val="9"/>
  </w:num>
  <w:num w:numId="22" w16cid:durableId="1436049409">
    <w:abstractNumId w:val="7"/>
  </w:num>
  <w:num w:numId="23" w16cid:durableId="1627931135">
    <w:abstractNumId w:val="6"/>
  </w:num>
  <w:num w:numId="24" w16cid:durableId="1583837777">
    <w:abstractNumId w:val="5"/>
  </w:num>
  <w:num w:numId="25" w16cid:durableId="153886758">
    <w:abstractNumId w:val="4"/>
  </w:num>
  <w:num w:numId="26" w16cid:durableId="1777141626">
    <w:abstractNumId w:val="8"/>
  </w:num>
  <w:num w:numId="27" w16cid:durableId="119228605">
    <w:abstractNumId w:val="3"/>
  </w:num>
  <w:num w:numId="28" w16cid:durableId="1071735917">
    <w:abstractNumId w:val="2"/>
  </w:num>
  <w:num w:numId="29" w16cid:durableId="1062295359">
    <w:abstractNumId w:val="1"/>
  </w:num>
  <w:num w:numId="30" w16cid:durableId="1282105411">
    <w:abstractNumId w:val="0"/>
  </w:num>
  <w:num w:numId="31" w16cid:durableId="83645544">
    <w:abstractNumId w:val="9"/>
  </w:num>
  <w:num w:numId="32" w16cid:durableId="279341803">
    <w:abstractNumId w:val="7"/>
  </w:num>
  <w:num w:numId="33" w16cid:durableId="1009259532">
    <w:abstractNumId w:val="6"/>
  </w:num>
  <w:num w:numId="34" w16cid:durableId="1815903657">
    <w:abstractNumId w:val="5"/>
  </w:num>
  <w:num w:numId="35" w16cid:durableId="2079816538">
    <w:abstractNumId w:val="4"/>
  </w:num>
  <w:num w:numId="36" w16cid:durableId="1569150080">
    <w:abstractNumId w:val="8"/>
  </w:num>
  <w:num w:numId="37" w16cid:durableId="1398165149">
    <w:abstractNumId w:val="3"/>
  </w:num>
  <w:num w:numId="38" w16cid:durableId="1686596378">
    <w:abstractNumId w:val="2"/>
  </w:num>
  <w:num w:numId="39" w16cid:durableId="1843861000">
    <w:abstractNumId w:val="1"/>
  </w:num>
  <w:num w:numId="40" w16cid:durableId="821966224">
    <w:abstractNumId w:val="0"/>
  </w:num>
  <w:num w:numId="41" w16cid:durableId="291637580">
    <w:abstractNumId w:val="10"/>
  </w:num>
  <w:num w:numId="42" w16cid:durableId="586575576">
    <w:abstractNumId w:val="10"/>
  </w:num>
  <w:num w:numId="43" w16cid:durableId="23335050">
    <w:abstractNumId w:val="10"/>
  </w:num>
  <w:num w:numId="44" w16cid:durableId="2016757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LT"/>
    <w:docVar w:name="dvnumam" w:val="0"/>
    <w:docVar w:name="dvpe" w:val="775.588"/>
    <w:docVar w:name="dvtitre" w:val="2025 m. spalio 8 d. Europos Parlamento rezoliucija dėl Komisijos įgyvendinimo sprendimo, kuriuo pagal Europos Parlamento ir Tarybos reglamentą (EB) Nr. 1829/2003 leidžiama pateikti rinkai produktus, kurių sudėtyje yra genetiškai modifikuotų kukurūzų DP51291, kurie iš jų sudaryti arba kurie iš jų pagaminti, projekto(D108064/03 – 2025/2807(RSP))"/>
  </w:docVars>
  <w:rsids>
    <w:rsidRoot w:val="002162EA"/>
    <w:rsid w:val="00002272"/>
    <w:rsid w:val="00064002"/>
    <w:rsid w:val="000677B9"/>
    <w:rsid w:val="000831BA"/>
    <w:rsid w:val="000A42CC"/>
    <w:rsid w:val="000E7DD9"/>
    <w:rsid w:val="0010095E"/>
    <w:rsid w:val="00125B37"/>
    <w:rsid w:val="00187494"/>
    <w:rsid w:val="001F32AE"/>
    <w:rsid w:val="002162EA"/>
    <w:rsid w:val="00250EF9"/>
    <w:rsid w:val="002657C0"/>
    <w:rsid w:val="002767FF"/>
    <w:rsid w:val="002B18FE"/>
    <w:rsid w:val="002B5493"/>
    <w:rsid w:val="00343214"/>
    <w:rsid w:val="00361C00"/>
    <w:rsid w:val="00395FA1"/>
    <w:rsid w:val="003E15D4"/>
    <w:rsid w:val="00405C0A"/>
    <w:rsid w:val="00411CCE"/>
    <w:rsid w:val="0041666E"/>
    <w:rsid w:val="00421060"/>
    <w:rsid w:val="00471C19"/>
    <w:rsid w:val="004867E3"/>
    <w:rsid w:val="00494A28"/>
    <w:rsid w:val="004B3DFF"/>
    <w:rsid w:val="004C0004"/>
    <w:rsid w:val="004C5D52"/>
    <w:rsid w:val="0050519A"/>
    <w:rsid w:val="005072A1"/>
    <w:rsid w:val="0051419A"/>
    <w:rsid w:val="00514517"/>
    <w:rsid w:val="00545827"/>
    <w:rsid w:val="00560270"/>
    <w:rsid w:val="00560593"/>
    <w:rsid w:val="005C2568"/>
    <w:rsid w:val="005F1B17"/>
    <w:rsid w:val="006037C0"/>
    <w:rsid w:val="006631B6"/>
    <w:rsid w:val="00680577"/>
    <w:rsid w:val="006F74FA"/>
    <w:rsid w:val="00700B8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2C8"/>
    <w:rsid w:val="00930C23"/>
    <w:rsid w:val="0093193B"/>
    <w:rsid w:val="009426C6"/>
    <w:rsid w:val="009509D8"/>
    <w:rsid w:val="00950B64"/>
    <w:rsid w:val="00964561"/>
    <w:rsid w:val="00981893"/>
    <w:rsid w:val="00A1687D"/>
    <w:rsid w:val="00A43E52"/>
    <w:rsid w:val="00A4678D"/>
    <w:rsid w:val="00A73D89"/>
    <w:rsid w:val="00A778C7"/>
    <w:rsid w:val="00AB2CA9"/>
    <w:rsid w:val="00AB441E"/>
    <w:rsid w:val="00AB6293"/>
    <w:rsid w:val="00AE0928"/>
    <w:rsid w:val="00AF3B82"/>
    <w:rsid w:val="00B12E95"/>
    <w:rsid w:val="00B22876"/>
    <w:rsid w:val="00B558F0"/>
    <w:rsid w:val="00BD48FE"/>
    <w:rsid w:val="00BD7BD8"/>
    <w:rsid w:val="00BE6ADC"/>
    <w:rsid w:val="00C05BFE"/>
    <w:rsid w:val="00C23CD4"/>
    <w:rsid w:val="00C61C0C"/>
    <w:rsid w:val="00C7692D"/>
    <w:rsid w:val="00C941CB"/>
    <w:rsid w:val="00CC2357"/>
    <w:rsid w:val="00CD38E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4521"/>
    <w:rsid w:val="00F77F19"/>
    <w:rsid w:val="00F87713"/>
    <w:rsid w:val="00FB4360"/>
    <w:rsid w:val="00FC422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C096E0"/>
  <w15:chartTrackingRefBased/>
  <w15:docId w15:val="{255C12C2-4CBB-458D-AF6A-C4388C437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0B87"/>
    <w:pPr>
      <w:spacing w:before="480" w:after="240"/>
    </w:pPr>
  </w:style>
  <w:style w:type="paragraph" w:customStyle="1" w:styleId="NormalHanging12a">
    <w:name w:val="NormalHanging12a"/>
    <w:basedOn w:val="Normal"/>
    <w:rsid w:val="00700B87"/>
    <w:pPr>
      <w:spacing w:after="240"/>
      <w:ind w:left="567" w:hanging="567"/>
    </w:pPr>
  </w:style>
  <w:style w:type="paragraph" w:customStyle="1" w:styleId="NormalBold">
    <w:name w:val="NormalBold"/>
    <w:basedOn w:val="Normal"/>
    <w:rsid w:val="00700B87"/>
    <w:rPr>
      <w:b/>
    </w:rPr>
  </w:style>
  <w:style w:type="character" w:styleId="Hyperlink">
    <w:name w:val="Hyperlink"/>
    <w:basedOn w:val="DefaultParagraphFont"/>
    <w:uiPriority w:val="99"/>
    <w:rsid w:val="00700B87"/>
    <w:rPr>
      <w:color w:val="0563C1" w:themeColor="hyperlink"/>
      <w:u w:val="single"/>
    </w:rPr>
  </w:style>
  <w:style w:type="character" w:customStyle="1" w:styleId="Funotenzeichen">
    <w:name w:val="Fußnotenzeichen"/>
    <w:qFormat/>
    <w:rsid w:val="00700B87"/>
    <w:rPr>
      <w:vertAlign w:val="superscript"/>
    </w:rPr>
  </w:style>
  <w:style w:type="paragraph" w:styleId="Revision">
    <w:name w:val="Revision"/>
    <w:hidden/>
    <w:uiPriority w:val="99"/>
    <w:semiHidden/>
    <w:rsid w:val="00C7692D"/>
    <w:rPr>
      <w:sz w:val="24"/>
      <w:lang w:val="lt-LT"/>
    </w:rPr>
  </w:style>
  <w:style w:type="character" w:styleId="FollowedHyperlink">
    <w:name w:val="FollowedHyperlink"/>
    <w:basedOn w:val="DefaultParagraphFont"/>
    <w:rsid w:val="00405C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5/2246/oj" TargetMode="External"/><Relationship Id="rId18" Type="http://schemas.openxmlformats.org/officeDocument/2006/relationships/hyperlink" Target="https://doi.org/10.1371/journal.pone.0123011" TargetMode="External"/><Relationship Id="rId26"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doi.org/10.1186/2190-4715-24-24" TargetMode="External"/><Relationship Id="rId7" Type="http://schemas.openxmlformats.org/officeDocument/2006/relationships/hyperlink" Target="http://data.europa.eu/eli/C/2025/1799/oj" TargetMode="External"/><Relationship Id="rId12" Type="http://schemas.openxmlformats.org/officeDocument/2006/relationships/hyperlink" Target="http://data.europa.eu/eli/C/2025/1804/oj" TargetMode="External"/><Relationship Id="rId17" Type="http://schemas.openxmlformats.org/officeDocument/2006/relationships/hyperlink" Target="http://data.europa.eu/eli/reg_impl/2013/503/oj"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4/12/Testbiotech_comment_&#8204;maize_DP51291.pdf" TargetMode="External"/><Relationship Id="rId20" Type="http://schemas.openxmlformats.org/officeDocument/2006/relationships/hyperlink" Target="https://www.ncbi.nlm.nih.gov/pubmed/26296738" TargetMode="External"/><Relationship Id="rId29"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dec_impl/2025/1898/oj" TargetMode="External"/><Relationship Id="rId6" Type="http://schemas.openxmlformats.org/officeDocument/2006/relationships/hyperlink" Target="http://data.europa.eu/eli/C/2025/1798/oj" TargetMode="External"/><Relationship Id="rId11" Type="http://schemas.openxmlformats.org/officeDocument/2006/relationships/hyperlink" Target="http://data.europa.eu/eli/C/2025/1803/oj" TargetMode="External"/><Relationship Id="rId24" Type="http://schemas.openxmlformats.org/officeDocument/2006/relationships/hyperlink" Target="https://doi.org/10.1038/s41598-017-01478-w" TargetMode="External"/><Relationship Id="rId32" Type="http://schemas.openxmlformats.org/officeDocument/2006/relationships/hyperlink" Target="https://eur-lex.europa.eu/legal-content/LT/TXT/?uri=COM:2020:667:FIN" TargetMode="External"/><Relationship Id="rId5" Type="http://schemas.openxmlformats.org/officeDocument/2006/relationships/hyperlink" Target="http://data.europa.eu/eli/C/2025/1797/oj" TargetMode="External"/><Relationship Id="rId15" Type="http://schemas.openxmlformats.org/officeDocument/2006/relationships/hyperlink" Target="http://data.europa.eu/eli/reg/2009/1107/oj" TargetMode="External"/><Relationship Id="rId23" Type="http://schemas.openxmlformats.org/officeDocument/2006/relationships/hyperlink" Target="https://doi.org/10.1016/j.fct.2016.03.009" TargetMode="External"/><Relationship Id="rId28" Type="http://schemas.openxmlformats.org/officeDocument/2006/relationships/hyperlink" Target="https://ec.europa.eu/commission/presscorner/detail/en/ip_22_7834" TargetMode="External"/><Relationship Id="rId10" Type="http://schemas.openxmlformats.org/officeDocument/2006/relationships/hyperlink" Target="http://data.europa.eu/eli/C/2025/1802/oj" TargetMode="External"/><Relationship Id="rId19" Type="http://schemas.openxmlformats.org/officeDocument/2006/relationships/hyperlink" Target="https://doi.org/10.1126/science.abe1148" TargetMode="External"/><Relationship Id="rId31" Type="http://schemas.openxmlformats.org/officeDocument/2006/relationships/hyperlink" Target="http://data.europa.eu/eli/reg/2002/178/oj" TargetMode="External"/><Relationship Id="rId4" Type="http://schemas.openxmlformats.org/officeDocument/2006/relationships/hyperlink" Target="https://doi.org/10.2903/j.efsa.2024.9059" TargetMode="External"/><Relationship Id="rId9" Type="http://schemas.openxmlformats.org/officeDocument/2006/relationships/hyperlink" Target="http://data.europa.eu/eli/C/2025/1801/oj" TargetMode="External"/><Relationship Id="rId14" Type="http://schemas.openxmlformats.org/officeDocument/2006/relationships/hyperlink" Target="http://data.europa.eu/eli/C/2025/2247/oj" TargetMode="External"/><Relationship Id="rId22" Type="http://schemas.openxmlformats.org/officeDocument/2006/relationships/hyperlink" Target="https://onlinelibrary.wiley.com/doi/full/10.1002/jat.3252" TargetMode="External"/><Relationship Id="rId27" Type="http://schemas.openxmlformats.org/officeDocument/2006/relationships/hyperlink" Target="https://www.un.org/sustainabledevelopment/health/" TargetMode="External"/><Relationship Id="rId30" Type="http://schemas.openxmlformats.org/officeDocument/2006/relationships/hyperlink" Target="https://food.ec.europa.eu/document/download/ee1a5aed-5303-4c32-bb59-813143a1df47_en?filename=sc_modif-genet_20250613_sum.pdf" TargetMode="External"/><Relationship Id="rId8" Type="http://schemas.openxmlformats.org/officeDocument/2006/relationships/hyperlink" Target="http://data.europa.eu/eli/C/2025/18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2014</Words>
  <Characters>13698</Characters>
  <Application>Microsoft Office Word</Application>
  <DocSecurity>0</DocSecurity>
  <Lines>114</Lines>
  <Paragraphs>31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TA</vt:lpstr>
      <vt:lpstr>P10_TA(2025)0000</vt:lpstr>
      <vt:lpstr>    Genetiškai modifikuoti kukurūzai DP51291</vt:lpstr>
      <vt:lpstr>        2025 m. spalio 8 d. Europos Parlamento rezoliucija dėl 2025 m. rugsėjo 22 d. Kom</vt:lpstr>
      <vt:lpstr>        </vt:lpstr>
    </vt:vector>
  </TitlesOfParts>
  <Company/>
  <LinksUpToDate>false</LinksUpToDate>
  <CharactersWithSpaces>15681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2025-11-10T16:18:00Z</dcterms:created>
  <dcterms:modified xsi:type="dcterms:W3CDTF">2025-11-10T16:18:00Z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B10-0407/2025</vt:lpwstr>
  </property>
  <property fmtid="{D5CDD505-2E9C-101B-9397-08002B2CF9AE}" pid="4" name="&lt;Type&gt;">
    <vt:lpwstr>RR</vt:lpwstr>
  </property>
</Properties>
</file>