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6BE" w14:paraId="0000A286" w14:textId="77777777" w:rsidTr="0010095E">
        <w:trPr>
          <w:trHeight w:hRule="exact" w:val="1418"/>
        </w:trPr>
        <w:tc>
          <w:tcPr>
            <w:tcW w:w="6804" w:type="dxa"/>
            <w:shd w:val="clear" w:color="auto" w:fill="auto"/>
            <w:vAlign w:val="center"/>
          </w:tcPr>
          <w:p w14:paraId="7A837E89" w14:textId="77777777" w:rsidR="00751A4A" w:rsidRPr="006576BE" w:rsidRDefault="00002AB9" w:rsidP="0010095E">
            <w:pPr>
              <w:pStyle w:val="EPName"/>
            </w:pPr>
            <w:r w:rsidRPr="006576BE">
              <w:t>Eiropas Parlaments</w:t>
            </w:r>
          </w:p>
          <w:p w14:paraId="219A4F3F" w14:textId="77777777" w:rsidR="00751A4A" w:rsidRPr="006576BE" w:rsidRDefault="005F1B17" w:rsidP="005F1B17">
            <w:pPr>
              <w:pStyle w:val="EPTerm"/>
              <w:rPr>
                <w:rStyle w:val="HideTWBExt"/>
                <w:noProof w:val="0"/>
                <w:vanish w:val="0"/>
                <w:color w:val="auto"/>
              </w:rPr>
            </w:pPr>
            <w:r w:rsidRPr="006576BE">
              <w:t>2024</w:t>
            </w:r>
            <w:r w:rsidR="00817416" w:rsidRPr="006576BE">
              <w:t>-202</w:t>
            </w:r>
            <w:r w:rsidRPr="006576BE">
              <w:t>9</w:t>
            </w:r>
          </w:p>
        </w:tc>
        <w:tc>
          <w:tcPr>
            <w:tcW w:w="2268" w:type="dxa"/>
            <w:shd w:val="clear" w:color="auto" w:fill="auto"/>
          </w:tcPr>
          <w:p w14:paraId="37DEF8EE" w14:textId="77777777" w:rsidR="00751A4A" w:rsidRPr="006576BE" w:rsidRDefault="00187494" w:rsidP="0010095E">
            <w:pPr>
              <w:pStyle w:val="EPLogo"/>
            </w:pPr>
            <w:r w:rsidRPr="006576BE">
              <w:rPr>
                <w:noProof/>
                <w:lang w:eastAsia="ja-JP"/>
              </w:rPr>
              <w:drawing>
                <wp:inline distT="0" distB="0" distL="0" distR="0" wp14:anchorId="7007D2B8" wp14:editId="772BDF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679CE9" w14:textId="77777777" w:rsidR="00D058B8" w:rsidRPr="006576BE" w:rsidRDefault="00D058B8" w:rsidP="004C5D52">
      <w:pPr>
        <w:pStyle w:val="LineTop"/>
      </w:pPr>
    </w:p>
    <w:p w14:paraId="28FB7342" w14:textId="77777777" w:rsidR="00680577" w:rsidRPr="006576BE" w:rsidRDefault="00002AB9" w:rsidP="00680577">
      <w:pPr>
        <w:pStyle w:val="EPBodyTA1"/>
      </w:pPr>
      <w:r w:rsidRPr="006576BE">
        <w:t>PIEŅEMTIE TEKSTI</w:t>
      </w:r>
    </w:p>
    <w:p w14:paraId="51817FB8" w14:textId="77777777" w:rsidR="00D058B8" w:rsidRPr="006576BE" w:rsidRDefault="00D058B8" w:rsidP="00D058B8">
      <w:pPr>
        <w:pStyle w:val="LineBottom"/>
      </w:pPr>
    </w:p>
    <w:p w14:paraId="700DA064" w14:textId="609A2D61" w:rsidR="00002AB9" w:rsidRPr="006576BE" w:rsidRDefault="00002AB9" w:rsidP="00002AB9">
      <w:pPr>
        <w:pStyle w:val="ATHeading1"/>
      </w:pPr>
      <w:bookmarkStart w:id="0" w:name="TANumber"/>
      <w:r w:rsidRPr="006576BE">
        <w:t>P10_TA(2025)0</w:t>
      </w:r>
      <w:bookmarkEnd w:id="0"/>
      <w:r w:rsidR="006576BE" w:rsidRPr="006576BE">
        <w:t>222</w:t>
      </w:r>
    </w:p>
    <w:p w14:paraId="0175CDF9" w14:textId="69343F10" w:rsidR="00002AB9" w:rsidRPr="006576BE" w:rsidRDefault="0043594A" w:rsidP="00002AB9">
      <w:pPr>
        <w:pStyle w:val="ATHeading2"/>
      </w:pPr>
      <w:bookmarkStart w:id="1" w:name="title"/>
      <w:r w:rsidRPr="006576BE">
        <w:t>Ģ</w:t>
      </w:r>
      <w:r w:rsidR="00002AB9" w:rsidRPr="006576BE">
        <w:t>enētiski modificēta</w:t>
      </w:r>
      <w:r w:rsidRPr="006576BE">
        <w:t xml:space="preserve"> </w:t>
      </w:r>
      <w:r w:rsidR="00002AB9" w:rsidRPr="006576BE">
        <w:t>kukurūza DP51291</w:t>
      </w:r>
      <w:bookmarkEnd w:id="1"/>
    </w:p>
    <w:p w14:paraId="1F6B7F1C" w14:textId="77777777" w:rsidR="00002AB9" w:rsidRPr="006576BE" w:rsidRDefault="00002AB9" w:rsidP="00002AB9">
      <w:pPr>
        <w:rPr>
          <w:i/>
          <w:vanish/>
        </w:rPr>
      </w:pPr>
      <w:r w:rsidRPr="006576BE">
        <w:rPr>
          <w:i/>
        </w:rPr>
        <w:fldChar w:fldCharType="begin"/>
      </w:r>
      <w:r w:rsidRPr="006576BE">
        <w:rPr>
          <w:i/>
        </w:rPr>
        <w:instrText xml:space="preserve"> TC"(</w:instrText>
      </w:r>
      <w:bookmarkStart w:id="2" w:name="DocNumber"/>
      <w:r w:rsidRPr="006576BE">
        <w:rPr>
          <w:i/>
        </w:rPr>
        <w:instrText>B10-0407/2025</w:instrText>
      </w:r>
      <w:bookmarkEnd w:id="2"/>
      <w:r w:rsidRPr="006576BE">
        <w:rPr>
          <w:i/>
        </w:rPr>
        <w:instrText xml:space="preserve">)"\l3 \n&gt; \* MERGEFORMAT </w:instrText>
      </w:r>
      <w:r w:rsidRPr="006576BE">
        <w:rPr>
          <w:i/>
        </w:rPr>
        <w:fldChar w:fldCharType="end"/>
      </w:r>
    </w:p>
    <w:p w14:paraId="79F80ABE" w14:textId="77777777" w:rsidR="00002AB9" w:rsidRPr="006576BE" w:rsidRDefault="00002AB9" w:rsidP="00002AB9">
      <w:pPr>
        <w:rPr>
          <w:vanish/>
        </w:rPr>
      </w:pPr>
      <w:bookmarkStart w:id="3" w:name="PE"/>
      <w:r w:rsidRPr="006576BE">
        <w:rPr>
          <w:vanish/>
        </w:rPr>
        <w:t>PE775.588</w:t>
      </w:r>
      <w:bookmarkEnd w:id="3"/>
    </w:p>
    <w:p w14:paraId="3BC121DC" w14:textId="29EC5367" w:rsidR="00002AB9" w:rsidRPr="006576BE" w:rsidRDefault="00002AB9" w:rsidP="00002AB9">
      <w:pPr>
        <w:pStyle w:val="ATHeading3"/>
      </w:pPr>
      <w:bookmarkStart w:id="4" w:name="Sujet"/>
      <w:r w:rsidRPr="006576BE">
        <w:t xml:space="preserve">Eiropas Parlamenta 2025. gada </w:t>
      </w:r>
      <w:r w:rsidR="0043594A" w:rsidRPr="006576BE">
        <w:t>8</w:t>
      </w:r>
      <w:r w:rsidRPr="006576BE">
        <w:t xml:space="preserve">. </w:t>
      </w:r>
      <w:r w:rsidR="0043594A" w:rsidRPr="006576BE">
        <w:t>oktobra</w:t>
      </w:r>
      <w:r w:rsidRPr="006576BE">
        <w:t xml:space="preserve"> rezolūcija par Komisijas </w:t>
      </w:r>
      <w:r w:rsidR="0043594A" w:rsidRPr="006576BE">
        <w:t xml:space="preserve">2025. gada 22. septembra </w:t>
      </w:r>
      <w:r w:rsidRPr="006576BE">
        <w:t xml:space="preserve">īstenošanas </w:t>
      </w:r>
      <w:r w:rsidR="0043594A" w:rsidRPr="006576BE">
        <w:t>Lēmumu (ES) 2025/1898,</w:t>
      </w:r>
      <w:r w:rsidRPr="006576BE">
        <w:t xml:space="preserve"> ar ko atbilstoši Eiropas Parlamenta un Padomes Regulai (EK) Nr. 1829/2003 atļauj laist tirgū produktus, kas satur ģenētiski modificētu kukurūzu DP51291, sastāv vai ir ražoti no tās</w:t>
      </w:r>
      <w:bookmarkEnd w:id="4"/>
      <w:r w:rsidRPr="006576BE">
        <w:t xml:space="preserve"> </w:t>
      </w:r>
      <w:bookmarkStart w:id="5" w:name="References"/>
      <w:r w:rsidRPr="006576BE">
        <w:t>(2025/2807(RSP))</w:t>
      </w:r>
      <w:bookmarkEnd w:id="5"/>
    </w:p>
    <w:p w14:paraId="051DD33B" w14:textId="77777777" w:rsidR="00815BAB" w:rsidRPr="006576BE" w:rsidRDefault="00815BAB" w:rsidP="00815BAB">
      <w:pPr>
        <w:pStyle w:val="EPComma"/>
        <w:jc w:val="both"/>
      </w:pPr>
      <w:bookmarkStart w:id="6" w:name="TextBodyBegin"/>
      <w:bookmarkEnd w:id="6"/>
      <w:r w:rsidRPr="006576BE">
        <w:rPr>
          <w:i/>
          <w:iCs/>
        </w:rPr>
        <w:t>Eiropas Parlaments,</w:t>
      </w:r>
    </w:p>
    <w:p w14:paraId="643D367A" w14:textId="693A7B5B" w:rsidR="00815BAB" w:rsidRPr="006576BE" w:rsidRDefault="00815BAB" w:rsidP="00815BAB">
      <w:pPr>
        <w:pStyle w:val="NormalHanging12a"/>
        <w:widowControl/>
        <w:rPr>
          <w:szCs w:val="24"/>
        </w:rPr>
      </w:pPr>
      <w:r w:rsidRPr="006576BE">
        <w:t>–</w:t>
      </w:r>
      <w:r w:rsidRPr="006576BE">
        <w:tab/>
        <w:t xml:space="preserve">ņemot vērā </w:t>
      </w:r>
      <w:r w:rsidR="0043594A" w:rsidRPr="006576BE">
        <w:t>Komisijas 2025. gada 22. septembra īstenošanas Lēmumu (ES) 2025/1898</w:t>
      </w:r>
      <w:r w:rsidRPr="006576BE">
        <w:t>, ar ko atbilstoši Eiropas Parlamenta un Padomes Regulai (EK) Nr. 1829/2003 atļauj laist tirgū produktus, kas satur ģenētiski modificētu kukurūzu DP51291, sastāv vai ir ražoti no tās</w:t>
      </w:r>
      <w:r w:rsidR="0043594A" w:rsidRPr="006576BE">
        <w:rPr>
          <w:rStyle w:val="FootnoteReference"/>
        </w:rPr>
        <w:footnoteReference w:id="1"/>
      </w:r>
      <w:r w:rsidRPr="006576BE">
        <w:t>,</w:t>
      </w:r>
    </w:p>
    <w:p w14:paraId="1B5FE16E" w14:textId="77777777" w:rsidR="00815BAB" w:rsidRPr="006576BE" w:rsidRDefault="00815BAB" w:rsidP="00815BAB">
      <w:pPr>
        <w:pStyle w:val="NormalHanging12a"/>
        <w:widowControl/>
        <w:rPr>
          <w:szCs w:val="24"/>
        </w:rPr>
      </w:pPr>
      <w:r w:rsidRPr="006576BE">
        <w:t>–</w:t>
      </w:r>
      <w:r w:rsidRPr="006576BE">
        <w:tab/>
        <w:t>ņemot vērā Eiropas Parlamenta un Padomes 2003. gada 22. septembra Regulu (EK) Nr. 1829/2003 par ģenētiski modificētu pārtiku un barību</w:t>
      </w:r>
      <w:r w:rsidRPr="006576BE">
        <w:rPr>
          <w:rStyle w:val="FootnoteReference"/>
          <w:szCs w:val="24"/>
        </w:rPr>
        <w:footnoteReference w:id="2"/>
      </w:r>
      <w:r w:rsidRPr="006576BE">
        <w:t xml:space="preserve"> un jo īpaši tās 7. panta 3. punktu un 19. panta 3. punktu,</w:t>
      </w:r>
    </w:p>
    <w:p w14:paraId="4857FD25" w14:textId="77777777" w:rsidR="00815BAB" w:rsidRPr="006576BE" w:rsidRDefault="00815BAB" w:rsidP="00815BAB">
      <w:pPr>
        <w:pStyle w:val="NormalHanging12a"/>
        <w:widowControl/>
        <w:rPr>
          <w:szCs w:val="24"/>
        </w:rPr>
      </w:pPr>
      <w:r w:rsidRPr="006576BE">
        <w:t>–</w:t>
      </w:r>
      <w:r w:rsidRPr="006576BE">
        <w:tab/>
        <w:t>ņemot vērā Regulas (EK) Nr. 1829/2003 35. pantā minētās Augu, dzīvnieku, pārtikas aprites un dzīvnieku barības pastāvīgās komitejas 2025. gada 13. jūnija balsojumu, nesniedzot atzinumu, un pārsūdzības komitejas 2025. gada 15. jūlija balsojumu, arī nesniedzot atzinumu,</w:t>
      </w:r>
    </w:p>
    <w:p w14:paraId="72975984" w14:textId="77777777" w:rsidR="00815BAB" w:rsidRPr="006576BE" w:rsidRDefault="00815BAB" w:rsidP="00815BAB">
      <w:pPr>
        <w:pStyle w:val="NormalHanging12a"/>
        <w:widowControl/>
        <w:rPr>
          <w:szCs w:val="24"/>
        </w:rPr>
      </w:pPr>
      <w:r w:rsidRPr="006576BE">
        <w:t>–</w:t>
      </w:r>
      <w:r w:rsidRPr="006576BE">
        <w:tab/>
        <w:t>ņemot vērā 11. pantu Eiropas Parlamenta un Padomes 2011. gada 16. februāra Regulā (ES) Nr. 182/2011, ar ko nosaka normas un vispārīgus principus par dalībvalstu kontroles mehānismiem, kuri attiecas uz Komisijas īstenošanas pilnvaru izmantošanu</w:t>
      </w:r>
      <w:r w:rsidRPr="006576BE">
        <w:rPr>
          <w:rStyle w:val="FootnoteReference"/>
          <w:szCs w:val="24"/>
        </w:rPr>
        <w:footnoteReference w:id="3"/>
      </w:r>
      <w:r w:rsidRPr="006576BE">
        <w:t>,</w:t>
      </w:r>
    </w:p>
    <w:p w14:paraId="33521E6E" w14:textId="77777777" w:rsidR="00815BAB" w:rsidRPr="006576BE" w:rsidRDefault="00815BAB" w:rsidP="00815BAB">
      <w:pPr>
        <w:pStyle w:val="NormalHanging12a"/>
        <w:widowControl/>
        <w:rPr>
          <w:szCs w:val="24"/>
        </w:rPr>
      </w:pPr>
      <w:r w:rsidRPr="006576BE">
        <w:t>–</w:t>
      </w:r>
      <w:r w:rsidRPr="006576BE">
        <w:tab/>
        <w:t>ņemot vērā Eiropas Pārtikas nekaitīguma iestādes (</w:t>
      </w:r>
      <w:r w:rsidRPr="006576BE">
        <w:rPr>
          <w:i/>
          <w:iCs/>
        </w:rPr>
        <w:t>EFSA</w:t>
      </w:r>
      <w:r w:rsidRPr="006576BE">
        <w:t>) 2024. gada 2. oktobrī pieņemto atzinumu, kas publicēts 2024. gada 11. novembrī</w:t>
      </w:r>
      <w:r w:rsidRPr="006576BE">
        <w:rPr>
          <w:rStyle w:val="FootnoteReference"/>
          <w:szCs w:val="24"/>
        </w:rPr>
        <w:footnoteReference w:id="4"/>
      </w:r>
      <w:r w:rsidRPr="006576BE">
        <w:t>,</w:t>
      </w:r>
    </w:p>
    <w:p w14:paraId="70663700" w14:textId="77777777" w:rsidR="00815BAB" w:rsidRPr="006576BE" w:rsidRDefault="00815BAB" w:rsidP="00815BAB">
      <w:pPr>
        <w:pStyle w:val="NormalHanging12a"/>
        <w:widowControl/>
        <w:rPr>
          <w:szCs w:val="24"/>
          <w:shd w:val="clear" w:color="auto" w:fill="FFFFFF"/>
        </w:rPr>
      </w:pPr>
      <w:r w:rsidRPr="006576BE">
        <w:lastRenderedPageBreak/>
        <w:t>–</w:t>
      </w:r>
      <w:r w:rsidRPr="006576BE">
        <w:tab/>
      </w:r>
      <w:r w:rsidRPr="006576BE">
        <w:rPr>
          <w:shd w:val="clear" w:color="auto" w:fill="FFFFFF"/>
        </w:rPr>
        <w:t>ņemot vērā Parlamenta iepriekšējās rezolūcijas, kurās iebilsts pret atļauju izmantot ģenētiski modificētus organismus (ĢMO)</w:t>
      </w:r>
      <w:r w:rsidRPr="006576BE">
        <w:rPr>
          <w:rStyle w:val="FootnoteReference"/>
          <w:szCs w:val="24"/>
          <w:shd w:val="clear" w:color="auto" w:fill="FFFFFF"/>
        </w:rPr>
        <w:footnoteReference w:id="5"/>
      </w:r>
      <w:r w:rsidRPr="006576BE">
        <w:rPr>
          <w:shd w:val="clear" w:color="auto" w:fill="FFFFFF"/>
        </w:rPr>
        <w:t>,</w:t>
      </w:r>
    </w:p>
    <w:p w14:paraId="1C59016D" w14:textId="77777777" w:rsidR="00815BAB" w:rsidRPr="006576BE" w:rsidRDefault="00815BAB" w:rsidP="00815BAB">
      <w:pPr>
        <w:pStyle w:val="NormalHanging12a"/>
        <w:widowControl/>
        <w:rPr>
          <w:szCs w:val="24"/>
        </w:rPr>
      </w:pPr>
      <w:r w:rsidRPr="006576BE">
        <w:lastRenderedPageBreak/>
        <w:t>–</w:t>
      </w:r>
      <w:r w:rsidRPr="006576BE">
        <w:tab/>
        <w:t>ņemot vērā Reglamenta 115. panta 2. un 3. punktu,</w:t>
      </w:r>
    </w:p>
    <w:p w14:paraId="1D9860FB" w14:textId="77777777" w:rsidR="00815BAB" w:rsidRPr="006576BE" w:rsidRDefault="00815BAB" w:rsidP="00815BAB">
      <w:pPr>
        <w:pStyle w:val="NormalHanging12a"/>
        <w:widowControl/>
        <w:rPr>
          <w:szCs w:val="24"/>
        </w:rPr>
      </w:pPr>
      <w:r w:rsidRPr="006576BE">
        <w:t>–</w:t>
      </w:r>
      <w:r w:rsidRPr="006576BE">
        <w:tab/>
        <w:t>ņemot vērā Vides, klimata un pārtikas nekaitīguma komitejas rezolūcijas priekšlikumu,</w:t>
      </w:r>
    </w:p>
    <w:p w14:paraId="79CD415D" w14:textId="77777777" w:rsidR="00815BAB" w:rsidRPr="006576BE" w:rsidRDefault="00815BAB" w:rsidP="00815BAB">
      <w:pPr>
        <w:pStyle w:val="NormalHanging12a"/>
        <w:widowControl/>
        <w:rPr>
          <w:szCs w:val="24"/>
        </w:rPr>
      </w:pPr>
      <w:r w:rsidRPr="006576BE">
        <w:t>A.</w:t>
      </w:r>
      <w:r w:rsidRPr="006576BE">
        <w:tab/>
        <w:t xml:space="preserve">tā kā 2023. gada 27. janvārī Beļģijā bāzētais uzņēmums </w:t>
      </w:r>
      <w:r w:rsidRPr="006576BE">
        <w:rPr>
          <w:i/>
          <w:iCs/>
        </w:rPr>
        <w:t>Corteva Agriscience Belgium B.V.</w:t>
      </w:r>
      <w:r w:rsidRPr="006576BE">
        <w:t xml:space="preserve"> Amerikas Savienotajās Valstīs bāzētā uzņēmuma </w:t>
      </w:r>
      <w:r w:rsidRPr="006576BE">
        <w:rPr>
          <w:i/>
          <w:iCs/>
        </w:rPr>
        <w:t>Corteva Agriscience LLC</w:t>
      </w:r>
      <w:r w:rsidRPr="006576BE">
        <w:t xml:space="preserve"> vārdā Nīderlandes kompetentajai iestādei iesniedza pieteikumu, kurā lūgta atļauja laist tirgū pārtiku, pārtikas sastāvdaļas un barību, kas satur ģenētiski modificētu kukurūzu DP51291 (“ĢM kukurūza”), sastāv vai ir ražota no tās;</w:t>
      </w:r>
    </w:p>
    <w:p w14:paraId="5251983A" w14:textId="77777777" w:rsidR="00815BAB" w:rsidRPr="006576BE" w:rsidRDefault="00815BAB" w:rsidP="00815BAB">
      <w:pPr>
        <w:pStyle w:val="NormalHanging12a"/>
        <w:widowControl/>
        <w:rPr>
          <w:szCs w:val="24"/>
        </w:rPr>
      </w:pPr>
      <w:r w:rsidRPr="006576BE">
        <w:t>B.</w:t>
      </w:r>
      <w:r w:rsidRPr="006576BE">
        <w:tab/>
        <w:t>tā kā ĢM kukurūza izstrādā toksīnu IPD072Aa, kas darbojas pret kukurūzas vaboli, fosfinotricīna acetiltransferāzes (PAT) proteīnu tolerancei pret glufozinātu saturošiem herbicīdiem un PMI proteīnu kā selektīvo marķieri;</w:t>
      </w:r>
    </w:p>
    <w:p w14:paraId="1F49C443" w14:textId="77777777" w:rsidR="00815BAB" w:rsidRPr="006576BE" w:rsidRDefault="00815BAB" w:rsidP="00815BAB">
      <w:pPr>
        <w:pStyle w:val="NormalHanging12a"/>
        <w:widowControl/>
        <w:rPr>
          <w:szCs w:val="24"/>
        </w:rPr>
      </w:pPr>
      <w:r w:rsidRPr="006576BE">
        <w:t>C.</w:t>
      </w:r>
      <w:r w:rsidRPr="006576BE">
        <w:tab/>
        <w:t>tā kā glufozināts, ko uzskata par komplementāru herbicīdu, ir klasificēts kā reproduktīvajai sistēmai toksiska viela 1.B kategorijā un tāpēc tam piemērojami Eiropas Parlamenta un Padomes Regulā (EK) Nr. 1107/2009 noteiktie izslēgšanas kritēriji</w:t>
      </w:r>
      <w:r w:rsidRPr="006576BE">
        <w:rPr>
          <w:rStyle w:val="FootnoteReference"/>
          <w:szCs w:val="24"/>
        </w:rPr>
        <w:footnoteReference w:id="6"/>
      </w:r>
      <w:r w:rsidRPr="006576BE">
        <w:t>; tā kā termiņš atļaujai lietot glufozinātu Savienībā beidzās 2018. gada 31. jūlijā;</w:t>
      </w:r>
    </w:p>
    <w:p w14:paraId="6BFAF3FC" w14:textId="77777777" w:rsidR="00815BAB" w:rsidRPr="006576BE" w:rsidRDefault="00815BAB" w:rsidP="00815BAB">
      <w:pPr>
        <w:pStyle w:val="NormalHanging12a"/>
        <w:widowControl/>
        <w:rPr>
          <w:szCs w:val="24"/>
        </w:rPr>
      </w:pPr>
      <w:r w:rsidRPr="006576BE">
        <w:t>D.</w:t>
      </w:r>
      <w:r w:rsidRPr="006576BE">
        <w:tab/>
        <w:t xml:space="preserve">tā kā IPD072Aa ir insekticīda toksīns, ko ražo baktērija </w:t>
      </w:r>
      <w:r w:rsidRPr="006576BE">
        <w:rPr>
          <w:i/>
          <w:iCs/>
        </w:rPr>
        <w:t>Pseudomonas chlororaphis</w:t>
      </w:r>
      <w:r w:rsidRPr="006576BE">
        <w:t xml:space="preserve"> un kas konstruēts, lai iedarbotos pret kukurūzas vaboli; </w:t>
      </w:r>
    </w:p>
    <w:p w14:paraId="156F0CDA" w14:textId="77777777" w:rsidR="00815BAB" w:rsidRPr="006576BE" w:rsidRDefault="00815BAB" w:rsidP="00815BAB">
      <w:pPr>
        <w:pStyle w:val="NormalHanging12a"/>
        <w:widowControl/>
        <w:rPr>
          <w:b/>
          <w:i/>
          <w:iCs/>
          <w:szCs w:val="24"/>
        </w:rPr>
      </w:pPr>
      <w:r w:rsidRPr="006576BE">
        <w:rPr>
          <w:b/>
          <w:i/>
        </w:rPr>
        <w:t>Sarežģīta gēnu inženierija</w:t>
      </w:r>
    </w:p>
    <w:p w14:paraId="604CB5E0" w14:textId="77777777" w:rsidR="00815BAB" w:rsidRPr="006576BE" w:rsidRDefault="00815BAB" w:rsidP="00815BAB">
      <w:pPr>
        <w:pStyle w:val="NormalHanging12a"/>
        <w:widowControl/>
        <w:rPr>
          <w:szCs w:val="24"/>
        </w:rPr>
      </w:pPr>
      <w:r w:rsidRPr="006576BE">
        <w:t>E.</w:t>
      </w:r>
      <w:r w:rsidRPr="006576BE">
        <w:tab/>
        <w:t xml:space="preserve">tā kā kukurūza DP51291 tika izstrādāta sarežģītā daudzpakāpju gēnu inženierijas procesā, kas ietver genomu “nosēšanās platformas” izveidi, kurai seko bombardēšana ar mikroskopiskām daļiņām, tam izmantojot piecas plazmīdas, un pēc tam — </w:t>
      </w:r>
      <w:r w:rsidRPr="006576BE">
        <w:rPr>
          <w:i/>
          <w:iCs/>
        </w:rPr>
        <w:t>Agrobacterium tumefaciens</w:t>
      </w:r>
      <w:r w:rsidRPr="006576BE">
        <w:t xml:space="preserve"> mediēta ekspresijas kasešu ievietošana nosēšanās platformā;</w:t>
      </w:r>
    </w:p>
    <w:p w14:paraId="79EA326E" w14:textId="77777777" w:rsidR="00815BAB" w:rsidRPr="006576BE" w:rsidRDefault="00815BAB" w:rsidP="00815BAB">
      <w:pPr>
        <w:pStyle w:val="NormalHanging12a"/>
        <w:widowControl/>
        <w:rPr>
          <w:szCs w:val="24"/>
        </w:rPr>
      </w:pPr>
      <w:r w:rsidRPr="006576BE">
        <w:t>F.</w:t>
      </w:r>
      <w:r w:rsidRPr="006576BE">
        <w:tab/>
        <w:t xml:space="preserve">tā kā šā ģenētiskās modifikācijas procesa rezultātā, kā parādīja bioinformātiskā analīze, tika dzēsti 113 kukurūzas genoma DNS bāzu pāri un izveidojās vairāki jauni atvērtie nolasīšanas rāmji, kas norāda uz iespējamiem genoma traucējumiem, kurus izraisījusi </w:t>
      </w:r>
      <w:r w:rsidRPr="006576BE">
        <w:lastRenderedPageBreak/>
        <w:t>transformācijas procedūra; tā kā pieci no šiem atvērtajiem nolasīšanas rāmjiem uzrādīja sekvences identitāti ar zināmiem alergēniem, kas bija lielāka par 35 %, tādējādi pārsniedzot robežvērtību, ko parasti izmanto alergēniskuma novērtējumos</w:t>
      </w:r>
      <w:r w:rsidRPr="006576BE">
        <w:rPr>
          <w:rStyle w:val="FootnoteReference"/>
          <w:szCs w:val="24"/>
        </w:rPr>
        <w:footnoteReference w:id="7"/>
      </w:r>
      <w:r w:rsidRPr="006576BE">
        <w:t xml:space="preserve">; </w:t>
      </w:r>
    </w:p>
    <w:p w14:paraId="289DA0EC" w14:textId="77777777" w:rsidR="00815BAB" w:rsidRPr="006576BE" w:rsidRDefault="00815BAB" w:rsidP="00815BAB">
      <w:pPr>
        <w:pStyle w:val="NormalHanging12a"/>
        <w:widowControl/>
        <w:rPr>
          <w:b/>
          <w:i/>
          <w:iCs/>
          <w:szCs w:val="24"/>
        </w:rPr>
      </w:pPr>
      <w:r w:rsidRPr="006576BE">
        <w:rPr>
          <w:b/>
          <w:i/>
        </w:rPr>
        <w:t>Trūkst datu par lauksaimniecības praksi un vides faktoriem</w:t>
      </w:r>
    </w:p>
    <w:p w14:paraId="4233340F" w14:textId="77777777" w:rsidR="00815BAB" w:rsidRPr="006576BE" w:rsidRDefault="00815BAB" w:rsidP="00815BAB">
      <w:pPr>
        <w:pStyle w:val="NormalHanging12a"/>
        <w:widowControl/>
        <w:rPr>
          <w:szCs w:val="24"/>
        </w:rPr>
      </w:pPr>
      <w:r w:rsidRPr="006576BE">
        <w:t>G.</w:t>
      </w:r>
      <w:r w:rsidRPr="006576BE">
        <w:tab/>
        <w:t>tā kā Komisijas Īstenošanas regulā (ES) Nr. 503/2013</w:t>
      </w:r>
      <w:r w:rsidRPr="006576BE">
        <w:rPr>
          <w:rStyle w:val="FootnoteReference"/>
          <w:szCs w:val="24"/>
        </w:rPr>
        <w:footnoteReference w:id="8"/>
      </w:r>
      <w:r w:rsidRPr="006576BE">
        <w:t xml:space="preserve"> ir prasīts novērtēt, vai paredzamās lauksaimniecības darbības ietekmēs pētīto beigupunktu ekspresiju; tā kā saskaņā ar minēto īstenošanas regulu tas jo īpaši attiecas uz herbicīdizturīgiem augiem;</w:t>
      </w:r>
    </w:p>
    <w:p w14:paraId="4160F160" w14:textId="77777777" w:rsidR="00815BAB" w:rsidRPr="006576BE" w:rsidRDefault="00815BAB" w:rsidP="00815BAB">
      <w:pPr>
        <w:pStyle w:val="NormalHanging12a"/>
        <w:widowControl/>
        <w:rPr>
          <w:szCs w:val="24"/>
        </w:rPr>
      </w:pPr>
      <w:r w:rsidRPr="006576BE">
        <w:t>H.</w:t>
      </w:r>
      <w:r w:rsidRPr="006576BE">
        <w:tab/>
        <w:t>tā kā vides stresa faktori, piemēram, sausums vai ekstremāla temperatūra, var izraisīt negaidītus gēnu ekspresijas modeļus nesen ievietotās DNS sekvencēs</w:t>
      </w:r>
      <w:r w:rsidRPr="006576BE">
        <w:rPr>
          <w:rStyle w:val="FootnoteReference"/>
          <w:szCs w:val="24"/>
        </w:rPr>
        <w:footnoteReference w:id="9"/>
      </w:r>
      <w:r w:rsidRPr="006576BE">
        <w:t xml:space="preserve">; </w:t>
      </w:r>
    </w:p>
    <w:p w14:paraId="3F18C61E" w14:textId="77777777" w:rsidR="00815BAB" w:rsidRPr="006576BE" w:rsidRDefault="00815BAB" w:rsidP="00815BAB">
      <w:pPr>
        <w:pStyle w:val="NormalHanging12a"/>
        <w:widowControl/>
        <w:rPr>
          <w:szCs w:val="24"/>
        </w:rPr>
      </w:pPr>
      <w:r w:rsidRPr="006576BE">
        <w:t>I.</w:t>
      </w:r>
      <w:r w:rsidRPr="006576BE">
        <w:tab/>
        <w:t>tā kā lauka izmēģinājumi, ko izmantoja ĢM kukurūzas sastāva un fenotipa analīzes pamatošanai, tika veikti vienu augšanas sezonu (2021. g.) ASV un Kanādā laikapstākļos, kas pienācīgi neatspoguļo kukurūzas audzēšanas reģionu daudzveidību, jo īpaši tādās valstīs kā Brazīlija;</w:t>
      </w:r>
    </w:p>
    <w:p w14:paraId="3475495C" w14:textId="77777777" w:rsidR="00815BAB" w:rsidRPr="006576BE" w:rsidRDefault="00815BAB" w:rsidP="00815BAB">
      <w:pPr>
        <w:pStyle w:val="NormalHanging12a"/>
        <w:widowControl/>
        <w:rPr>
          <w:szCs w:val="24"/>
        </w:rPr>
      </w:pPr>
      <w:r w:rsidRPr="006576BE">
        <w:t>J.</w:t>
      </w:r>
      <w:r w:rsidRPr="006576BE">
        <w:tab/>
        <w:t>tā kā tika ziņots par ekstrēmiem laikapstākļu notikumiem dažās izmēģinājuma vietās; tā kā netika veikta īpaša izpēte, lai novērtētu turpmākos apstākļus, ko ietekmēs notiekošās klimata pārmaiņas;</w:t>
      </w:r>
    </w:p>
    <w:p w14:paraId="128C2DCF" w14:textId="77777777" w:rsidR="00815BAB" w:rsidRPr="006576BE" w:rsidRDefault="00815BAB" w:rsidP="00815BAB">
      <w:pPr>
        <w:pStyle w:val="NormalHanging12a"/>
        <w:widowControl/>
        <w:rPr>
          <w:szCs w:val="24"/>
        </w:rPr>
      </w:pPr>
      <w:r w:rsidRPr="006576BE">
        <w:t>K.</w:t>
      </w:r>
      <w:r w:rsidRPr="006576BE">
        <w:tab/>
        <w:t xml:space="preserve">tā kā lauka izmēģinājumu laikā glufozināts tika lietots tikai vienu reizi, ievērojot </w:t>
      </w:r>
      <w:r w:rsidRPr="006576BE">
        <w:rPr>
          <w:i/>
          <w:iCs/>
        </w:rPr>
        <w:t>EFSA</w:t>
      </w:r>
      <w:r w:rsidRPr="006576BE">
        <w:t xml:space="preserve"> ieteikumus par dozēšanu; tā kā reālajā lauksaimniecības praksē herbicīdu lietošanas devas un biežums dažādos reģionos bieži vien ievērojami atšķiras un var tikt izmantotas lielākas vai atkārtotas devas, kas nozīmē, ka lauka izmēģinājumu datos var nebūt pietiekami ņemti vērā visi vides un lauksaimniecības apstākļi, kādos ĢM kukurūza, iespējams, tiks audzēta vai importēta;</w:t>
      </w:r>
    </w:p>
    <w:p w14:paraId="26C61A72" w14:textId="77777777" w:rsidR="00815BAB" w:rsidRPr="006576BE" w:rsidRDefault="00815BAB" w:rsidP="00815BAB">
      <w:pPr>
        <w:pStyle w:val="NormalHanging12a"/>
        <w:widowControl/>
        <w:rPr>
          <w:b/>
          <w:i/>
          <w:iCs/>
          <w:szCs w:val="24"/>
        </w:rPr>
      </w:pPr>
      <w:r w:rsidRPr="006576BE">
        <w:rPr>
          <w:b/>
          <w:i/>
        </w:rPr>
        <w:t xml:space="preserve">Trūkst glufozināta novērtējuma </w:t>
      </w:r>
    </w:p>
    <w:p w14:paraId="18F13C64" w14:textId="77777777" w:rsidR="00815BAB" w:rsidRPr="006576BE" w:rsidRDefault="00815BAB" w:rsidP="00815BAB">
      <w:pPr>
        <w:pStyle w:val="NormalHanging12a"/>
        <w:widowControl/>
        <w:rPr>
          <w:szCs w:val="24"/>
        </w:rPr>
      </w:pPr>
      <w:r w:rsidRPr="006576BE">
        <w:t>L.</w:t>
      </w:r>
      <w:r w:rsidRPr="006576BE">
        <w:tab/>
        <w:t>tā kā glufozināts ir saistīts ar būtiskiem riskiem bioloģiskās daudzveidības, toksicitātes un ekosistēmu ilgtermiņa veselības aspektā;</w:t>
      </w:r>
    </w:p>
    <w:p w14:paraId="79A68BE9" w14:textId="77777777" w:rsidR="00815BAB" w:rsidRPr="006576BE" w:rsidRDefault="00815BAB" w:rsidP="00815BAB">
      <w:pPr>
        <w:pStyle w:val="NormalHanging12a"/>
        <w:widowControl/>
        <w:rPr>
          <w:szCs w:val="24"/>
        </w:rPr>
      </w:pPr>
      <w:r w:rsidRPr="006576BE">
        <w:t>M.</w:t>
      </w:r>
      <w:r w:rsidRPr="006576BE">
        <w:tab/>
        <w:t xml:space="preserve">tā kā lielāko daļu ĢM kultūraugu ģenētiski modificē, lai tie būtu toleranti pret vienu vai vairākiem komplementāriem herbicīdiem, kurus var izmantot visā ĢM kultūraugu audzēšanas laikā, attiecīgajam kultūraugam neiznīkstot, kā tas būtu gadījumā, ja izmantotu pret herbicīdiem neizturīgu kultūru; tā kā vairākos pētījumos ir konstatēts, ka </w:t>
      </w:r>
      <w:r w:rsidRPr="006576BE">
        <w:lastRenderedPageBreak/>
        <w:t>herbicīdizturīgu ĢM kultūraugu audzēšanā vairāk izmanto komplementārus herbicīdus, lielā mērā tāpēc, ka ir parādījušās pret herbicīdiem tolerantas nezāles</w:t>
      </w:r>
      <w:r w:rsidRPr="006576BE">
        <w:rPr>
          <w:rStyle w:val="FootnoteReference"/>
          <w:szCs w:val="24"/>
        </w:rPr>
        <w:footnoteReference w:id="10"/>
      </w:r>
      <w:r w:rsidRPr="006576BE">
        <w:t>;</w:t>
      </w:r>
    </w:p>
    <w:p w14:paraId="055263B5" w14:textId="77777777" w:rsidR="00815BAB" w:rsidRPr="006576BE" w:rsidRDefault="00815BAB" w:rsidP="00815BAB">
      <w:pPr>
        <w:pStyle w:val="NormalHanging12a"/>
        <w:widowControl/>
        <w:rPr>
          <w:szCs w:val="24"/>
        </w:rPr>
      </w:pPr>
      <w:r w:rsidRPr="006576BE">
        <w:t>N.</w:t>
      </w:r>
      <w:r w:rsidRPr="006576BE">
        <w:tab/>
        <w:t>tā kā herbicīdizturīgu ĢM kultūraugu izmantošanas dēļ lauksaimnieki ir piesaistīti nezāļu pārvaldības sistēmai, kas lielā mērā vai pilnībā ir atkarīga no herbicīdiem, un to panāk, uzliekot piemaksu par ĢM sēklām, kas attaisnojama tikai tad, ja lauksaimnieki, kas iegādājas šādas sēklas, izsmidzina arī komplementārus herbicīdus; tā kā lielāka atkarība no komplementāriem herbicīdiem saimniecībās, kurās audzē ĢM kultūraugus, paātrina pret minētajiem herbicīdiem rezistentu nezāļu rašanos un izplatību un tādējādi rada vajadzību vēl vairāk izmantot herbicīdus, proti, apburto loku, ko dēvē par “herbicīdu skrejceliņu”;</w:t>
      </w:r>
    </w:p>
    <w:p w14:paraId="44C7C62F" w14:textId="77777777" w:rsidR="00815BAB" w:rsidRPr="006576BE" w:rsidRDefault="00815BAB" w:rsidP="00815BAB">
      <w:pPr>
        <w:pStyle w:val="NormalHanging12a"/>
        <w:widowControl/>
        <w:rPr>
          <w:szCs w:val="24"/>
        </w:rPr>
      </w:pPr>
      <w:r w:rsidRPr="006576BE">
        <w:t>O.</w:t>
      </w:r>
      <w:r w:rsidRPr="006576BE">
        <w:tab/>
        <w:t>tā kā negatīvā ietekme, ko rada pārmērīga paļaušanās uz herbicīdiem, pasliktina augsnes veselību, ūdens kvalitāti un bioloģisko daudzveidību virs zemes un augsnē, kā arī palielinās iedarbība uz cilvēkiem un dzīvniekiem, iespējams, arī tāpēc, ka lielāks daudzums herbicīdu atlieku nonāk pārtikā un dzīvnieku barībā;</w:t>
      </w:r>
    </w:p>
    <w:p w14:paraId="3F0AD217" w14:textId="77777777" w:rsidR="00815BAB" w:rsidRPr="006576BE" w:rsidRDefault="00815BAB" w:rsidP="00815BAB">
      <w:pPr>
        <w:pStyle w:val="NormalHanging12a"/>
        <w:widowControl/>
        <w:rPr>
          <w:szCs w:val="24"/>
        </w:rPr>
      </w:pPr>
      <w:r w:rsidRPr="006576BE">
        <w:t>P.</w:t>
      </w:r>
      <w:r w:rsidRPr="006576BE">
        <w:tab/>
        <w:t xml:space="preserve">tā kā tiek uzskatīts, ka novērtējums par ĢM augos konstatētajām herbicīdu atliekām un metabolītiem neietilpst </w:t>
      </w:r>
      <w:r w:rsidRPr="006576BE">
        <w:rPr>
          <w:i/>
          <w:iCs/>
        </w:rPr>
        <w:t>EFSA</w:t>
      </w:r>
      <w:r w:rsidRPr="006576BE">
        <w:t xml:space="preserve"> Ekspertu grupas ģenētiski modificētu organismu jautājumos (“</w:t>
      </w:r>
      <w:r w:rsidRPr="006576BE">
        <w:rPr>
          <w:i/>
          <w:iCs/>
        </w:rPr>
        <w:t>EFSA</w:t>
      </w:r>
      <w:r w:rsidRPr="006576BE">
        <w:t xml:space="preserve"> ĢMO ekspertu grupa”) kompetencē, un tāpēc to neveic kā daļu no ĢMO apstiprināšanas procesa;</w:t>
      </w:r>
    </w:p>
    <w:p w14:paraId="1D2A8E1B" w14:textId="77777777" w:rsidR="00815BAB" w:rsidRPr="006576BE" w:rsidRDefault="00815BAB" w:rsidP="00815BAB">
      <w:pPr>
        <w:pStyle w:val="NormalHanging12a"/>
        <w:widowControl/>
        <w:rPr>
          <w:b/>
          <w:i/>
          <w:iCs/>
          <w:szCs w:val="24"/>
        </w:rPr>
      </w:pPr>
      <w:r w:rsidRPr="006576BE">
        <w:rPr>
          <w:b/>
          <w:i/>
        </w:rPr>
        <w:t>Neatbildēti jautājumi par toksīnu IPD072Aa</w:t>
      </w:r>
    </w:p>
    <w:p w14:paraId="049A5BCF" w14:textId="77777777" w:rsidR="00815BAB" w:rsidRPr="006576BE" w:rsidRDefault="00815BAB" w:rsidP="00815BAB">
      <w:pPr>
        <w:pStyle w:val="NormalHanging12a"/>
        <w:widowControl/>
        <w:rPr>
          <w:szCs w:val="24"/>
        </w:rPr>
      </w:pPr>
      <w:r w:rsidRPr="006576BE">
        <w:t>Q.</w:t>
      </w:r>
      <w:r w:rsidRPr="006576BE">
        <w:tab/>
        <w:t>tā kā Īstenošanas regulā (ES) Nr. 503/2013 ir prasīts veikt toksikoloģisko novērtējumu, lai pierādītu, ka ģenētiskās modifikācijas gaidītā ietekme neietver nelabvēlīgu ietekmi uz cilvēku un dzīvnieku veselību;</w:t>
      </w:r>
    </w:p>
    <w:p w14:paraId="30C0B7F1" w14:textId="77777777" w:rsidR="00815BAB" w:rsidRPr="006576BE" w:rsidRDefault="00815BAB" w:rsidP="00815BAB">
      <w:pPr>
        <w:pStyle w:val="NormalHanging12a"/>
        <w:widowControl/>
        <w:rPr>
          <w:szCs w:val="24"/>
        </w:rPr>
      </w:pPr>
      <w:r w:rsidRPr="006576BE">
        <w:t>R.</w:t>
      </w:r>
      <w:r w:rsidRPr="006576BE">
        <w:tab/>
        <w:t xml:space="preserve">tā kā IPD072Aa ir jauns proteīns, kas nozīmē, ka tā izmantošanā lauksaimniecībā un ieviešanā pārtikas ķēdē nevar pilnībā paļauties uz iepriekš gūto pieredzi; </w:t>
      </w:r>
    </w:p>
    <w:p w14:paraId="6C5D64AD" w14:textId="77777777" w:rsidR="00815BAB" w:rsidRPr="006576BE" w:rsidRDefault="00815BAB" w:rsidP="00815BAB">
      <w:pPr>
        <w:pStyle w:val="NormalHanging12a"/>
        <w:widowControl/>
        <w:rPr>
          <w:szCs w:val="24"/>
        </w:rPr>
      </w:pPr>
      <w:r w:rsidRPr="006576BE">
        <w:t>S.</w:t>
      </w:r>
      <w:r w:rsidRPr="006576BE">
        <w:tab/>
        <w:t>tā kā, neraugoties uz atšķirībām, novērotā IPD072Aa un Bt toksīnu līdzība liecina, ka riska novērtēšanas procesā ir jāveic rūpīga izskatīšana; tā kā vairāki pētījumi norāda uz to, ka Bt toksīni var izraisīt ar imūnsistēmu saistītas blakusparādības, tostarp tiem var būt palīgvielas iedarbība</w:t>
      </w:r>
      <w:r w:rsidRPr="006576BE">
        <w:rPr>
          <w:rStyle w:val="FootnoteReference"/>
          <w:szCs w:val="24"/>
        </w:rPr>
        <w:footnoteReference w:id="11"/>
      </w:r>
      <w:r w:rsidRPr="006576BE">
        <w:t>, proti, nonākot saskarē ar citiem proteīniem, tie var palielināt šo proteīnu alergēniskumu;</w:t>
      </w:r>
    </w:p>
    <w:p w14:paraId="55EC2FAA" w14:textId="77777777" w:rsidR="00815BAB" w:rsidRPr="006576BE" w:rsidRDefault="00815BAB" w:rsidP="00815BAB">
      <w:pPr>
        <w:pStyle w:val="NormalHanging12a"/>
        <w:widowControl/>
        <w:rPr>
          <w:szCs w:val="24"/>
        </w:rPr>
      </w:pPr>
      <w:r w:rsidRPr="006576BE">
        <w:lastRenderedPageBreak/>
        <w:t>T.</w:t>
      </w:r>
      <w:r w:rsidRPr="006576BE">
        <w:tab/>
        <w:t>tā kā zinātniskā pētījumā ir konstatēts, ka Bt toksīnu toksicitāti var pastiprināt arī mijiedarbība ar atliekām pēc herbicīdu izsmidzināšanas un ka ir vajadzīgi turpmāki pētījumi par saliktu transformācijas notikumu (ĢM kultūras, kas pārveidotas tā, lai būtu herbicīdizturīgas un ražotu insekticīdus Bt toksīnu veidā) kombinēto iedarbību</w:t>
      </w:r>
      <w:r w:rsidRPr="006576BE">
        <w:rPr>
          <w:rStyle w:val="FootnoteReference"/>
          <w:szCs w:val="24"/>
        </w:rPr>
        <w:footnoteReference w:id="12"/>
      </w:r>
      <w:r w:rsidRPr="006576BE">
        <w:t>; tā kā tomēr tiek uzskatīts, ka herbicīdu atlieku un to metabolītu potenciālās mijiedarbības ar Bt toksīniem novērtēšana neietilpst</w:t>
      </w:r>
      <w:r w:rsidRPr="006576BE">
        <w:rPr>
          <w:i/>
          <w:iCs/>
        </w:rPr>
        <w:t xml:space="preserve"> EFSA</w:t>
      </w:r>
      <w:r w:rsidRPr="006576BE">
        <w:t xml:space="preserve"> ĢMO ekspertu grupas kompetencē, un tāpēc riska novērtējuma ietvaros to neveic;</w:t>
      </w:r>
    </w:p>
    <w:p w14:paraId="60ED7F79" w14:textId="77777777" w:rsidR="00815BAB" w:rsidRPr="006576BE" w:rsidRDefault="00815BAB" w:rsidP="00815BAB">
      <w:pPr>
        <w:pStyle w:val="NormalHanging12a"/>
        <w:widowControl/>
        <w:rPr>
          <w:szCs w:val="24"/>
        </w:rPr>
      </w:pPr>
      <w:r w:rsidRPr="006576BE">
        <w:t>U.</w:t>
      </w:r>
      <w:r w:rsidRPr="006576BE">
        <w:tab/>
        <w:t>tā kā IPD072Aa toksicitātes novērtējumā nav ņemta vērā iespējamā sinerģiskā vai kumulatīvā ietekme, ko rada mijiedarbība ar augu metabolītiem vai herbicīdu atliekām;</w:t>
      </w:r>
    </w:p>
    <w:p w14:paraId="12402252" w14:textId="77777777" w:rsidR="00815BAB" w:rsidRPr="006576BE" w:rsidRDefault="00815BAB" w:rsidP="00815BAB">
      <w:pPr>
        <w:pStyle w:val="NormalHanging12a"/>
        <w:widowControl/>
        <w:rPr>
          <w:szCs w:val="24"/>
        </w:rPr>
      </w:pPr>
      <w:r w:rsidRPr="006576BE">
        <w:t>V.</w:t>
      </w:r>
      <w:r w:rsidRPr="006576BE">
        <w:tab/>
        <w:t>tā kā nav sniegti dati par IPD072Aa uzkrāšanos barošanās tīklos, tā izplatīšanos vidē, jo īpaši ar notekūdeņiem un kūtsmēsliem augsnes un ūdens ekosistēmās, vai par tā ietekmi uz nemērķa organismiem;</w:t>
      </w:r>
    </w:p>
    <w:p w14:paraId="417163B4" w14:textId="77777777" w:rsidR="00815BAB" w:rsidRPr="006576BE" w:rsidRDefault="00815BAB" w:rsidP="00815BAB">
      <w:pPr>
        <w:pStyle w:val="NormalHanging12a"/>
        <w:widowControl/>
        <w:rPr>
          <w:szCs w:val="24"/>
        </w:rPr>
      </w:pPr>
      <w:r w:rsidRPr="006576BE">
        <w:t>W.</w:t>
      </w:r>
      <w:r w:rsidRPr="006576BE">
        <w:tab/>
        <w:t>tā kā iespējama gēnu plūsma uz radniecīgiem savvaļas augiem, piemēram, teosinti, par ko ziņots Spānijā un Francijā, rada bažas par transgēnu noturību vidē un iespējamajām ekoloģiskajām sekām</w:t>
      </w:r>
      <w:r w:rsidRPr="006576BE">
        <w:rPr>
          <w:rStyle w:val="FootnoteReference"/>
          <w:szCs w:val="24"/>
        </w:rPr>
        <w:footnoteReference w:id="13"/>
      </w:r>
      <w:r w:rsidRPr="006576BE">
        <w:t>;</w:t>
      </w:r>
    </w:p>
    <w:p w14:paraId="360AC7E8" w14:textId="77777777" w:rsidR="00815BAB" w:rsidRPr="006576BE" w:rsidRDefault="00815BAB" w:rsidP="00815BAB">
      <w:pPr>
        <w:pStyle w:val="NormalHanging12a"/>
        <w:widowControl/>
        <w:rPr>
          <w:szCs w:val="24"/>
        </w:rPr>
      </w:pPr>
      <w:r w:rsidRPr="006576BE">
        <w:t>X.</w:t>
      </w:r>
      <w:r w:rsidRPr="006576BE">
        <w:tab/>
        <w:t xml:space="preserve">tā kā Īstenošanas regulā (ES) Nr. 503/2013 paredzētās monitoringa prasības nav pienācīgi izpildītas, jo nav veikta </w:t>
      </w:r>
      <w:r w:rsidRPr="006576BE">
        <w:rPr>
          <w:i/>
          <w:iCs/>
        </w:rPr>
        <w:t>Corteva Agriscience LLC</w:t>
      </w:r>
      <w:r w:rsidRPr="006576BE">
        <w:t xml:space="preserve"> iesniegto datu neatkarīga pārbaude;</w:t>
      </w:r>
    </w:p>
    <w:p w14:paraId="56A3EF1D" w14:textId="77777777" w:rsidR="00815BAB" w:rsidRPr="006576BE" w:rsidRDefault="00815BAB" w:rsidP="00815BAB">
      <w:pPr>
        <w:pStyle w:val="NormalHanging12a"/>
        <w:widowControl/>
        <w:rPr>
          <w:b/>
          <w:i/>
          <w:iCs/>
          <w:szCs w:val="24"/>
        </w:rPr>
      </w:pPr>
      <w:r w:rsidRPr="006576BE">
        <w:rPr>
          <w:b/>
          <w:i/>
        </w:rPr>
        <w:t>Vienlīdzīgu konkurences apstākļu nodrošināšana visā pasaulē un Savienības starptautisko saistību ievērošana</w:t>
      </w:r>
    </w:p>
    <w:p w14:paraId="6A191196" w14:textId="76BE67D9" w:rsidR="00815BAB" w:rsidRPr="006576BE" w:rsidRDefault="00815BAB" w:rsidP="00815BAB">
      <w:pPr>
        <w:pStyle w:val="NormalHanging12a"/>
        <w:widowControl/>
        <w:rPr>
          <w:b/>
          <w:szCs w:val="24"/>
        </w:rPr>
      </w:pPr>
      <w:r w:rsidRPr="006576BE">
        <w:t>Y.</w:t>
      </w:r>
      <w:r w:rsidRPr="006576BE">
        <w:rPr>
          <w:b/>
        </w:rPr>
        <w:tab/>
      </w:r>
      <w:r w:rsidRPr="006576BE">
        <w:t xml:space="preserve">tā kā Savienībā nav atļauts audzēt ĢM kukurūzu; tā kā </w:t>
      </w:r>
      <w:r w:rsidR="0043594A" w:rsidRPr="006576BE">
        <w:t xml:space="preserve">Komisijas īstenošanas Lēmuma (ES) 2025/1898 </w:t>
      </w:r>
      <w:r w:rsidRPr="006576BE">
        <w:t xml:space="preserve">pieņemšana </w:t>
      </w:r>
      <w:r w:rsidR="0043594A" w:rsidRPr="006576BE">
        <w:t xml:space="preserve">ļauj </w:t>
      </w:r>
      <w:r w:rsidRPr="006576BE">
        <w:t>Savienībā importēt produktus, kas neatbilst Savienības lauksaimnieku ievērotajiem standartiem, un tādējādi radītu viņiem neizdevīgus konkurences apstākļus;</w:t>
      </w:r>
    </w:p>
    <w:p w14:paraId="5EC49077" w14:textId="77777777" w:rsidR="00815BAB" w:rsidRPr="006576BE" w:rsidRDefault="00815BAB" w:rsidP="00815BAB">
      <w:pPr>
        <w:pStyle w:val="NormalHanging12a"/>
        <w:widowControl/>
        <w:rPr>
          <w:b/>
          <w:szCs w:val="24"/>
        </w:rPr>
      </w:pPr>
      <w:r w:rsidRPr="006576BE">
        <w:t>Z.</w:t>
      </w:r>
      <w:r w:rsidRPr="006576BE">
        <w:tab/>
        <w:t>tā kā stratēģiskā dialoga par ES lauksaimniecības nākotni secinājumos</w:t>
      </w:r>
      <w:r w:rsidRPr="006576BE">
        <w:rPr>
          <w:rStyle w:val="FootnoteReference"/>
          <w:szCs w:val="24"/>
        </w:rPr>
        <w:footnoteReference w:id="14"/>
      </w:r>
      <w:r w:rsidRPr="006576BE">
        <w:t xml:space="preserve"> Komisija tiek aicināta pārskatīt savu pieeju attiecībā uz tirgus pieejamību lauksaimniecības pārtikas importam un eksportam, ņemot vērā grūtības, ko rada Savienības un tās tirdzniecības partneru atšķirīgie standarti; tā kā taisnīgākas tirdzniecības attiecības pasaules līmenī, kas saskanētu ar veselīgas vides mērķiem, bija viena no galvenajām lauksaimnieku prasībām 2023. un 2024. gada demonstrāciju laikā;</w:t>
      </w:r>
    </w:p>
    <w:p w14:paraId="35E7116E" w14:textId="77777777" w:rsidR="00815BAB" w:rsidRPr="006576BE" w:rsidRDefault="00815BAB" w:rsidP="00815BAB">
      <w:pPr>
        <w:pStyle w:val="NormalHanging12a"/>
        <w:widowControl/>
        <w:rPr>
          <w:szCs w:val="24"/>
        </w:rPr>
      </w:pPr>
      <w:r w:rsidRPr="006576BE">
        <w:t>AA.</w:t>
      </w:r>
      <w:r w:rsidRPr="006576BE">
        <w:tab/>
        <w:t xml:space="preserve">tā kā ANO īpašā referenta jautājumos par tiesībām uz pārtiku 2017. gada ziņojumā konstatēts, ka jo īpaši jaunattīstības valstīs bīstamiem pesticīdiem ir katastrofāla ietekme </w:t>
      </w:r>
      <w:r w:rsidRPr="006576BE">
        <w:lastRenderedPageBreak/>
        <w:t>uz veselību</w:t>
      </w:r>
      <w:r w:rsidRPr="006576BE">
        <w:rPr>
          <w:rStyle w:val="FootnoteReference"/>
          <w:szCs w:val="24"/>
        </w:rPr>
        <w:footnoteReference w:id="15"/>
      </w:r>
      <w:r w:rsidRPr="006576BE">
        <w:t>; tā kā ANO ilgtspējīgas attīstības mērķu 3. mērķa 9. apakšmērķis paredz līdz 2030. gadam būtiski samazināt tādu nāves gadījumu un slimību skaitu, ko izraisa bīstamas ķīmiskas vielas un gaisa, ūdens un augsnes piesārņojums un kontaminācija</w:t>
      </w:r>
      <w:r w:rsidRPr="006576BE">
        <w:rPr>
          <w:rStyle w:val="FootnoteReference"/>
          <w:szCs w:val="24"/>
        </w:rPr>
        <w:footnoteReference w:id="16"/>
      </w:r>
      <w:r w:rsidRPr="006576BE">
        <w:t>;</w:t>
      </w:r>
    </w:p>
    <w:p w14:paraId="7C946786" w14:textId="77777777" w:rsidR="00815BAB" w:rsidRPr="006576BE" w:rsidRDefault="00815BAB" w:rsidP="00815BAB">
      <w:pPr>
        <w:pStyle w:val="NormalHanging12a"/>
        <w:widowControl/>
        <w:rPr>
          <w:szCs w:val="24"/>
        </w:rPr>
      </w:pPr>
      <w:r w:rsidRPr="006576BE">
        <w:t>AB.</w:t>
      </w:r>
      <w:r w:rsidRPr="006576BE">
        <w:tab/>
        <w:t>tā kā Kuņminas–Monreālas globālais biodaudzveidības satvars, par ko 2022. gada decembrī vienojās ANO Konvencijas par bioloģisko daudzveidību Pušu konferences 15. sesijā, ietver globālu mērķi līdz 2030. gadam vismaz par 50 % samazināt pesticīdu radīto apdraudējumu</w:t>
      </w:r>
      <w:r w:rsidRPr="006576BE">
        <w:rPr>
          <w:rStyle w:val="FootnoteReference"/>
          <w:szCs w:val="24"/>
        </w:rPr>
        <w:footnoteReference w:id="17"/>
      </w:r>
      <w:r w:rsidRPr="006576BE">
        <w:t>;</w:t>
      </w:r>
    </w:p>
    <w:p w14:paraId="64547338" w14:textId="77777777" w:rsidR="00815BAB" w:rsidRPr="006576BE" w:rsidRDefault="00815BAB" w:rsidP="00815BAB">
      <w:pPr>
        <w:pStyle w:val="NormalHanging12a"/>
        <w:widowControl/>
        <w:rPr>
          <w:szCs w:val="24"/>
        </w:rPr>
      </w:pPr>
      <w:r w:rsidRPr="006576BE">
        <w:t>AC.</w:t>
      </w:r>
      <w:r w:rsidRPr="006576BE">
        <w:tab/>
        <w:t>tā kā Regulā (EK) Nr. 1829/2003 ir noteikts, ka ĢM pārtika vai dzīvnieku barība nedrīkst nelabvēlīgi ietekmēt cilvēku veselību, dzīvnieku veselību vai vidi un ka Komisijai savu lēmumu izstrādē ir jāņem vērā visi attiecīgie Savienības tiesību aktu noteikumi un citi pamatoti faktori, kas attiecas uz izskatāmo jautājumu; tā kā šādiem pamatotiem faktoriem būtu jāietver Savienības saistības, kas izriet no ANO ilgtspējīgas attīstības mērķiem un ANO Konvencijas par bioloģisko daudzveidību;</w:t>
      </w:r>
    </w:p>
    <w:p w14:paraId="16D508C8" w14:textId="77777777" w:rsidR="00815BAB" w:rsidRPr="006576BE" w:rsidRDefault="00815BAB" w:rsidP="00815BAB">
      <w:pPr>
        <w:pStyle w:val="NormalHanging12a"/>
        <w:widowControl/>
        <w:rPr>
          <w:b/>
          <w:i/>
          <w:iCs/>
          <w:szCs w:val="24"/>
        </w:rPr>
      </w:pPr>
      <w:r w:rsidRPr="006576BE">
        <w:rPr>
          <w:b/>
          <w:i/>
        </w:rPr>
        <w:t>Atkarības no importētas barības samazināšana</w:t>
      </w:r>
    </w:p>
    <w:p w14:paraId="05BEA78B" w14:textId="77777777" w:rsidR="00815BAB" w:rsidRPr="006576BE" w:rsidRDefault="00815BAB" w:rsidP="00815BAB">
      <w:pPr>
        <w:pStyle w:val="NormalHanging12a"/>
        <w:widowControl/>
        <w:rPr>
          <w:szCs w:val="24"/>
        </w:rPr>
      </w:pPr>
      <w:r w:rsidRPr="006576BE">
        <w:t>AD.</w:t>
      </w:r>
      <w:r w:rsidRPr="006576BE">
        <w:tab/>
        <w:t>tā kā viena no atziņām, kas gūta no Covid-19 krīzes un joprojām notiekošā kara Ukrainā, ir tas, ka Savienībai nepieciešams izbeigt atkarību no atsevišķām kritiskām izejvielām; tā kā komisāram Kristofam Hansenam adresētajā pilnvarojuma vēstulē Komisijas priekšsēdētāja Urzula fon der Leiena viņu aicināja meklēt veidus, kā samazināt kritiski svarīgu preču importu</w:t>
      </w:r>
      <w:r w:rsidRPr="006576BE">
        <w:rPr>
          <w:rStyle w:val="FootnoteReference"/>
          <w:szCs w:val="24"/>
        </w:rPr>
        <w:footnoteReference w:id="18"/>
      </w:r>
      <w:r w:rsidRPr="006576BE">
        <w:t>;</w:t>
      </w:r>
    </w:p>
    <w:p w14:paraId="7E2E2C86" w14:textId="77777777" w:rsidR="00815BAB" w:rsidRPr="006576BE" w:rsidRDefault="00815BAB" w:rsidP="00815BAB">
      <w:pPr>
        <w:pStyle w:val="NormalHanging12a"/>
        <w:widowControl/>
        <w:rPr>
          <w:b/>
          <w:i/>
          <w:iCs/>
          <w:szCs w:val="24"/>
        </w:rPr>
      </w:pPr>
      <w:r w:rsidRPr="006576BE">
        <w:rPr>
          <w:b/>
          <w:i/>
        </w:rPr>
        <w:t>Nedemokrātiska lēmumu pieņemšana</w:t>
      </w:r>
    </w:p>
    <w:p w14:paraId="4C6F1740" w14:textId="77777777" w:rsidR="00815BAB" w:rsidRPr="006576BE" w:rsidRDefault="00815BAB" w:rsidP="00815BAB">
      <w:pPr>
        <w:pStyle w:val="NormalHanging12a"/>
        <w:widowControl/>
        <w:rPr>
          <w:szCs w:val="24"/>
        </w:rPr>
      </w:pPr>
      <w:r w:rsidRPr="006576BE">
        <w:t>AE.</w:t>
      </w:r>
      <w:r w:rsidRPr="006576BE">
        <w:tab/>
        <w:t>tā kā Parlaments astotajā sasaukumā pieņēma kopumā 36 rezolūcijas, kurās iebilda pret tādu ĢMO laišanu tirgū, kas paredzēti izmantošanai pārtikā un dzīvnieku barībā (33 rezolūcijas), un pret ĢMO audzēšanu Savienībā (trīs rezolūcijas); tā kā Parlaments devītajā sasaukumā pieņēma 38 rezolūcijas, kurās iebilda pret ĢMO laišanu tirgū, un pašreizējā desmitajā sasaukumā jau ir pieņēmis vēl 11 rezolūcijas, kurās iebilst pret ĢMO laišanu tirgū;</w:t>
      </w:r>
    </w:p>
    <w:p w14:paraId="5CDBD4C7" w14:textId="77777777" w:rsidR="00815BAB" w:rsidRPr="006576BE" w:rsidRDefault="00815BAB" w:rsidP="00815BAB">
      <w:pPr>
        <w:pStyle w:val="NormalHanging12a"/>
        <w:widowControl/>
        <w:rPr>
          <w:szCs w:val="24"/>
        </w:rPr>
      </w:pPr>
      <w:r w:rsidRPr="006576BE">
        <w:t>AF.</w:t>
      </w:r>
      <w:r w:rsidRPr="006576BE">
        <w:tab/>
        <w:t>tā kā Komisija turpina piešķirt atļaujas ĢMO, neraugoties uz pašas atzītajām nepilnībām demokrātiskā lēmumu pieņemšanas procesā, dalībvalstu atbalsta trūkumu un Parlamenta iebildumiem;</w:t>
      </w:r>
    </w:p>
    <w:p w14:paraId="787ED106" w14:textId="77777777" w:rsidR="00815BAB" w:rsidRPr="006576BE" w:rsidRDefault="00815BAB" w:rsidP="00815BAB">
      <w:pPr>
        <w:pStyle w:val="NormalHanging12a"/>
        <w:widowControl/>
        <w:rPr>
          <w:szCs w:val="24"/>
        </w:rPr>
      </w:pPr>
      <w:r w:rsidRPr="006576BE">
        <w:t>AG.</w:t>
      </w:r>
      <w:r w:rsidRPr="006576BE">
        <w:tab/>
        <w:t>tā kā nav vajadzīgas izmaiņas tiesību aktos, lai Komisija varētu nepiešķirt atļaujas ĢMO, ja pārsūdzības komitejā nav saņemts dalībvalstu kvalificēta balsu vairākuma atbalsts</w:t>
      </w:r>
      <w:r w:rsidRPr="006576BE">
        <w:rPr>
          <w:rStyle w:val="FootnoteReference"/>
          <w:szCs w:val="24"/>
        </w:rPr>
        <w:footnoteReference w:id="19"/>
      </w:r>
      <w:r w:rsidRPr="006576BE">
        <w:t>;</w:t>
      </w:r>
    </w:p>
    <w:p w14:paraId="3425C140" w14:textId="7DB67BF4" w:rsidR="00815BAB" w:rsidRPr="006576BE" w:rsidRDefault="00815BAB" w:rsidP="00815BAB">
      <w:pPr>
        <w:pStyle w:val="NormalHanging12a"/>
        <w:widowControl/>
        <w:rPr>
          <w:szCs w:val="24"/>
        </w:rPr>
      </w:pPr>
      <w:r w:rsidRPr="006576BE">
        <w:lastRenderedPageBreak/>
        <w:t>AH.</w:t>
      </w:r>
      <w:r w:rsidRPr="006576BE">
        <w:tab/>
        <w:t>tā kā Augu, dzīvnieku, pārtikas aprites un dzīvnieku barības pastāvīgā komiteja, kas minēta Regulas (EK) Nr. 1829/2003 35. pantā, 2025. gada 13. jūnija balsojumā nolēma atzinumu nesniegt un tas nozīmē, ka atļaujas piešķiršanai nav dalībvalstu kvalificēta balsu vairākuma atbalsta</w:t>
      </w:r>
      <w:r w:rsidRPr="006576BE">
        <w:rPr>
          <w:rStyle w:val="FootnoteReference"/>
          <w:szCs w:val="24"/>
        </w:rPr>
        <w:footnoteReference w:id="20"/>
      </w:r>
      <w:r w:rsidRPr="006576BE">
        <w:t xml:space="preserve">; </w:t>
      </w:r>
      <w:r w:rsidRPr="006576BE">
        <w:rPr>
          <w:shd w:val="clear" w:color="auto" w:fill="FFFFFF"/>
        </w:rPr>
        <w:t>tā kā arī pārsūdzības komitejas 202</w:t>
      </w:r>
      <w:r w:rsidR="00AD661D">
        <w:rPr>
          <w:shd w:val="clear" w:color="auto" w:fill="FFFFFF"/>
        </w:rPr>
        <w:t>5</w:t>
      </w:r>
      <w:r w:rsidRPr="006576BE">
        <w:rPr>
          <w:shd w:val="clear" w:color="auto" w:fill="FFFFFF"/>
        </w:rPr>
        <w:t>. gada 15. jūlija balsojumā atzinums netika sniegts,</w:t>
      </w:r>
    </w:p>
    <w:p w14:paraId="277387A6" w14:textId="01A2D79D" w:rsidR="00815BAB" w:rsidRPr="006576BE" w:rsidRDefault="00815BAB" w:rsidP="00815BAB">
      <w:pPr>
        <w:pStyle w:val="NormalBold"/>
        <w:widowControl/>
        <w:spacing w:after="240"/>
        <w:ind w:left="567" w:hanging="567"/>
        <w:rPr>
          <w:b w:val="0"/>
          <w:szCs w:val="24"/>
        </w:rPr>
      </w:pPr>
      <w:r w:rsidRPr="006576BE">
        <w:rPr>
          <w:b w:val="0"/>
        </w:rPr>
        <w:t>1.</w:t>
      </w:r>
      <w:r w:rsidRPr="006576BE">
        <w:rPr>
          <w:b w:val="0"/>
        </w:rPr>
        <w:tab/>
        <w:t xml:space="preserve">uzskata, ka </w:t>
      </w:r>
      <w:r w:rsidR="0043594A" w:rsidRPr="006576BE">
        <w:rPr>
          <w:b w:val="0"/>
        </w:rPr>
        <w:t>Komisijas īstenošanas Lēmums (ES) 2025/1898</w:t>
      </w:r>
      <w:r w:rsidRPr="006576BE">
        <w:rPr>
          <w:b w:val="0"/>
        </w:rPr>
        <w:t xml:space="preserve"> pārsniedz Regulā (EK) Nr. 1829/2003 paredzētās īstenošanas pilnvaras;</w:t>
      </w:r>
    </w:p>
    <w:p w14:paraId="1627A527" w14:textId="5F36452D" w:rsidR="00815BAB" w:rsidRPr="006576BE" w:rsidRDefault="00815BAB" w:rsidP="00815BAB">
      <w:pPr>
        <w:pStyle w:val="NormalBold"/>
        <w:widowControl/>
        <w:spacing w:after="240"/>
        <w:ind w:left="567" w:hanging="567"/>
        <w:rPr>
          <w:b w:val="0"/>
          <w:szCs w:val="24"/>
        </w:rPr>
      </w:pPr>
      <w:r w:rsidRPr="006576BE">
        <w:rPr>
          <w:b w:val="0"/>
        </w:rPr>
        <w:t>2.</w:t>
      </w:r>
      <w:r w:rsidRPr="006576BE">
        <w:rPr>
          <w:b w:val="0"/>
        </w:rPr>
        <w:tab/>
        <w:t xml:space="preserve">uzskata, ka Komisijas </w:t>
      </w:r>
      <w:r w:rsidR="00A7188C" w:rsidRPr="006576BE">
        <w:rPr>
          <w:b w:val="0"/>
        </w:rPr>
        <w:t xml:space="preserve">īstenošanas Lēmums (ES) 2025/1898 </w:t>
      </w:r>
      <w:r w:rsidRPr="006576BE">
        <w:rPr>
          <w:b w:val="0"/>
        </w:rPr>
        <w:t>neatbilst Savienības tiesību aktiem, jo nav savienojams ar Regulas (EK) Nr. 1829/2003 mērķi, proti, saskaņā ar Regulā (EK) Nr. 178/2002</w:t>
      </w:r>
      <w:r w:rsidRPr="006576BE">
        <w:rPr>
          <w:rStyle w:val="FootnoteReference"/>
          <w:b w:val="0"/>
          <w:szCs w:val="24"/>
        </w:rPr>
        <w:footnoteReference w:id="21"/>
      </w:r>
      <w:r w:rsidRPr="006576BE">
        <w:rPr>
          <w:b w:val="0"/>
        </w:rPr>
        <w:t xml:space="preserve"> noteiktajiem vispārējiem principiem sniegt pamatu tam, lai nodrošinātu cilvēka dzīvības un veselības, dzīvnieku veselības un labturības, vides un patērētāju interešu augsta līmeņa aizsardzību saistībā ar ģenētiski modificētu pārtiku un barību, tajā pašā laikā nodrošinot iekšējā tirgus efektīvu darbību;</w:t>
      </w:r>
    </w:p>
    <w:p w14:paraId="09F78557" w14:textId="4008B075" w:rsidR="00815BAB" w:rsidRPr="006576BE" w:rsidRDefault="00815BAB" w:rsidP="00815BAB">
      <w:pPr>
        <w:pStyle w:val="NormalBold"/>
        <w:widowControl/>
        <w:spacing w:after="240"/>
        <w:ind w:left="567" w:hanging="567"/>
        <w:rPr>
          <w:b w:val="0"/>
          <w:szCs w:val="24"/>
        </w:rPr>
      </w:pPr>
      <w:r w:rsidRPr="006576BE">
        <w:rPr>
          <w:b w:val="0"/>
        </w:rPr>
        <w:t>3.</w:t>
      </w:r>
      <w:r w:rsidRPr="006576BE">
        <w:rPr>
          <w:b w:val="0"/>
        </w:rPr>
        <w:tab/>
        <w:t xml:space="preserve">prasa Komisijai atsaukt </w:t>
      </w:r>
      <w:r w:rsidR="00A7188C" w:rsidRPr="006576BE">
        <w:rPr>
          <w:b w:val="0"/>
        </w:rPr>
        <w:t xml:space="preserve">īstenošanas Lēmumu (ES) 2025/1898 </w:t>
      </w:r>
      <w:r w:rsidRPr="006576BE">
        <w:rPr>
          <w:b w:val="0"/>
        </w:rPr>
        <w:t>un iesniegt komitejai jaunu projektu;</w:t>
      </w:r>
    </w:p>
    <w:p w14:paraId="77C3089C" w14:textId="77777777" w:rsidR="00815BAB" w:rsidRPr="006576BE" w:rsidRDefault="00815BAB" w:rsidP="00815BAB">
      <w:pPr>
        <w:pStyle w:val="NormalBold"/>
        <w:widowControl/>
        <w:spacing w:after="240"/>
        <w:ind w:left="567" w:hanging="567"/>
        <w:rPr>
          <w:b w:val="0"/>
          <w:szCs w:val="24"/>
        </w:rPr>
      </w:pPr>
      <w:r w:rsidRPr="006576BE">
        <w:rPr>
          <w:b w:val="0"/>
        </w:rPr>
        <w:t>4.</w:t>
      </w:r>
      <w:r w:rsidRPr="006576BE">
        <w:rPr>
          <w:b w:val="0"/>
        </w:rPr>
        <w:tab/>
        <w:t>aicina Komisiju nodrošināt standartu konverģenci starp Savienību un tās partneriem sarunās par brīvās tirdzniecības nolīgumiem, lai nodrošinātu atbilstību Savienības drošības standartiem;</w:t>
      </w:r>
    </w:p>
    <w:p w14:paraId="102E36BF" w14:textId="77777777" w:rsidR="00815BAB" w:rsidRPr="006576BE" w:rsidRDefault="00815BAB" w:rsidP="00815BAB">
      <w:pPr>
        <w:pStyle w:val="NormalBold"/>
        <w:widowControl/>
        <w:spacing w:after="240"/>
        <w:ind w:left="567" w:hanging="567"/>
        <w:rPr>
          <w:b w:val="0"/>
          <w:szCs w:val="24"/>
        </w:rPr>
      </w:pPr>
      <w:r w:rsidRPr="006576BE">
        <w:rPr>
          <w:b w:val="0"/>
        </w:rPr>
        <w:t>5.</w:t>
      </w:r>
      <w:r w:rsidRPr="006576BE">
        <w:rPr>
          <w:b w:val="0"/>
        </w:rPr>
        <w:tab/>
        <w:t>aicina Komisiju atbilstīgi pieejai “Viena veselība” nepiešķirt atļauju ĢM kukurūzai, ņemot vērā palielinātu risku bioloģiskajai daudzveidībai, pārtikas nekaitīgumam un darba ņēmēju veselībai;</w:t>
      </w:r>
    </w:p>
    <w:p w14:paraId="57F6EA6B" w14:textId="77777777" w:rsidR="00815BAB" w:rsidRPr="006576BE" w:rsidRDefault="00815BAB" w:rsidP="00815BAB">
      <w:pPr>
        <w:pStyle w:val="NormalBold"/>
        <w:widowControl/>
        <w:spacing w:after="240"/>
        <w:ind w:left="567" w:hanging="567"/>
        <w:rPr>
          <w:b w:val="0"/>
          <w:szCs w:val="24"/>
        </w:rPr>
      </w:pPr>
      <w:r w:rsidRPr="006576BE">
        <w:rPr>
          <w:b w:val="0"/>
        </w:rPr>
        <w:t>6.</w:t>
      </w:r>
      <w:r w:rsidRPr="006576BE">
        <w:rPr>
          <w:b w:val="0"/>
        </w:rPr>
        <w:tab/>
        <w:t>sagaida, ka Komisija steidzami pildīs savu apņemšanos</w:t>
      </w:r>
      <w:r w:rsidRPr="006576BE">
        <w:rPr>
          <w:rStyle w:val="FootnoteReference"/>
          <w:b w:val="0"/>
          <w:szCs w:val="24"/>
        </w:rPr>
        <w:footnoteReference w:id="22"/>
      </w:r>
      <w:r w:rsidRPr="006576BE">
        <w:rPr>
          <w:b w:val="0"/>
        </w:rPr>
        <w:t xml:space="preserve"> nākt klajā ar priekšlikumu, kas nodrošinātu, ka Savienībā aizliegtas bīstamas ķimikālijas netiek ražotas eksportam;</w:t>
      </w:r>
    </w:p>
    <w:p w14:paraId="368BEB14" w14:textId="77777777" w:rsidR="00815BAB" w:rsidRPr="006576BE" w:rsidRDefault="00815BAB" w:rsidP="00815BAB">
      <w:pPr>
        <w:pStyle w:val="NormalBold"/>
        <w:widowControl/>
        <w:spacing w:after="240"/>
        <w:ind w:left="567" w:hanging="567"/>
        <w:rPr>
          <w:b w:val="0"/>
          <w:szCs w:val="24"/>
        </w:rPr>
      </w:pPr>
      <w:r w:rsidRPr="006576BE">
        <w:rPr>
          <w:b w:val="0"/>
        </w:rPr>
        <w:t>7.</w:t>
      </w:r>
      <w:r w:rsidRPr="006576BE">
        <w:rPr>
          <w:b w:val="0"/>
        </w:rPr>
        <w:tab/>
        <w:t>atzinīgi vērtē to, ka Komisija 2020. gada 11. septembra vēstulē deputātiem beidzot atzina, ka ĢMO atļauju piešķiršanas lēmumos ir jāņem vērā ilgtspēja</w:t>
      </w:r>
      <w:r w:rsidRPr="006576BE">
        <w:rPr>
          <w:rStyle w:val="FootnoteReference"/>
          <w:b w:val="0"/>
          <w:szCs w:val="24"/>
        </w:rPr>
        <w:footnoteReference w:id="23"/>
      </w:r>
      <w:r w:rsidRPr="006576BE">
        <w:rPr>
          <w:b w:val="0"/>
        </w:rPr>
        <w:t>; tomēr pauž dziļu vilšanos, jo kopš tā laika Komisija ir turpinājusi piešķirt atļaujas ĢMO importam Savienībā, lai gan Parlaments turpina pret to iebilst un vairākums dalībvalstu balso pret šādu atļauju piešķiršanu;</w:t>
      </w:r>
    </w:p>
    <w:p w14:paraId="30C640CC" w14:textId="77777777" w:rsidR="00815BAB" w:rsidRPr="006576BE" w:rsidRDefault="00815BAB" w:rsidP="00815BAB">
      <w:pPr>
        <w:pStyle w:val="NormalBold"/>
        <w:widowControl/>
        <w:spacing w:after="240"/>
        <w:ind w:left="567" w:hanging="567"/>
        <w:rPr>
          <w:b w:val="0"/>
          <w:szCs w:val="24"/>
        </w:rPr>
      </w:pPr>
      <w:r w:rsidRPr="006576BE">
        <w:rPr>
          <w:b w:val="0"/>
        </w:rPr>
        <w:t>8.</w:t>
      </w:r>
      <w:r w:rsidRPr="006576BE">
        <w:rPr>
          <w:b w:val="0"/>
        </w:rPr>
        <w:tab/>
        <w:t xml:space="preserve">vēlreiz mudina Komisiju ņemt vērā Savienības saistības saskaņā ar starptautiskiem nolīgumiem, piemēram, Parīzes klimata nolīgumu, ANO Konvenciju par bioloģisko daudzveidību un ANO ilgtspējīgas attīstības mērķiem; atkārtoti prasa īstenošanas aktu </w:t>
      </w:r>
      <w:r w:rsidRPr="006576BE">
        <w:rPr>
          <w:b w:val="0"/>
        </w:rPr>
        <w:lastRenderedPageBreak/>
        <w:t>projektiem pievienot paskaidrojuma rakstu, kurā būtu paskaidrots, kā minētie akti atbalsta principu “nekaitēt”</w:t>
      </w:r>
      <w:r w:rsidRPr="006576BE">
        <w:rPr>
          <w:rStyle w:val="FootnoteReference"/>
          <w:b w:val="0"/>
          <w:szCs w:val="24"/>
        </w:rPr>
        <w:footnoteReference w:id="24"/>
      </w:r>
      <w:r w:rsidRPr="006576BE">
        <w:rPr>
          <w:b w:val="0"/>
        </w:rPr>
        <w:t>;</w:t>
      </w:r>
    </w:p>
    <w:p w14:paraId="40B0A67B" w14:textId="0D0E398B" w:rsidR="00865820" w:rsidRPr="006576BE" w:rsidRDefault="00815BAB" w:rsidP="00865820">
      <w:pPr>
        <w:pStyle w:val="NormalBold"/>
        <w:widowControl/>
        <w:spacing w:after="240"/>
        <w:ind w:left="567" w:hanging="567"/>
      </w:pPr>
      <w:r w:rsidRPr="006576BE">
        <w:rPr>
          <w:b w:val="0"/>
        </w:rPr>
        <w:t>9.</w:t>
      </w:r>
      <w:r w:rsidRPr="006576BE">
        <w:rPr>
          <w:b w:val="0"/>
        </w:rPr>
        <w:tab/>
        <w:t>uzdod priekšsēdētājai šo rezolūciju nosūtīt Padomei un Komisijai, kā arī dalībvalstu valdībām un parlamentiem.</w:t>
      </w:r>
    </w:p>
    <w:p w14:paraId="220B02A0" w14:textId="535CC8CA" w:rsidR="00E365E1" w:rsidRPr="006576BE" w:rsidRDefault="00E365E1" w:rsidP="00002AB9"/>
    <w:sectPr w:rsidR="00E365E1" w:rsidRPr="006576BE" w:rsidSect="008658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7E0E0" w14:textId="77777777" w:rsidR="00002AB9" w:rsidRPr="00865820" w:rsidRDefault="00002AB9">
      <w:r w:rsidRPr="00865820">
        <w:separator/>
      </w:r>
    </w:p>
  </w:endnote>
  <w:endnote w:type="continuationSeparator" w:id="0">
    <w:p w14:paraId="1982BE1A" w14:textId="77777777" w:rsidR="00002AB9" w:rsidRPr="00865820" w:rsidRDefault="00002AB9">
      <w:r w:rsidRPr="008658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4813" w14:textId="77777777" w:rsidR="00064002" w:rsidRPr="008658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7363" w14:textId="77777777" w:rsidR="00064002" w:rsidRPr="008658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CD02A" w14:textId="77777777" w:rsidR="00064002" w:rsidRPr="008658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314A" w14:textId="77777777" w:rsidR="00002AB9" w:rsidRPr="00865820" w:rsidRDefault="00002AB9">
      <w:r w:rsidRPr="00865820">
        <w:separator/>
      </w:r>
    </w:p>
  </w:footnote>
  <w:footnote w:type="continuationSeparator" w:id="0">
    <w:p w14:paraId="357015B5" w14:textId="77777777" w:rsidR="00002AB9" w:rsidRPr="00865820" w:rsidRDefault="00002AB9">
      <w:r w:rsidRPr="00865820">
        <w:continuationSeparator/>
      </w:r>
    </w:p>
  </w:footnote>
  <w:footnote w:id="1">
    <w:p w14:paraId="169AAD33" w14:textId="3C1BA721" w:rsidR="0043594A" w:rsidRPr="006576BE" w:rsidRDefault="0043594A" w:rsidP="006576BE">
      <w:pPr>
        <w:pStyle w:val="FootnoteText"/>
        <w:ind w:left="567" w:hanging="567"/>
        <w:rPr>
          <w:lang w:val="lv-LV"/>
        </w:rPr>
      </w:pPr>
      <w:r>
        <w:rPr>
          <w:rStyle w:val="FootnoteReference"/>
        </w:rPr>
        <w:footnoteRef/>
      </w:r>
      <w:r w:rsidRPr="006576BE">
        <w:rPr>
          <w:lang w:val="fi-FI"/>
        </w:rPr>
        <w:t xml:space="preserve"> </w:t>
      </w:r>
      <w:r>
        <w:rPr>
          <w:lang w:val="lv-LV"/>
        </w:rPr>
        <w:tab/>
      </w:r>
      <w:r w:rsidRPr="0043594A">
        <w:rPr>
          <w:lang w:val="lv-LV"/>
        </w:rPr>
        <w:t>O</w:t>
      </w:r>
      <w:r>
        <w:rPr>
          <w:lang w:val="lv-LV"/>
        </w:rPr>
        <w:t>V</w:t>
      </w:r>
      <w:r w:rsidRPr="0043594A">
        <w:rPr>
          <w:lang w:val="lv-LV"/>
        </w:rPr>
        <w:t xml:space="preserve"> L, 2025/1898, 23.9.2025., ELI: </w:t>
      </w:r>
      <w:hyperlink r:id="rId1" w:history="1">
        <w:r w:rsidRPr="006576BE">
          <w:rPr>
            <w:rStyle w:val="Hyperlink"/>
            <w:sz w:val="24"/>
            <w:szCs w:val="24"/>
            <w:lang w:val="fi-FI"/>
          </w:rPr>
          <w:t>http://data.europa.eu/eli/dec_impl/2025/1898/oj</w:t>
        </w:r>
      </w:hyperlink>
      <w:r w:rsidRPr="0043594A">
        <w:rPr>
          <w:sz w:val="24"/>
          <w:szCs w:val="24"/>
          <w:lang w:val="fi-FI"/>
        </w:rPr>
        <w:t>.</w:t>
      </w:r>
    </w:p>
  </w:footnote>
  <w:footnote w:id="2">
    <w:p w14:paraId="26B6C3A6" w14:textId="279F206D" w:rsidR="00815BAB" w:rsidRPr="00865820" w:rsidRDefault="00815BAB" w:rsidP="00865820">
      <w:pPr>
        <w:pStyle w:val="FootnoteText"/>
        <w:ind w:left="567" w:hanging="567"/>
        <w:rPr>
          <w:b/>
          <w:bCs/>
          <w:sz w:val="24"/>
          <w:lang w:val="lv-LV"/>
        </w:rPr>
      </w:pPr>
      <w:r w:rsidRPr="0043594A">
        <w:rPr>
          <w:rStyle w:val="FootnoteReference"/>
          <w:sz w:val="24"/>
          <w:lang w:val="lv-LV"/>
        </w:rPr>
        <w:footnoteRef/>
      </w:r>
      <w:r w:rsidR="00865820" w:rsidRPr="0043594A">
        <w:rPr>
          <w:sz w:val="24"/>
          <w:lang w:val="lv-LV"/>
        </w:rPr>
        <w:t xml:space="preserve"> </w:t>
      </w:r>
      <w:r w:rsidR="00865820" w:rsidRPr="0043594A">
        <w:rPr>
          <w:sz w:val="24"/>
          <w:lang w:val="lv-LV"/>
        </w:rPr>
        <w:tab/>
      </w:r>
      <w:r w:rsidRPr="0043594A">
        <w:rPr>
          <w:sz w:val="24"/>
          <w:lang w:val="lv-LV"/>
        </w:rPr>
        <w:t>OV L 268, 18.10.2003., 1. lpp., ELI: </w:t>
      </w:r>
      <w:hyperlink r:id="rId2" w:history="1">
        <w:r w:rsidRPr="0043594A">
          <w:rPr>
            <w:rStyle w:val="Hyperlink"/>
            <w:sz w:val="24"/>
            <w:lang w:val="lv-LV"/>
          </w:rPr>
          <w:t>http://data.europa.eu/eli/reg/2003/1829/oj</w:t>
        </w:r>
      </w:hyperlink>
      <w:r w:rsidRPr="00865820">
        <w:rPr>
          <w:sz w:val="24"/>
          <w:u w:val="single"/>
          <w:lang w:val="lv-LV"/>
        </w:rPr>
        <w:t>.</w:t>
      </w:r>
    </w:p>
  </w:footnote>
  <w:footnote w:id="3">
    <w:p w14:paraId="4C7C908B" w14:textId="0C9F998E"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OV L 55, 28.2.2011., 13. lpp., ELI: </w:t>
      </w:r>
      <w:hyperlink r:id="rId3" w:history="1">
        <w:r w:rsidRPr="00865820">
          <w:rPr>
            <w:rStyle w:val="Hyperlink"/>
            <w:sz w:val="24"/>
            <w:lang w:val="lv-LV"/>
          </w:rPr>
          <w:t>http://data.europa.eu/eli/reg/2011/182/oj</w:t>
        </w:r>
      </w:hyperlink>
      <w:r w:rsidRPr="00865820">
        <w:rPr>
          <w:sz w:val="24"/>
          <w:lang w:val="lv-LV"/>
        </w:rPr>
        <w:t>.</w:t>
      </w:r>
    </w:p>
  </w:footnote>
  <w:footnote w:id="4">
    <w:p w14:paraId="61C20B25" w14:textId="0249202D" w:rsidR="00815BAB" w:rsidRPr="00865820" w:rsidRDefault="00815BAB" w:rsidP="00865820">
      <w:pPr>
        <w:pStyle w:val="FootnoteText"/>
        <w:ind w:left="567" w:hanging="567"/>
        <w:rPr>
          <w:sz w:val="24"/>
          <w:lang w:val="lv-LV"/>
        </w:rPr>
      </w:pPr>
      <w:r w:rsidRPr="00865820">
        <w:rPr>
          <w:rStyle w:val="Funotenzeichen"/>
          <w:sz w:val="24"/>
          <w:lang w:val="lv-LV"/>
        </w:rPr>
        <w:footnoteRef/>
      </w:r>
      <w:r w:rsidR="00865820" w:rsidRPr="00865820">
        <w:rPr>
          <w:i/>
          <w:iCs/>
          <w:sz w:val="24"/>
          <w:lang w:val="lv-LV"/>
        </w:rPr>
        <w:t xml:space="preserve"> </w:t>
      </w:r>
      <w:r w:rsidR="00865820" w:rsidRPr="00865820">
        <w:rPr>
          <w:i/>
          <w:iCs/>
          <w:sz w:val="24"/>
          <w:lang w:val="lv-LV"/>
        </w:rPr>
        <w:tab/>
      </w:r>
      <w:r w:rsidRPr="00865820">
        <w:rPr>
          <w:i/>
          <w:iCs/>
          <w:sz w:val="24"/>
          <w:lang w:val="lv-LV"/>
        </w:rPr>
        <w:t>EFSA</w:t>
      </w:r>
      <w:r w:rsidRPr="00865820">
        <w:rPr>
          <w:sz w:val="24"/>
          <w:lang w:val="lv-LV"/>
        </w:rPr>
        <w:t xml:space="preserve"> Ekspertu grupas ģenētiski modificētu organismu jautājumos zinātniskais atzinums “Assessment of genetically modified maize DP51291 (application GMFF-2021-0071)”, </w:t>
      </w:r>
      <w:r w:rsidRPr="00865820">
        <w:rPr>
          <w:i/>
          <w:iCs/>
          <w:sz w:val="24"/>
          <w:lang w:val="lv-LV"/>
        </w:rPr>
        <w:t>EFSA Journal</w:t>
      </w:r>
      <w:r w:rsidRPr="00865820">
        <w:rPr>
          <w:sz w:val="24"/>
          <w:lang w:val="lv-LV"/>
        </w:rPr>
        <w:t xml:space="preserve">, 22. sēj., Nr. 11, 2024, 9059. raksts, </w:t>
      </w:r>
      <w:hyperlink r:id="rId4" w:history="1">
        <w:r w:rsidRPr="00865820">
          <w:rPr>
            <w:rStyle w:val="Hyperlink"/>
            <w:sz w:val="24"/>
            <w:lang w:val="lv-LV"/>
          </w:rPr>
          <w:t>https://doi.org/10.2903/j.efsa.2024.9059</w:t>
        </w:r>
      </w:hyperlink>
      <w:r w:rsidRPr="00865820">
        <w:rPr>
          <w:sz w:val="24"/>
          <w:lang w:val="lv-LV"/>
        </w:rPr>
        <w:t xml:space="preserve">. </w:t>
      </w:r>
    </w:p>
  </w:footnote>
  <w:footnote w:id="5">
    <w:p w14:paraId="6C3284CC" w14:textId="6DBA5DF1" w:rsidR="00815BAB" w:rsidRPr="00865820" w:rsidRDefault="00815BAB" w:rsidP="00865820">
      <w:pPr>
        <w:pStyle w:val="FootnoteText"/>
        <w:ind w:left="567" w:hanging="567"/>
        <w:rPr>
          <w:color w:val="000000" w:themeColor="text1"/>
          <w:sz w:val="24"/>
          <w:vertAlign w:val="superscript"/>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Parlaments astotajā sasaukumā pieņēma 36 rezolūcijas un devītajā sasaukumā — 38 rezolūcijas, ar ko iebilda pret atļauju izmantot ĢMO.</w:t>
      </w:r>
      <w:r w:rsidRPr="00865820">
        <w:rPr>
          <w:color w:val="000000" w:themeColor="text1"/>
          <w:sz w:val="24"/>
          <w:lang w:val="lv-LV"/>
        </w:rPr>
        <w:t xml:space="preserve"> Turklāt desmitajā sasaukumā Parlaments ir pieņēmis šādas rezolūcijas:</w:t>
      </w:r>
    </w:p>
    <w:p w14:paraId="691D77B3" w14:textId="21B2E6C1"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5" w:history="1">
        <w:r w:rsidR="00815BAB" w:rsidRPr="00865820">
          <w:rPr>
            <w:rStyle w:val="Hyperlink"/>
            <w:sz w:val="24"/>
            <w:lang w:val="lv-LV"/>
          </w:rPr>
          <w:t>http://data.europa.eu/eli/C/2025/1797/oj</w:t>
        </w:r>
      </w:hyperlink>
      <w:r w:rsidR="00815BAB" w:rsidRPr="00865820">
        <w:rPr>
          <w:color w:val="000000" w:themeColor="text1"/>
          <w:sz w:val="24"/>
          <w:lang w:val="lv-LV"/>
        </w:rPr>
        <w:t>).</w:t>
      </w:r>
    </w:p>
    <w:p w14:paraId="2A85F5F4" w14:textId="674B4BDC"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6" w:history="1">
        <w:r w:rsidR="00815BAB" w:rsidRPr="00865820">
          <w:rPr>
            <w:rStyle w:val="Hyperlink"/>
            <w:sz w:val="24"/>
            <w:lang w:val="lv-LV"/>
          </w:rPr>
          <w:t>http://data.europa.eu/eli/C/2025/1798/oj</w:t>
        </w:r>
      </w:hyperlink>
      <w:r w:rsidR="00815BAB" w:rsidRPr="00865820">
        <w:rPr>
          <w:color w:val="000000" w:themeColor="text1"/>
          <w:sz w:val="24"/>
          <w:lang w:val="lv-LV"/>
        </w:rPr>
        <w:t>).</w:t>
      </w:r>
    </w:p>
    <w:p w14:paraId="70396901" w14:textId="4EAA1747"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7" w:history="1">
        <w:r w:rsidR="00815BAB" w:rsidRPr="00865820">
          <w:rPr>
            <w:rStyle w:val="Hyperlink"/>
            <w:sz w:val="24"/>
            <w:lang w:val="lv-LV"/>
          </w:rPr>
          <w:t>http://data.europa.eu/eli/C/2025/1799/oj</w:t>
        </w:r>
      </w:hyperlink>
      <w:r w:rsidR="00815BAB" w:rsidRPr="00865820">
        <w:rPr>
          <w:color w:val="000000" w:themeColor="text1"/>
          <w:sz w:val="24"/>
          <w:lang w:val="lv-LV"/>
        </w:rPr>
        <w:t>).</w:t>
      </w:r>
    </w:p>
    <w:p w14:paraId="657E439F" w14:textId="6E4BEF42"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8" w:history="1">
        <w:r w:rsidR="00815BAB" w:rsidRPr="00865820">
          <w:rPr>
            <w:rStyle w:val="Hyperlink"/>
            <w:sz w:val="24"/>
            <w:lang w:val="lv-LV"/>
          </w:rPr>
          <w:t>http://data.europa.eu/eli/C/2025/1800/oj</w:t>
        </w:r>
      </w:hyperlink>
      <w:r w:rsidR="00815BAB" w:rsidRPr="00865820">
        <w:rPr>
          <w:color w:val="000000" w:themeColor="text1"/>
          <w:sz w:val="24"/>
          <w:lang w:val="lv-LV"/>
        </w:rPr>
        <w:t>).</w:t>
      </w:r>
    </w:p>
    <w:p w14:paraId="37F51922" w14:textId="7226A977"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9" w:history="1">
        <w:r w:rsidR="00815BAB" w:rsidRPr="00865820">
          <w:rPr>
            <w:rStyle w:val="Hyperlink"/>
            <w:sz w:val="24"/>
            <w:lang w:val="lv-LV"/>
          </w:rPr>
          <w:t>http://data.europa.eu/eli/C/2025/1801/oj</w:t>
        </w:r>
      </w:hyperlink>
      <w:r w:rsidR="00815BAB" w:rsidRPr="00865820">
        <w:rPr>
          <w:color w:val="000000" w:themeColor="text1"/>
          <w:sz w:val="24"/>
          <w:lang w:val="lv-LV"/>
        </w:rPr>
        <w:t>).</w:t>
      </w:r>
    </w:p>
    <w:p w14:paraId="50D1F62E" w14:textId="5040290C"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10" w:history="1">
        <w:r w:rsidR="00815BAB" w:rsidRPr="00865820">
          <w:rPr>
            <w:rStyle w:val="Hyperlink"/>
            <w:sz w:val="24"/>
            <w:lang w:val="lv-LV"/>
          </w:rPr>
          <w:t>http://data.europa.eu/eli/C/2025/1802/oj</w:t>
        </w:r>
      </w:hyperlink>
      <w:r w:rsidR="00815BAB" w:rsidRPr="00865820">
        <w:rPr>
          <w:color w:val="000000" w:themeColor="text1"/>
          <w:sz w:val="24"/>
          <w:lang w:val="lv-LV"/>
        </w:rPr>
        <w:t>).</w:t>
      </w:r>
    </w:p>
    <w:p w14:paraId="21DE31D5" w14:textId="4873A413"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1" w:history="1">
        <w:r w:rsidR="00815BAB" w:rsidRPr="00865820">
          <w:rPr>
            <w:rStyle w:val="Hyperlink"/>
            <w:sz w:val="24"/>
            <w:lang w:val="lv-LV"/>
          </w:rPr>
          <w:t>http://data.europa.eu/eli/C/2025/1803/oj</w:t>
        </w:r>
      </w:hyperlink>
      <w:r w:rsidR="00815BAB" w:rsidRPr="00865820">
        <w:rPr>
          <w:color w:val="000000" w:themeColor="text1"/>
          <w:sz w:val="24"/>
          <w:lang w:val="lv-LV"/>
        </w:rPr>
        <w:t>).</w:t>
      </w:r>
    </w:p>
    <w:p w14:paraId="642A7A2A" w14:textId="176A4A44" w:rsidR="00815BAB" w:rsidRPr="00865820" w:rsidRDefault="00865820" w:rsidP="00865820">
      <w:pPr>
        <w:pStyle w:val="FootnoteText"/>
        <w:ind w:left="567" w:hanging="567"/>
        <w:rPr>
          <w:color w:val="000000" w:themeColor="text1"/>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2" w:history="1">
        <w:r w:rsidR="00815BAB" w:rsidRPr="00865820">
          <w:rPr>
            <w:rStyle w:val="Hyperlink"/>
            <w:sz w:val="24"/>
            <w:lang w:val="lv-LV"/>
          </w:rPr>
          <w:t>http://data.europa.eu/eli/C/2025/1804/oj</w:t>
        </w:r>
      </w:hyperlink>
      <w:r w:rsidR="00815BAB" w:rsidRPr="00865820">
        <w:rPr>
          <w:color w:val="000000" w:themeColor="text1"/>
          <w:sz w:val="24"/>
          <w:lang w:val="lv-LV"/>
        </w:rPr>
        <w:t>).</w:t>
      </w:r>
    </w:p>
    <w:p w14:paraId="4C9D8987" w14:textId="63AFD29D" w:rsidR="00815BAB" w:rsidRPr="00865820" w:rsidRDefault="00865820" w:rsidP="00865820">
      <w:pPr>
        <w:pStyle w:val="FootnoteText"/>
        <w:ind w:left="567" w:hanging="567"/>
        <w:rPr>
          <w:sz w:val="24"/>
          <w:vertAlign w:val="superscript"/>
          <w:lang w:val="lv-LV"/>
        </w:rPr>
      </w:pPr>
      <w:r w:rsidRPr="00865820">
        <w:rPr>
          <w:color w:val="000000" w:themeColor="text1"/>
          <w:sz w:val="24"/>
          <w:lang w:val="lv-LV"/>
        </w:rPr>
        <w:t xml:space="preserve"> </w:t>
      </w:r>
      <w:r w:rsidRPr="00865820">
        <w:rPr>
          <w:color w:val="000000" w:themeColor="text1"/>
          <w:sz w:val="24"/>
          <w:lang w:val="lv-LV"/>
        </w:rPr>
        <w:tab/>
      </w:r>
      <w:r w:rsidR="00815BAB" w:rsidRPr="00865820">
        <w:rPr>
          <w:color w:val="000000" w:themeColor="text1"/>
          <w:sz w:val="24"/>
          <w:lang w:val="lv-LV"/>
        </w:rPr>
        <w:t>–</w:t>
      </w:r>
      <w:r w:rsidR="00815BAB" w:rsidRPr="00865820">
        <w:rPr>
          <w:color w:val="000000" w:themeColor="text1"/>
          <w:sz w:val="24"/>
          <w:lang w:val="lv-LV"/>
        </w:rPr>
        <w:tab/>
      </w:r>
      <w:r w:rsidR="00815BAB" w:rsidRPr="00865820">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3" w:tooltip="Piekļuve dokumentam ar tā ELI URI." w:history="1">
        <w:r w:rsidR="00815BAB" w:rsidRPr="00865820">
          <w:rPr>
            <w:rStyle w:val="Hyperlink"/>
            <w:sz w:val="24"/>
            <w:lang w:val="lv-LV"/>
          </w:rPr>
          <w:t>http://data.europa.eu/eli/C/2025/2246/oj</w:t>
        </w:r>
      </w:hyperlink>
      <w:r w:rsidR="00815BAB" w:rsidRPr="00865820">
        <w:rPr>
          <w:sz w:val="24"/>
          <w:lang w:val="lv-LV"/>
        </w:rPr>
        <w:t>).</w:t>
      </w:r>
    </w:p>
    <w:p w14:paraId="52B1EBF0" w14:textId="6B2FCEEA" w:rsidR="00815BAB" w:rsidRPr="00865820" w:rsidRDefault="00865820" w:rsidP="00865820">
      <w:pPr>
        <w:pStyle w:val="FootnoteText"/>
        <w:ind w:left="567" w:hanging="567"/>
        <w:rPr>
          <w:sz w:val="24"/>
          <w:vertAlign w:val="superscript"/>
          <w:lang w:val="lv-LV"/>
        </w:rPr>
      </w:pPr>
      <w:r w:rsidRPr="00865820">
        <w:rPr>
          <w:sz w:val="24"/>
          <w:lang w:val="lv-LV"/>
        </w:rPr>
        <w:t xml:space="preserve"> </w:t>
      </w:r>
      <w:r w:rsidRPr="00865820">
        <w:rPr>
          <w:sz w:val="24"/>
          <w:lang w:val="lv-LV"/>
        </w:rPr>
        <w:tab/>
      </w:r>
      <w:r w:rsidR="00815BAB" w:rsidRPr="00865820">
        <w:rPr>
          <w:sz w:val="24"/>
          <w:lang w:val="lv-LV"/>
        </w:rPr>
        <w:t>–</w:t>
      </w:r>
      <w:r w:rsidR="00815BAB" w:rsidRPr="00865820">
        <w:rPr>
          <w:sz w:val="24"/>
          <w:lang w:val="lv-LV"/>
        </w:rPr>
        <w:tab/>
        <w:t xml:space="preserve">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4" w:tooltip="Piekļuve dokumentam ar tā ELI URI." w:history="1">
        <w:r w:rsidR="00815BAB" w:rsidRPr="00865820">
          <w:rPr>
            <w:rStyle w:val="Hyperlink"/>
            <w:sz w:val="24"/>
            <w:lang w:val="lv-LV"/>
          </w:rPr>
          <w:t>http://data.europa.eu/eli/C/2025/2247/oj</w:t>
        </w:r>
      </w:hyperlink>
      <w:r w:rsidR="00815BAB" w:rsidRPr="00865820">
        <w:rPr>
          <w:sz w:val="24"/>
          <w:lang w:val="lv-LV"/>
        </w:rPr>
        <w:t>).</w:t>
      </w:r>
    </w:p>
    <w:p w14:paraId="0EB5459C" w14:textId="2421C6D8" w:rsidR="00815BAB" w:rsidRPr="00865820" w:rsidRDefault="00865820" w:rsidP="00865820">
      <w:pPr>
        <w:pStyle w:val="FootnoteText"/>
        <w:ind w:left="567" w:hanging="567"/>
        <w:rPr>
          <w:sz w:val="24"/>
          <w:lang w:val="lv-LV"/>
        </w:rPr>
      </w:pPr>
      <w:r w:rsidRPr="00865820">
        <w:rPr>
          <w:sz w:val="24"/>
          <w:lang w:val="lv-LV"/>
        </w:rPr>
        <w:t xml:space="preserve"> </w:t>
      </w:r>
      <w:r w:rsidRPr="00865820">
        <w:rPr>
          <w:sz w:val="24"/>
          <w:lang w:val="lv-LV"/>
        </w:rPr>
        <w:tab/>
      </w:r>
      <w:r w:rsidR="00815BAB" w:rsidRPr="00865820">
        <w:rPr>
          <w:sz w:val="24"/>
          <w:lang w:val="lv-LV"/>
        </w:rPr>
        <w:t>–</w:t>
      </w:r>
      <w:r w:rsidR="00815BAB" w:rsidRPr="00865820">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footnote>
  <w:footnote w:id="6">
    <w:p w14:paraId="5B3C28F8" w14:textId="7E7A01F2"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Eiropas Parlamenta un Padomes Regula (EK) Nr. 1107/2009 (2009. gada 21. oktobris) par augu aizsardzības līdzekļu laišanu tirgū, ar ko atceļ Padomes Direktīvas 79/117/EEK un 91/414/EEK (OV L 309, 24.11.2009., 1. lpp., ELI: </w:t>
      </w:r>
      <w:hyperlink r:id="rId15" w:tooltip="Piekļuve dokumentam ar tā ELI URI." w:history="1">
        <w:r w:rsidRPr="00865820">
          <w:rPr>
            <w:rStyle w:val="Hyperlink"/>
            <w:sz w:val="24"/>
            <w:lang w:val="lv-LV"/>
          </w:rPr>
          <w:t>http://data.europa.eu/eli/reg/2009/1107/oj</w:t>
        </w:r>
      </w:hyperlink>
      <w:r w:rsidRPr="00865820">
        <w:rPr>
          <w:sz w:val="24"/>
          <w:lang w:val="lv-LV"/>
        </w:rPr>
        <w:t>).</w:t>
      </w:r>
    </w:p>
  </w:footnote>
  <w:footnote w:id="7">
    <w:p w14:paraId="2DFC8DE2" w14:textId="7B6E7CB2"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16" w:history="1">
        <w:r w:rsidRPr="00865820">
          <w:rPr>
            <w:rStyle w:val="Hyperlink"/>
            <w:sz w:val="24"/>
            <w:lang w:val="lv-LV"/>
          </w:rPr>
          <w:t>https://www.testbiotech.org/wp-content/uploads/2024/12/Testbiotech_comment_‌maize_DP51291.pdf</w:t>
        </w:r>
      </w:hyperlink>
      <w:r w:rsidRPr="00865820">
        <w:rPr>
          <w:sz w:val="24"/>
          <w:lang w:val="lv-LV"/>
        </w:rPr>
        <w:t>.</w:t>
      </w:r>
    </w:p>
  </w:footnote>
  <w:footnote w:id="8">
    <w:p w14:paraId="4CDBDE22" w14:textId="43C9D61E"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lpp., ELI: </w:t>
      </w:r>
      <w:hyperlink r:id="rId17" w:history="1">
        <w:r w:rsidRPr="00865820">
          <w:rPr>
            <w:rStyle w:val="Hyperlink"/>
            <w:sz w:val="24"/>
            <w:lang w:val="lv-LV"/>
          </w:rPr>
          <w:t>http://data.europa.eu/eli/reg_impl/2013/503/oj</w:t>
        </w:r>
      </w:hyperlink>
      <w:r w:rsidRPr="00865820">
        <w:rPr>
          <w:sz w:val="24"/>
          <w:lang w:val="lv-LV"/>
        </w:rPr>
        <w:t>).</w:t>
      </w:r>
    </w:p>
  </w:footnote>
  <w:footnote w:id="9">
    <w:p w14:paraId="29E59FAF" w14:textId="0E0B1C8B"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Trtikova, M., Wikmark, O. G., Zemp, N., Widmer, A., Hilbeck, A., “Transgene expression and Bt protein content in transgenic Bt maize (MON810) under optimal and stressful environmental conditions”, </w:t>
      </w:r>
      <w:r w:rsidRPr="00865820">
        <w:rPr>
          <w:i/>
          <w:iCs/>
          <w:sz w:val="24"/>
          <w:lang w:val="lv-LV"/>
        </w:rPr>
        <w:t>PLoS ONE</w:t>
      </w:r>
      <w:r w:rsidRPr="00865820">
        <w:rPr>
          <w:sz w:val="24"/>
          <w:lang w:val="lv-LV"/>
        </w:rPr>
        <w:t xml:space="preserve">, 10. sēj., Nr. 4, 2015, 0123011. raksts, </w:t>
      </w:r>
      <w:hyperlink r:id="rId18" w:history="1">
        <w:r w:rsidRPr="00865820">
          <w:rPr>
            <w:rStyle w:val="Hyperlink"/>
            <w:sz w:val="24"/>
            <w:lang w:val="lv-LV"/>
          </w:rPr>
          <w:t>https://doi.org/10.1371/journal.pone.0123011</w:t>
        </w:r>
      </w:hyperlink>
      <w:r w:rsidRPr="00865820">
        <w:rPr>
          <w:sz w:val="24"/>
          <w:lang w:val="lv-LV"/>
        </w:rPr>
        <w:t>.</w:t>
      </w:r>
    </w:p>
  </w:footnote>
  <w:footnote w:id="10">
    <w:p w14:paraId="692BD48A" w14:textId="78F3C8BF"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Sk., piemēram, Schulz, R., Bub, S., Petschick, L. L., Stehle, S., Wolfram, J., “Applied pesticide toxicity shifts toward plants and invertebrates, even in GM crops”, </w:t>
      </w:r>
      <w:r w:rsidRPr="00865820">
        <w:rPr>
          <w:i/>
          <w:iCs/>
          <w:sz w:val="24"/>
          <w:lang w:val="lv-LV"/>
        </w:rPr>
        <w:t>Science,</w:t>
      </w:r>
      <w:r w:rsidRPr="00865820">
        <w:rPr>
          <w:sz w:val="24"/>
          <w:lang w:val="lv-LV"/>
        </w:rPr>
        <w:t xml:space="preserve"> 372. sēj., Nr. 6537, 2021, 81.–84. lpp., </w:t>
      </w:r>
      <w:hyperlink r:id="rId19" w:history="1">
        <w:r w:rsidRPr="00865820">
          <w:rPr>
            <w:rStyle w:val="Hyperlink"/>
            <w:sz w:val="24"/>
            <w:lang w:val="lv-LV"/>
          </w:rPr>
          <w:t>https://doi.org/10.1126/science.abe1148</w:t>
        </w:r>
      </w:hyperlink>
      <w:r w:rsidRPr="00865820">
        <w:rPr>
          <w:sz w:val="24"/>
          <w:lang w:val="lv-LV"/>
        </w:rPr>
        <w:t xml:space="preserve">; Bonny, S., “Genetically Modified Herbicide-Tolerant Crops, Weeds, and Herbicides: Overview and Impact”, </w:t>
      </w:r>
      <w:r w:rsidRPr="00865820">
        <w:rPr>
          <w:i/>
          <w:iCs/>
          <w:sz w:val="24"/>
          <w:lang w:val="lv-LV"/>
        </w:rPr>
        <w:t>Environmental Management</w:t>
      </w:r>
      <w:r w:rsidRPr="00865820">
        <w:rPr>
          <w:sz w:val="24"/>
          <w:lang w:val="lv-LV"/>
        </w:rPr>
        <w:t xml:space="preserve">, 57. sēj., Nr. 1, 2016. gada janvāris, 31.–48. lpp., </w:t>
      </w:r>
      <w:hyperlink r:id="rId20" w:history="1">
        <w:r w:rsidRPr="00865820">
          <w:rPr>
            <w:rStyle w:val="Hyperlink"/>
            <w:sz w:val="24"/>
            <w:lang w:val="lv-LV"/>
          </w:rPr>
          <w:t>https://www.ncbi.nlm.nih.gov/pubmed/26296738</w:t>
        </w:r>
      </w:hyperlink>
      <w:r w:rsidRPr="00865820">
        <w:rPr>
          <w:sz w:val="24"/>
          <w:lang w:val="lv-LV"/>
        </w:rPr>
        <w:t xml:space="preserve">; un Benbrook, C. M., “Impacts of genetically engineered crops on pesticide use in the U.S. – the first sixteen years”, </w:t>
      </w:r>
      <w:r w:rsidRPr="00865820">
        <w:rPr>
          <w:i/>
          <w:iCs/>
          <w:sz w:val="24"/>
          <w:lang w:val="lv-LV"/>
        </w:rPr>
        <w:t>Environmental Sciences Europe</w:t>
      </w:r>
      <w:r w:rsidRPr="00865820">
        <w:rPr>
          <w:sz w:val="24"/>
          <w:lang w:val="lv-LV"/>
        </w:rPr>
        <w:t xml:space="preserve">, 24. sēj., Nr. 24, 2012. gada 28. septembris, </w:t>
      </w:r>
      <w:hyperlink r:id="rId21" w:history="1">
        <w:r w:rsidRPr="00865820">
          <w:rPr>
            <w:rStyle w:val="Hyperlink"/>
            <w:sz w:val="24"/>
            <w:lang w:val="lv-LV"/>
          </w:rPr>
          <w:t>https://doi.org/10.1186/2190-4715-24-24</w:t>
        </w:r>
      </w:hyperlink>
      <w:r w:rsidRPr="00865820">
        <w:rPr>
          <w:sz w:val="24"/>
          <w:lang w:val="lv-LV"/>
        </w:rPr>
        <w:t>.</w:t>
      </w:r>
    </w:p>
  </w:footnote>
  <w:footnote w:id="11">
    <w:p w14:paraId="51859569" w14:textId="5599220A"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Pārskatam sk. Rubio-Infante, N., Moreno-Fierros, L., “An overview of the safety and biological effects of </w:t>
      </w:r>
      <w:r w:rsidRPr="00865820">
        <w:rPr>
          <w:i/>
          <w:iCs/>
          <w:sz w:val="24"/>
          <w:lang w:val="lv-LV"/>
        </w:rPr>
        <w:t>Bacillus thuringiensis</w:t>
      </w:r>
      <w:r w:rsidRPr="00865820">
        <w:rPr>
          <w:sz w:val="24"/>
          <w:lang w:val="lv-LV"/>
        </w:rPr>
        <w:t xml:space="preserve"> Cry toxins in mammals”, </w:t>
      </w:r>
      <w:r w:rsidRPr="00865820">
        <w:rPr>
          <w:i/>
          <w:iCs/>
          <w:sz w:val="24"/>
          <w:lang w:val="lv-LV"/>
        </w:rPr>
        <w:t>Journal of Applied Toxicology</w:t>
      </w:r>
      <w:r w:rsidRPr="00865820">
        <w:rPr>
          <w:sz w:val="24"/>
          <w:lang w:val="lv-LV"/>
        </w:rPr>
        <w:t xml:space="preserve">, 36. sēj., Nr. 5, 2016. gada maijs, 630.–648. lpp., </w:t>
      </w:r>
      <w:hyperlink r:id="rId22" w:history="1">
        <w:r w:rsidRPr="00865820">
          <w:rPr>
            <w:rStyle w:val="Hyperlink"/>
            <w:sz w:val="24"/>
            <w:lang w:val="lv-LV"/>
          </w:rPr>
          <w:t>https://onlinelibrary.wiley.com/doi/full/10.1002/jat.3252</w:t>
        </w:r>
      </w:hyperlink>
      <w:r w:rsidRPr="00865820">
        <w:rPr>
          <w:sz w:val="24"/>
          <w:lang w:val="lv-LV"/>
        </w:rPr>
        <w:t>.</w:t>
      </w:r>
    </w:p>
  </w:footnote>
  <w:footnote w:id="12">
    <w:p w14:paraId="0CC1D0D6" w14:textId="2E71269B"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Bøhn, T., Macagnan Rover, C., Semenchuk, P. R., “</w:t>
      </w:r>
      <w:r w:rsidRPr="00865820">
        <w:rPr>
          <w:i/>
          <w:sz w:val="24"/>
          <w:lang w:val="lv-LV"/>
        </w:rPr>
        <w:t>Daphnia magna</w:t>
      </w:r>
      <w:r w:rsidRPr="00865820">
        <w:rPr>
          <w:sz w:val="24"/>
          <w:lang w:val="lv-LV"/>
        </w:rPr>
        <w:t xml:space="preserve"> negatively affected by chronic exposure to purified Cry-toxins”, </w:t>
      </w:r>
      <w:r w:rsidRPr="00865820">
        <w:rPr>
          <w:i/>
          <w:iCs/>
          <w:sz w:val="24"/>
          <w:lang w:val="lv-LV"/>
        </w:rPr>
        <w:t>Food and Chemical Toxicology</w:t>
      </w:r>
      <w:r w:rsidRPr="00865820">
        <w:rPr>
          <w:sz w:val="24"/>
          <w:lang w:val="lv-LV"/>
        </w:rPr>
        <w:t xml:space="preserve">, 91. sēj., 2016. gada maijs, 130.–140. lpp., </w:t>
      </w:r>
      <w:hyperlink r:id="rId23" w:history="1">
        <w:r w:rsidRPr="00865820">
          <w:rPr>
            <w:rStyle w:val="Hyperlink"/>
            <w:sz w:val="24"/>
            <w:lang w:val="lv-LV"/>
          </w:rPr>
          <w:t>https://doi.org/10.1016/j.fct.2016.03.009</w:t>
        </w:r>
      </w:hyperlink>
      <w:r w:rsidRPr="00865820">
        <w:rPr>
          <w:sz w:val="24"/>
          <w:lang w:val="lv-LV"/>
        </w:rPr>
        <w:t>.</w:t>
      </w:r>
    </w:p>
  </w:footnote>
  <w:footnote w:id="13">
    <w:p w14:paraId="0275669B" w14:textId="1D49433F"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Trtikova, M., Lohn, A., Binimelis, R., Chapela, I., Oehen, B., Zemp, N., Widmer, A., Hilbeck, A., “Teosinte in Europe – Searching for the Origin of a Novel Weed”, </w:t>
      </w:r>
      <w:r w:rsidRPr="00865820">
        <w:rPr>
          <w:i/>
          <w:iCs/>
          <w:sz w:val="24"/>
          <w:lang w:val="lv-LV"/>
        </w:rPr>
        <w:t>Scientific Reports</w:t>
      </w:r>
      <w:r w:rsidRPr="00865820">
        <w:rPr>
          <w:sz w:val="24"/>
          <w:lang w:val="lv-LV"/>
        </w:rPr>
        <w:t xml:space="preserve">, Nr. 7, 2017, 1560. raksts, </w:t>
      </w:r>
      <w:hyperlink r:id="rId24" w:history="1">
        <w:r w:rsidRPr="00865820">
          <w:rPr>
            <w:rStyle w:val="Hyperlink"/>
            <w:sz w:val="24"/>
            <w:lang w:val="lv-LV"/>
          </w:rPr>
          <w:t>https://doi.org/10.1038/s41598-017-01478-w</w:t>
        </w:r>
      </w:hyperlink>
      <w:r w:rsidRPr="00865820">
        <w:rPr>
          <w:sz w:val="24"/>
          <w:lang w:val="lv-LV"/>
        </w:rPr>
        <w:t>.</w:t>
      </w:r>
    </w:p>
  </w:footnote>
  <w:footnote w:id="14">
    <w:p w14:paraId="6CEDF902" w14:textId="06EB8F95"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“Strategic Dialogue on the Future of EU Agriculture - A shared prospect for farming and food in Europe”, 2024. gada septembris, </w:t>
      </w:r>
      <w:hyperlink r:id="rId25" w:history="1">
        <w:r w:rsidRPr="00865820">
          <w:rPr>
            <w:rStyle w:val="Hyperlink"/>
            <w:sz w:val="24"/>
            <w:lang w:val="lv-LV"/>
          </w:rPr>
          <w:t>https://agriculture.ec.europa.eu/document/download/171329ff-0f50-4fa5-946f-aea11032172e_en?filename=strategic-dialogue-report-2024_en.pdf</w:t>
        </w:r>
      </w:hyperlink>
      <w:r w:rsidRPr="00865820">
        <w:rPr>
          <w:sz w:val="24"/>
          <w:lang w:val="lv-LV"/>
        </w:rPr>
        <w:t xml:space="preserve">. </w:t>
      </w:r>
    </w:p>
  </w:footnote>
  <w:footnote w:id="15">
    <w:p w14:paraId="0076C47C" w14:textId="0497DEF9"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26" w:history="1">
        <w:r w:rsidRPr="00865820">
          <w:rPr>
            <w:rStyle w:val="Hyperlink"/>
            <w:sz w:val="24"/>
            <w:lang w:val="lv-LV"/>
          </w:rPr>
          <w:t>https://www.ohchr.org/en/documents/thematic-reports/ahrc3448-report-special-rapporteur-right-food</w:t>
        </w:r>
      </w:hyperlink>
      <w:r w:rsidRPr="00865820">
        <w:rPr>
          <w:sz w:val="24"/>
          <w:lang w:val="lv-LV"/>
        </w:rPr>
        <w:t xml:space="preserve">. </w:t>
      </w:r>
    </w:p>
  </w:footnote>
  <w:footnote w:id="16">
    <w:p w14:paraId="675C6BBD" w14:textId="07AA246E"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27" w:history="1">
        <w:r w:rsidRPr="00865820">
          <w:rPr>
            <w:rStyle w:val="Hyperlink"/>
            <w:sz w:val="24"/>
            <w:lang w:val="lv-LV"/>
          </w:rPr>
          <w:t>https://www.un.org/sustainabledevelopment/health/</w:t>
        </w:r>
      </w:hyperlink>
      <w:r w:rsidRPr="00865820">
        <w:rPr>
          <w:sz w:val="24"/>
          <w:lang w:val="lv-LV"/>
        </w:rPr>
        <w:t xml:space="preserve">. </w:t>
      </w:r>
    </w:p>
  </w:footnote>
  <w:footnote w:id="17">
    <w:p w14:paraId="5F9E0F52" w14:textId="466616A9"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28" w:history="1">
        <w:r w:rsidRPr="00865820">
          <w:rPr>
            <w:rStyle w:val="Hyperlink"/>
            <w:sz w:val="24"/>
            <w:lang w:val="lv-LV"/>
          </w:rPr>
          <w:t>https://ec.europa.eu/commission/presscorner/detail/lv/ip_22_7834</w:t>
        </w:r>
      </w:hyperlink>
      <w:r w:rsidRPr="00865820">
        <w:rPr>
          <w:sz w:val="24"/>
          <w:lang w:val="lv-LV"/>
        </w:rPr>
        <w:t xml:space="preserve">. </w:t>
      </w:r>
    </w:p>
  </w:footnote>
  <w:footnote w:id="18">
    <w:p w14:paraId="4DBEA40A" w14:textId="3349347A"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29" w:history="1">
        <w:r w:rsidRPr="00865820">
          <w:rPr>
            <w:rStyle w:val="Hyperlink"/>
            <w:sz w:val="24"/>
            <w:lang w:val="lv-LV"/>
          </w:rPr>
          <w:t>https://commission.europa.eu/document/2c64e540-c07a-4376-a1da-368d289f4afe_en?prefLang=lv</w:t>
        </w:r>
      </w:hyperlink>
      <w:r w:rsidRPr="00865820">
        <w:rPr>
          <w:sz w:val="24"/>
          <w:lang w:val="lv-LV"/>
        </w:rPr>
        <w:t>.</w:t>
      </w:r>
    </w:p>
  </w:footnote>
  <w:footnote w:id="19">
    <w:p w14:paraId="25A7F903" w14:textId="5925D7D9"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Saskaņā ar Regulas (ES) Nr. 182/2011 6. panta 3. punktu Komisija “var pieņemt”, nevis “pieņem” projektu, ja pārsūdzības komitejā ar dalībvalstu kvalificētu balsu vairākumu nav sniegts pozitīvs atzinums.</w:t>
      </w:r>
    </w:p>
  </w:footnote>
  <w:footnote w:id="20">
    <w:p w14:paraId="3808B8B7" w14:textId="141A02E0"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30" w:history="1">
        <w:r w:rsidRPr="00865820">
          <w:rPr>
            <w:rStyle w:val="Hyperlink"/>
            <w:sz w:val="24"/>
            <w:lang w:val="lv-LV"/>
          </w:rPr>
          <w:t>https://food.ec.europa.eu/document/download/ee1a5aed-5303-4c32-bb59-813143a1df47_en?filename=sc_modif-genet_20250613_sum.pdf</w:t>
        </w:r>
      </w:hyperlink>
      <w:r w:rsidRPr="00865820">
        <w:rPr>
          <w:sz w:val="24"/>
          <w:lang w:val="lv-LV"/>
        </w:rPr>
        <w:t>.</w:t>
      </w:r>
    </w:p>
  </w:footnote>
  <w:footnote w:id="21">
    <w:p w14:paraId="41A3090A" w14:textId="6E2FDCAE"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31" w:history="1">
        <w:r w:rsidRPr="00865820">
          <w:rPr>
            <w:rStyle w:val="Hyperlink"/>
            <w:sz w:val="24"/>
            <w:lang w:val="lv-LV"/>
          </w:rPr>
          <w:t>http://data.europa.eu/eli/reg/2002/178/oj</w:t>
        </w:r>
      </w:hyperlink>
      <w:r w:rsidRPr="00865820">
        <w:rPr>
          <w:sz w:val="24"/>
          <w:lang w:val="lv-LV"/>
        </w:rPr>
        <w:t>).</w:t>
      </w:r>
    </w:p>
  </w:footnote>
  <w:footnote w:id="22">
    <w:p w14:paraId="269EA631" w14:textId="25ADAB1D"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 xml:space="preserve">Kā izklāstīts pielikumā Komisijas 2020. gada 14. oktobra paziņojumam “Ilgtspēju sekmējoša ķimikāliju stratēģija. Ceļā uz vidi, kas brīva no toksikantiem”, COM(2020)0667, </w:t>
      </w:r>
      <w:hyperlink r:id="rId32" w:anchor="document2" w:history="1">
        <w:r w:rsidRPr="00865820">
          <w:rPr>
            <w:rStyle w:val="Hyperlink"/>
            <w:sz w:val="24"/>
            <w:lang w:val="lv-LV"/>
          </w:rPr>
          <w:t>https://eur-lex.europa.eu/legal-content/LV/TXT/?uri=COM%3A2020%3A667%3AFIN</w:t>
        </w:r>
      </w:hyperlink>
      <w:r w:rsidRPr="00865820">
        <w:rPr>
          <w:sz w:val="24"/>
          <w:lang w:val="lv-LV"/>
        </w:rPr>
        <w:t>.</w:t>
      </w:r>
    </w:p>
  </w:footnote>
  <w:footnote w:id="23">
    <w:p w14:paraId="2F5A6C4F" w14:textId="6E51CEFC"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hyperlink r:id="rId33" w:history="1">
        <w:r w:rsidRPr="00865820">
          <w:rPr>
            <w:rStyle w:val="Hyperlink"/>
            <w:sz w:val="24"/>
            <w:lang w:val="lv-LV"/>
          </w:rPr>
          <w:t>https://tillymetz.lu/wp-content/uploads/2020/09/Co-signed-letter-MEP-Metz.pdf</w:t>
        </w:r>
      </w:hyperlink>
      <w:r w:rsidRPr="00865820">
        <w:rPr>
          <w:sz w:val="24"/>
          <w:lang w:val="lv-LV"/>
        </w:rPr>
        <w:t xml:space="preserve">. </w:t>
      </w:r>
    </w:p>
  </w:footnote>
  <w:footnote w:id="24">
    <w:p w14:paraId="3AF9E99E" w14:textId="5DC4B454" w:rsidR="00815BAB" w:rsidRPr="00865820" w:rsidRDefault="00815BAB" w:rsidP="00865820">
      <w:pPr>
        <w:pStyle w:val="FootnoteText"/>
        <w:ind w:left="567" w:hanging="567"/>
        <w:rPr>
          <w:sz w:val="24"/>
          <w:lang w:val="lv-LV"/>
        </w:rPr>
      </w:pPr>
      <w:r w:rsidRPr="00865820">
        <w:rPr>
          <w:rStyle w:val="FootnoteReference"/>
          <w:sz w:val="24"/>
          <w:lang w:val="lv-LV"/>
        </w:rPr>
        <w:footnoteRef/>
      </w:r>
      <w:r w:rsidR="00865820" w:rsidRPr="00865820">
        <w:rPr>
          <w:sz w:val="24"/>
          <w:lang w:val="lv-LV"/>
        </w:rPr>
        <w:t xml:space="preserve"> </w:t>
      </w:r>
      <w:r w:rsidR="00865820" w:rsidRPr="00865820">
        <w:rPr>
          <w:sz w:val="24"/>
          <w:lang w:val="lv-LV"/>
        </w:rPr>
        <w:tab/>
      </w:r>
      <w:r w:rsidRPr="00865820">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45A1" w14:textId="77777777" w:rsidR="00064002" w:rsidRPr="008658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EEF3" w14:textId="77777777" w:rsidR="00064002" w:rsidRPr="008658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27FEA" w14:textId="77777777" w:rsidR="00064002" w:rsidRPr="008658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0998142">
    <w:abstractNumId w:val="9"/>
  </w:num>
  <w:num w:numId="2" w16cid:durableId="964584848">
    <w:abstractNumId w:val="9"/>
  </w:num>
  <w:num w:numId="3" w16cid:durableId="2088840599">
    <w:abstractNumId w:val="7"/>
  </w:num>
  <w:num w:numId="4" w16cid:durableId="1302464621">
    <w:abstractNumId w:val="7"/>
  </w:num>
  <w:num w:numId="5" w16cid:durableId="502277437">
    <w:abstractNumId w:val="6"/>
  </w:num>
  <w:num w:numId="6" w16cid:durableId="776412287">
    <w:abstractNumId w:val="6"/>
  </w:num>
  <w:num w:numId="7" w16cid:durableId="963273456">
    <w:abstractNumId w:val="5"/>
  </w:num>
  <w:num w:numId="8" w16cid:durableId="1436442434">
    <w:abstractNumId w:val="5"/>
  </w:num>
  <w:num w:numId="9" w16cid:durableId="1407724096">
    <w:abstractNumId w:val="4"/>
  </w:num>
  <w:num w:numId="10" w16cid:durableId="126703666">
    <w:abstractNumId w:val="4"/>
  </w:num>
  <w:num w:numId="11" w16cid:durableId="1662078491">
    <w:abstractNumId w:val="8"/>
  </w:num>
  <w:num w:numId="12" w16cid:durableId="1304431974">
    <w:abstractNumId w:val="8"/>
  </w:num>
  <w:num w:numId="13" w16cid:durableId="2027362852">
    <w:abstractNumId w:val="3"/>
  </w:num>
  <w:num w:numId="14" w16cid:durableId="1389768254">
    <w:abstractNumId w:val="3"/>
  </w:num>
  <w:num w:numId="15" w16cid:durableId="1679188950">
    <w:abstractNumId w:val="2"/>
  </w:num>
  <w:num w:numId="16" w16cid:durableId="1713533219">
    <w:abstractNumId w:val="2"/>
  </w:num>
  <w:num w:numId="17" w16cid:durableId="423109299">
    <w:abstractNumId w:val="1"/>
  </w:num>
  <w:num w:numId="18" w16cid:durableId="1432433170">
    <w:abstractNumId w:val="1"/>
  </w:num>
  <w:num w:numId="19" w16cid:durableId="1233588543">
    <w:abstractNumId w:val="0"/>
  </w:num>
  <w:num w:numId="20" w16cid:durableId="1568759793">
    <w:abstractNumId w:val="0"/>
  </w:num>
  <w:num w:numId="21" w16cid:durableId="1669407588">
    <w:abstractNumId w:val="9"/>
  </w:num>
  <w:num w:numId="22" w16cid:durableId="1891260092">
    <w:abstractNumId w:val="7"/>
  </w:num>
  <w:num w:numId="23" w16cid:durableId="1154108964">
    <w:abstractNumId w:val="6"/>
  </w:num>
  <w:num w:numId="24" w16cid:durableId="1617903874">
    <w:abstractNumId w:val="5"/>
  </w:num>
  <w:num w:numId="25" w16cid:durableId="1415006980">
    <w:abstractNumId w:val="4"/>
  </w:num>
  <w:num w:numId="26" w16cid:durableId="372271760">
    <w:abstractNumId w:val="8"/>
  </w:num>
  <w:num w:numId="27" w16cid:durableId="1433476043">
    <w:abstractNumId w:val="3"/>
  </w:num>
  <w:num w:numId="28" w16cid:durableId="644237712">
    <w:abstractNumId w:val="2"/>
  </w:num>
  <w:num w:numId="29" w16cid:durableId="1384714677">
    <w:abstractNumId w:val="1"/>
  </w:num>
  <w:num w:numId="30" w16cid:durableId="808598931">
    <w:abstractNumId w:val="0"/>
  </w:num>
  <w:num w:numId="31" w16cid:durableId="1371607558">
    <w:abstractNumId w:val="9"/>
  </w:num>
  <w:num w:numId="32" w16cid:durableId="1837379038">
    <w:abstractNumId w:val="7"/>
  </w:num>
  <w:num w:numId="33" w16cid:durableId="130171145">
    <w:abstractNumId w:val="6"/>
  </w:num>
  <w:num w:numId="34" w16cid:durableId="687175365">
    <w:abstractNumId w:val="5"/>
  </w:num>
  <w:num w:numId="35" w16cid:durableId="490370085">
    <w:abstractNumId w:val="4"/>
  </w:num>
  <w:num w:numId="36" w16cid:durableId="1007169089">
    <w:abstractNumId w:val="8"/>
  </w:num>
  <w:num w:numId="37" w16cid:durableId="202719841">
    <w:abstractNumId w:val="3"/>
  </w:num>
  <w:num w:numId="38" w16cid:durableId="660158275">
    <w:abstractNumId w:val="2"/>
  </w:num>
  <w:num w:numId="39" w16cid:durableId="1542938503">
    <w:abstractNumId w:val="1"/>
  </w:num>
  <w:num w:numId="40" w16cid:durableId="1396929433">
    <w:abstractNumId w:val="0"/>
  </w:num>
  <w:num w:numId="41" w16cid:durableId="813452365">
    <w:abstractNumId w:val="10"/>
  </w:num>
  <w:num w:numId="42" w16cid:durableId="1351755286">
    <w:abstractNumId w:val="10"/>
  </w:num>
  <w:num w:numId="43" w16cid:durableId="1807628339">
    <w:abstractNumId w:val="10"/>
  </w:num>
  <w:num w:numId="44" w16cid:durableId="907572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LV"/>
    <w:docVar w:name="dvnumam" w:val="0"/>
    <w:docVar w:name="dvpe" w:val="775.588"/>
    <w:docVar w:name="dvtitre" w:val="Eiropas Parlamenta 2025. gada XX. XXX  rezolūcija par projektu Komisijas īstenošanas lēmumam, ar ko atbilstoši Eiropas Parlamenta un Padomes Regulai (EK) Nr. 1829/2003 atļauj laist tirgū produktus, kas satur ģenētiski modificētu kukurūzu DP51291, sastāv vai ir ražoti no tās(D108064/03 – 2025/2807(RSP))"/>
  </w:docVars>
  <w:rsids>
    <w:rsidRoot w:val="00002AB9"/>
    <w:rsid w:val="00002272"/>
    <w:rsid w:val="00002AB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94A"/>
    <w:rsid w:val="00471C19"/>
    <w:rsid w:val="004867E3"/>
    <w:rsid w:val="00494A28"/>
    <w:rsid w:val="004C0004"/>
    <w:rsid w:val="004C5D52"/>
    <w:rsid w:val="0050519A"/>
    <w:rsid w:val="005072A1"/>
    <w:rsid w:val="00514517"/>
    <w:rsid w:val="00545827"/>
    <w:rsid w:val="00560270"/>
    <w:rsid w:val="005C2568"/>
    <w:rsid w:val="005F1B17"/>
    <w:rsid w:val="006037C0"/>
    <w:rsid w:val="006576BE"/>
    <w:rsid w:val="006631B6"/>
    <w:rsid w:val="00680577"/>
    <w:rsid w:val="006F74FA"/>
    <w:rsid w:val="00731ADD"/>
    <w:rsid w:val="00734777"/>
    <w:rsid w:val="00747932"/>
    <w:rsid w:val="00751A4A"/>
    <w:rsid w:val="00755289"/>
    <w:rsid w:val="00756632"/>
    <w:rsid w:val="00762C74"/>
    <w:rsid w:val="00786EC0"/>
    <w:rsid w:val="007D1690"/>
    <w:rsid w:val="007E22AD"/>
    <w:rsid w:val="00815BAB"/>
    <w:rsid w:val="00817416"/>
    <w:rsid w:val="00842779"/>
    <w:rsid w:val="00865820"/>
    <w:rsid w:val="00865F67"/>
    <w:rsid w:val="00881A7B"/>
    <w:rsid w:val="008840E5"/>
    <w:rsid w:val="00887B3E"/>
    <w:rsid w:val="008C2AC6"/>
    <w:rsid w:val="00930C23"/>
    <w:rsid w:val="0093193B"/>
    <w:rsid w:val="009509D8"/>
    <w:rsid w:val="00950B64"/>
    <w:rsid w:val="00981893"/>
    <w:rsid w:val="009E4AD9"/>
    <w:rsid w:val="00A1687D"/>
    <w:rsid w:val="00A43E52"/>
    <w:rsid w:val="00A4678D"/>
    <w:rsid w:val="00A7188C"/>
    <w:rsid w:val="00A778C7"/>
    <w:rsid w:val="00AA7255"/>
    <w:rsid w:val="00AB441E"/>
    <w:rsid w:val="00AB6293"/>
    <w:rsid w:val="00AD661D"/>
    <w:rsid w:val="00AE0928"/>
    <w:rsid w:val="00AF3B82"/>
    <w:rsid w:val="00B12E95"/>
    <w:rsid w:val="00B22876"/>
    <w:rsid w:val="00B558F0"/>
    <w:rsid w:val="00BD48FE"/>
    <w:rsid w:val="00BD7BD8"/>
    <w:rsid w:val="00BE6ADC"/>
    <w:rsid w:val="00C05BFE"/>
    <w:rsid w:val="00C23CD4"/>
    <w:rsid w:val="00C61C0C"/>
    <w:rsid w:val="00C941CB"/>
    <w:rsid w:val="00C961F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8B569"/>
  <w15:chartTrackingRefBased/>
  <w15:docId w15:val="{77D1818F-5E52-45A8-AFFD-9A48BCE6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5BAB"/>
    <w:pPr>
      <w:spacing w:before="480" w:after="240"/>
    </w:pPr>
  </w:style>
  <w:style w:type="paragraph" w:customStyle="1" w:styleId="NormalHanging12a">
    <w:name w:val="NormalHanging12a"/>
    <w:basedOn w:val="Normal"/>
    <w:rsid w:val="00815BAB"/>
    <w:pPr>
      <w:spacing w:after="240"/>
      <w:ind w:left="567" w:hanging="567"/>
    </w:pPr>
  </w:style>
  <w:style w:type="paragraph" w:customStyle="1" w:styleId="NormalBold">
    <w:name w:val="NormalBold"/>
    <w:basedOn w:val="Normal"/>
    <w:rsid w:val="00815BAB"/>
    <w:rPr>
      <w:b/>
    </w:rPr>
  </w:style>
  <w:style w:type="character" w:styleId="Hyperlink">
    <w:name w:val="Hyperlink"/>
    <w:basedOn w:val="DefaultParagraphFont"/>
    <w:uiPriority w:val="99"/>
    <w:rsid w:val="00815BAB"/>
    <w:rPr>
      <w:color w:val="0563C1" w:themeColor="hyperlink"/>
      <w:u w:val="single"/>
    </w:rPr>
  </w:style>
  <w:style w:type="character" w:customStyle="1" w:styleId="Funotenzeichen">
    <w:name w:val="Fußnotenzeichen"/>
    <w:qFormat/>
    <w:rsid w:val="00815BAB"/>
    <w:rPr>
      <w:vertAlign w:val="superscript"/>
    </w:rPr>
  </w:style>
  <w:style w:type="paragraph" w:styleId="Revision">
    <w:name w:val="Revision"/>
    <w:hidden/>
    <w:uiPriority w:val="99"/>
    <w:semiHidden/>
    <w:rsid w:val="0043594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prefLang=lv"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LV/TXT/?uri=COM%3A2020%3A667%3A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lv/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2029</Words>
  <Characters>13050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2025-11-05T10:35:00Z</dcterms:created>
  <dcterms:modified xsi:type="dcterms:W3CDTF">2025-11-05T10:35:00Z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B10-0407/2025</vt:lpwstr>
  </property>
  <property fmtid="{D5CDD505-2E9C-101B-9397-08002B2CF9AE}" pid="4" name="&lt;Type&gt;">
    <vt:lpwstr>RR</vt:lpwstr>
  </property>
</Properties>
</file>