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37FE" w14:paraId="114CF5B0" w14:textId="77777777" w:rsidTr="0010095E">
        <w:trPr>
          <w:trHeight w:hRule="exact" w:val="1418"/>
        </w:trPr>
        <w:tc>
          <w:tcPr>
            <w:tcW w:w="6804" w:type="dxa"/>
            <w:shd w:val="clear" w:color="auto" w:fill="auto"/>
            <w:vAlign w:val="center"/>
          </w:tcPr>
          <w:p w14:paraId="02B31243" w14:textId="77777777" w:rsidR="00751A4A" w:rsidRPr="00E837FE" w:rsidRDefault="003620E0" w:rsidP="0010095E">
            <w:pPr>
              <w:pStyle w:val="EPName"/>
            </w:pPr>
            <w:r w:rsidRPr="00E837FE">
              <w:t>Europees Parlement</w:t>
            </w:r>
          </w:p>
          <w:p w14:paraId="2AD052FB" w14:textId="77777777" w:rsidR="00751A4A" w:rsidRPr="00E837FE" w:rsidRDefault="005F1B17" w:rsidP="005F1B17">
            <w:pPr>
              <w:pStyle w:val="EPTerm"/>
              <w:rPr>
                <w:rStyle w:val="HideTWBExt"/>
                <w:noProof w:val="0"/>
                <w:vanish w:val="0"/>
                <w:color w:val="auto"/>
              </w:rPr>
            </w:pPr>
            <w:r w:rsidRPr="00E837FE">
              <w:t>2024</w:t>
            </w:r>
            <w:r w:rsidR="00817416" w:rsidRPr="00E837FE">
              <w:t>-202</w:t>
            </w:r>
            <w:r w:rsidRPr="00E837FE">
              <w:t>9</w:t>
            </w:r>
          </w:p>
        </w:tc>
        <w:tc>
          <w:tcPr>
            <w:tcW w:w="2268" w:type="dxa"/>
            <w:shd w:val="clear" w:color="auto" w:fill="auto"/>
          </w:tcPr>
          <w:p w14:paraId="150C3B55" w14:textId="77777777" w:rsidR="00751A4A" w:rsidRPr="00E837FE" w:rsidRDefault="00187494" w:rsidP="0010095E">
            <w:pPr>
              <w:pStyle w:val="EPLogo"/>
            </w:pPr>
            <w:r w:rsidRPr="00E837FE">
              <w:rPr>
                <w:noProof/>
                <w:lang w:eastAsia="ja-JP"/>
              </w:rPr>
              <w:drawing>
                <wp:inline distT="0" distB="0" distL="0" distR="0" wp14:anchorId="52B5BA3A" wp14:editId="20B622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7A1131" w14:textId="77777777" w:rsidR="00D058B8" w:rsidRPr="00E837FE" w:rsidRDefault="00D058B8" w:rsidP="004C5D52">
      <w:pPr>
        <w:pStyle w:val="LineTop"/>
      </w:pPr>
    </w:p>
    <w:p w14:paraId="75F25DBD" w14:textId="77777777" w:rsidR="00680577" w:rsidRPr="00E837FE" w:rsidRDefault="003620E0" w:rsidP="00680577">
      <w:pPr>
        <w:pStyle w:val="EPBodyTA1"/>
      </w:pPr>
      <w:r w:rsidRPr="00E837FE">
        <w:t>AANGENOMEN TEKSTEN</w:t>
      </w:r>
    </w:p>
    <w:p w14:paraId="6E030CCD" w14:textId="77777777" w:rsidR="00D058B8" w:rsidRPr="00E837FE" w:rsidRDefault="00D058B8" w:rsidP="00D058B8">
      <w:pPr>
        <w:pStyle w:val="LineBottom"/>
      </w:pPr>
    </w:p>
    <w:p w14:paraId="060EF91B" w14:textId="3748A06E" w:rsidR="003620E0" w:rsidRPr="00E837FE" w:rsidRDefault="003620E0" w:rsidP="003620E0">
      <w:pPr>
        <w:pStyle w:val="ATHeading1"/>
      </w:pPr>
      <w:bookmarkStart w:id="0" w:name="TANumber"/>
      <w:r w:rsidRPr="00E837FE">
        <w:t>P10_TA(2025)0</w:t>
      </w:r>
      <w:r w:rsidR="0074486C">
        <w:t>222</w:t>
      </w:r>
      <w:bookmarkEnd w:id="0"/>
    </w:p>
    <w:p w14:paraId="02CD29D1" w14:textId="0A873C52" w:rsidR="003620E0" w:rsidRPr="00E837FE" w:rsidRDefault="005D249B" w:rsidP="003620E0">
      <w:pPr>
        <w:pStyle w:val="ATHeading2"/>
      </w:pPr>
      <w:bookmarkStart w:id="1" w:name="title"/>
      <w:bookmarkStart w:id="2" w:name="_Hlk210752849"/>
      <w:r w:rsidRPr="00E837FE">
        <w:t>G</w:t>
      </w:r>
      <w:r w:rsidR="003620E0" w:rsidRPr="00E837FE">
        <w:t>enetisch gemodificeerde ma</w:t>
      </w:r>
      <w:r w:rsidR="000F18A4" w:rsidRPr="00E837FE">
        <w:t>ï</w:t>
      </w:r>
      <w:r w:rsidR="003620E0" w:rsidRPr="00E837FE">
        <w:t>s</w:t>
      </w:r>
      <w:r w:rsidRPr="00E837FE">
        <w:t xml:space="preserve"> </w:t>
      </w:r>
      <w:r w:rsidR="003620E0" w:rsidRPr="00E837FE">
        <w:t>DP51291</w:t>
      </w:r>
      <w:bookmarkEnd w:id="1"/>
    </w:p>
    <w:bookmarkEnd w:id="2"/>
    <w:p w14:paraId="13C9EA41" w14:textId="77777777" w:rsidR="003620E0" w:rsidRPr="00E837FE" w:rsidRDefault="003620E0" w:rsidP="003620E0">
      <w:pPr>
        <w:rPr>
          <w:i/>
          <w:vanish/>
        </w:rPr>
      </w:pPr>
      <w:r w:rsidRPr="00E837FE">
        <w:rPr>
          <w:i/>
        </w:rPr>
        <w:fldChar w:fldCharType="begin"/>
      </w:r>
      <w:r w:rsidRPr="00E837FE">
        <w:rPr>
          <w:i/>
        </w:rPr>
        <w:instrText xml:space="preserve"> TC"(</w:instrText>
      </w:r>
      <w:bookmarkStart w:id="3" w:name="DocNumber"/>
      <w:r w:rsidRPr="00E837FE">
        <w:rPr>
          <w:i/>
        </w:rPr>
        <w:instrText>B10-0407/2025</w:instrText>
      </w:r>
      <w:bookmarkEnd w:id="3"/>
      <w:r w:rsidRPr="00E837FE">
        <w:rPr>
          <w:i/>
        </w:rPr>
        <w:instrText xml:space="preserve">)"\l3 \n&gt; \* MERGEFORMAT </w:instrText>
      </w:r>
      <w:r w:rsidRPr="00E837FE">
        <w:rPr>
          <w:i/>
        </w:rPr>
        <w:fldChar w:fldCharType="end"/>
      </w:r>
    </w:p>
    <w:p w14:paraId="442C835A" w14:textId="77777777" w:rsidR="003620E0" w:rsidRPr="00E837FE" w:rsidRDefault="003620E0" w:rsidP="003620E0">
      <w:pPr>
        <w:rPr>
          <w:vanish/>
        </w:rPr>
      </w:pPr>
      <w:bookmarkStart w:id="4" w:name="PE"/>
      <w:r w:rsidRPr="00E837FE">
        <w:rPr>
          <w:vanish/>
        </w:rPr>
        <w:t>PE775.588</w:t>
      </w:r>
      <w:bookmarkEnd w:id="4"/>
    </w:p>
    <w:p w14:paraId="7AB7E5F7" w14:textId="4BEA7D04" w:rsidR="003620E0" w:rsidRPr="00E837FE" w:rsidRDefault="003620E0" w:rsidP="003620E0">
      <w:pPr>
        <w:pStyle w:val="ATHeading3"/>
      </w:pPr>
      <w:bookmarkStart w:id="5" w:name="Sujet"/>
      <w:r w:rsidRPr="00E837FE">
        <w:t xml:space="preserve">Resolutie van het Europees Parlement van </w:t>
      </w:r>
      <w:r w:rsidR="005D249B" w:rsidRPr="00E837FE">
        <w:t xml:space="preserve">8 </w:t>
      </w:r>
      <w:r w:rsidRPr="00E837FE">
        <w:t xml:space="preserve">oktober 2025 over </w:t>
      </w:r>
      <w:r w:rsidR="005D249B" w:rsidRPr="00E837FE">
        <w:t>U</w:t>
      </w:r>
      <w:r w:rsidRPr="00E837FE">
        <w:t xml:space="preserve">itvoeringsbesluit </w:t>
      </w:r>
      <w:r w:rsidR="005D249B" w:rsidRPr="00E837FE">
        <w:t xml:space="preserve">(EU) 2025/1898 van 22 september 2025 </w:t>
      </w:r>
      <w:r w:rsidRPr="00E837FE">
        <w:t>van de Commissie tot verlening van een vergunning voor het in de handel brengen van producten die geheel of gedeeltelijk bestaan uit of zijn geproduceerd met de genetisch gemodificeerde maïs DP51291 overeenkomstig Verordening (EG) nr. 1829/2003 van het Europees Parlement en de Raad</w:t>
      </w:r>
      <w:bookmarkEnd w:id="5"/>
      <w:r w:rsidRPr="00E837FE">
        <w:t xml:space="preserve"> </w:t>
      </w:r>
      <w:bookmarkStart w:id="6" w:name="References"/>
      <w:r w:rsidRPr="00E837FE">
        <w:t>(2025/2807(RSP))</w:t>
      </w:r>
      <w:bookmarkEnd w:id="6"/>
    </w:p>
    <w:p w14:paraId="644770BF" w14:textId="77777777" w:rsidR="00E920FE" w:rsidRPr="00E837FE" w:rsidRDefault="00E920FE" w:rsidP="00E920FE">
      <w:pPr>
        <w:pStyle w:val="EPComma"/>
        <w:jc w:val="both"/>
      </w:pPr>
      <w:bookmarkStart w:id="7" w:name="TextBodyBegin"/>
      <w:bookmarkEnd w:id="7"/>
      <w:r w:rsidRPr="00E837FE">
        <w:rPr>
          <w:i/>
        </w:rPr>
        <w:t>Het Europees Parlement</w:t>
      </w:r>
      <w:r w:rsidRPr="00E837FE">
        <w:t>,</w:t>
      </w:r>
    </w:p>
    <w:p w14:paraId="23BD4447" w14:textId="1A5C948C" w:rsidR="00E920FE" w:rsidRPr="00E837FE" w:rsidRDefault="00E920FE" w:rsidP="00E920FE">
      <w:pPr>
        <w:pStyle w:val="NormalHanging12a"/>
        <w:widowControl/>
        <w:rPr>
          <w:szCs w:val="24"/>
        </w:rPr>
      </w:pPr>
      <w:r w:rsidRPr="00E837FE">
        <w:t>–</w:t>
      </w:r>
      <w:r w:rsidRPr="00E837FE">
        <w:tab/>
        <w:t xml:space="preserve">gezien </w:t>
      </w:r>
      <w:r w:rsidR="005D249B" w:rsidRPr="00E837FE">
        <w:t>U</w:t>
      </w:r>
      <w:r w:rsidRPr="00E837FE">
        <w:t xml:space="preserve">itvoeringsbesluit </w:t>
      </w:r>
      <w:r w:rsidR="005D249B" w:rsidRPr="00E837FE">
        <w:t xml:space="preserve">(EU) 2025/1898 van 22 september 2025 </w:t>
      </w:r>
      <w:r w:rsidRPr="00E837FE">
        <w:t>van de Commissie tot verlening van een vergunning voor het in de handel brengen van producten die geheel of gedeeltelijk bestaan uit of zijn geproduceerd met de genetisch gemodificeerde maïs DP51291 overeenkomstig Verordening (EG) nr. 1829/2003 van het Europees Parlement en de Raad</w:t>
      </w:r>
      <w:r w:rsidR="005D249B" w:rsidRPr="00E837FE">
        <w:rPr>
          <w:rStyle w:val="FootnoteReference"/>
        </w:rPr>
        <w:footnoteReference w:id="1"/>
      </w:r>
      <w:r w:rsidRPr="00E837FE">
        <w:t>,</w:t>
      </w:r>
    </w:p>
    <w:p w14:paraId="2EF1190F" w14:textId="77777777" w:rsidR="00E920FE" w:rsidRPr="00E837FE" w:rsidRDefault="00E920FE" w:rsidP="00E920FE">
      <w:pPr>
        <w:pStyle w:val="NormalHanging12a"/>
        <w:widowControl/>
        <w:rPr>
          <w:szCs w:val="24"/>
        </w:rPr>
      </w:pPr>
      <w:r w:rsidRPr="00E837FE">
        <w:t>–</w:t>
      </w:r>
      <w:r w:rsidRPr="00E837FE">
        <w:tab/>
        <w:t>gezien Verordening (EG) nr. 1829/2003 van het Europees Parlement en de Raad van 22 september 2003 inzake genetisch gemodificeerde levensmiddelen en diervoeders</w:t>
      </w:r>
      <w:r w:rsidRPr="00E837FE">
        <w:rPr>
          <w:rStyle w:val="FootnoteReference"/>
          <w:szCs w:val="24"/>
        </w:rPr>
        <w:footnoteReference w:id="2"/>
      </w:r>
      <w:r w:rsidRPr="00E837FE">
        <w:t>, en met name artikel 7, lid 3, en artikel 19, lid 3,</w:t>
      </w:r>
    </w:p>
    <w:p w14:paraId="725B0FF1" w14:textId="77777777" w:rsidR="00E920FE" w:rsidRPr="00E837FE" w:rsidRDefault="00E920FE" w:rsidP="00E920FE">
      <w:pPr>
        <w:pStyle w:val="NormalHanging12a"/>
        <w:widowControl/>
        <w:rPr>
          <w:szCs w:val="24"/>
        </w:rPr>
      </w:pPr>
      <w:r w:rsidRPr="00E837FE">
        <w:t>–</w:t>
      </w:r>
      <w:r w:rsidRPr="00E837FE">
        <w:tab/>
        <w:t>gezien de stemming</w:t>
      </w:r>
      <w:r w:rsidRPr="00E837FE">
        <w:rPr>
          <w:shd w:val="clear" w:color="auto" w:fill="FFFFFF"/>
        </w:rPr>
        <w:t xml:space="preserve"> van 13 juni 2025 in het Permanent Comité voor planten, dieren, levensmiddelen en diervoeders als bedoeld in artikel 35 van Verordening (EG) nr. 1829/2003, die geen advies heeft opgeleverd, en de stemming van 15 juli 2025 in het comité van beroep, die evenmin een </w:t>
      </w:r>
      <w:r w:rsidRPr="00E837FE">
        <w:t>advies heeft opgeleverd,</w:t>
      </w:r>
    </w:p>
    <w:p w14:paraId="2A7F72EF" w14:textId="77777777" w:rsidR="00E920FE" w:rsidRPr="00E837FE" w:rsidRDefault="00E920FE" w:rsidP="00E920FE">
      <w:pPr>
        <w:pStyle w:val="NormalHanging12a"/>
        <w:widowControl/>
        <w:rPr>
          <w:szCs w:val="24"/>
        </w:rPr>
      </w:pPr>
      <w:r w:rsidRPr="00E837FE">
        <w:t>–</w:t>
      </w:r>
      <w:r w:rsidRPr="00E837FE">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E837FE">
        <w:rPr>
          <w:rStyle w:val="FootnoteReference"/>
          <w:szCs w:val="24"/>
        </w:rPr>
        <w:footnoteReference w:id="3"/>
      </w:r>
      <w:r w:rsidRPr="00E837FE">
        <w:t>,</w:t>
      </w:r>
    </w:p>
    <w:p w14:paraId="76690154" w14:textId="77777777" w:rsidR="00E920FE" w:rsidRPr="00E837FE" w:rsidRDefault="00E920FE" w:rsidP="00E920FE">
      <w:pPr>
        <w:pStyle w:val="NormalHanging12a"/>
        <w:widowControl/>
        <w:rPr>
          <w:szCs w:val="24"/>
        </w:rPr>
      </w:pPr>
      <w:r w:rsidRPr="00E837FE">
        <w:lastRenderedPageBreak/>
        <w:t>–</w:t>
      </w:r>
      <w:r w:rsidRPr="00E837FE">
        <w:tab/>
        <w:t>gezien het advies dat op 2 oktober 2024 door de Europese Autoriteit voor voedselveiligheid (EFSA) is goedgekeurd en op 11 november 2024 is gepubliceerd</w:t>
      </w:r>
      <w:r w:rsidRPr="00E837FE">
        <w:rPr>
          <w:rStyle w:val="FootnoteReference"/>
          <w:szCs w:val="24"/>
        </w:rPr>
        <w:footnoteReference w:id="4"/>
      </w:r>
      <w:r w:rsidRPr="00E837FE">
        <w:t>,</w:t>
      </w:r>
    </w:p>
    <w:p w14:paraId="3564F0CC" w14:textId="77777777" w:rsidR="00E920FE" w:rsidRPr="00E837FE" w:rsidRDefault="00E920FE" w:rsidP="00E920FE">
      <w:pPr>
        <w:pStyle w:val="NormalHanging12a"/>
        <w:widowControl/>
        <w:rPr>
          <w:szCs w:val="24"/>
          <w:shd w:val="clear" w:color="auto" w:fill="FFFFFF"/>
        </w:rPr>
      </w:pPr>
      <w:r w:rsidRPr="00E837FE">
        <w:t>–</w:t>
      </w:r>
      <w:r w:rsidRPr="00E837FE">
        <w:tab/>
      </w:r>
      <w:r w:rsidRPr="00E837FE">
        <w:rPr>
          <w:shd w:val="clear" w:color="auto" w:fill="FFFFFF"/>
        </w:rPr>
        <w:t>gezien zijn eerdere resoluties waarin bezwaar wordt gemaakt tegen het verlenen van vergunningen voor genetisch gemodificeerde organismen (“ggo’s”)</w:t>
      </w:r>
      <w:r w:rsidRPr="00E837FE">
        <w:rPr>
          <w:rStyle w:val="FootnoteReference"/>
          <w:szCs w:val="24"/>
          <w:shd w:val="clear" w:color="auto" w:fill="FFFFFF"/>
        </w:rPr>
        <w:footnoteReference w:id="5"/>
      </w:r>
      <w:r w:rsidRPr="00E837FE">
        <w:rPr>
          <w:shd w:val="clear" w:color="auto" w:fill="FFFFFF"/>
        </w:rPr>
        <w:t>,</w:t>
      </w:r>
    </w:p>
    <w:p w14:paraId="7C76908E" w14:textId="77777777" w:rsidR="00E920FE" w:rsidRPr="00E837FE" w:rsidRDefault="00E920FE" w:rsidP="00E920FE">
      <w:pPr>
        <w:pStyle w:val="NormalHanging12a"/>
        <w:widowControl/>
        <w:rPr>
          <w:szCs w:val="24"/>
        </w:rPr>
      </w:pPr>
      <w:r w:rsidRPr="00E837FE">
        <w:lastRenderedPageBreak/>
        <w:t>–</w:t>
      </w:r>
      <w:r w:rsidRPr="00E837FE">
        <w:tab/>
        <w:t>gezien artikel 115, leden 2 en 3, van zijn Reglement,</w:t>
      </w:r>
    </w:p>
    <w:p w14:paraId="6B949E9B" w14:textId="77777777" w:rsidR="00E920FE" w:rsidRPr="00E837FE" w:rsidRDefault="00E920FE" w:rsidP="00E920FE">
      <w:pPr>
        <w:pStyle w:val="NormalHanging12a"/>
        <w:widowControl/>
        <w:rPr>
          <w:szCs w:val="24"/>
        </w:rPr>
      </w:pPr>
      <w:r w:rsidRPr="00E837FE">
        <w:t>–</w:t>
      </w:r>
      <w:r w:rsidRPr="00E837FE">
        <w:tab/>
        <w:t>gezien de ontwerpresolutie van de Commissie milieubeheer, klimaat en voedselveiligheid,</w:t>
      </w:r>
    </w:p>
    <w:p w14:paraId="3F958670" w14:textId="77777777" w:rsidR="00E920FE" w:rsidRPr="00E837FE" w:rsidRDefault="00E920FE" w:rsidP="00E920FE">
      <w:pPr>
        <w:pStyle w:val="NormalHanging12a"/>
        <w:widowControl/>
        <w:rPr>
          <w:szCs w:val="24"/>
        </w:rPr>
      </w:pPr>
      <w:r w:rsidRPr="00E837FE">
        <w:t>A.</w:t>
      </w:r>
      <w:r w:rsidRPr="00E837FE">
        <w:tab/>
        <w:t>overwegende dat Corteva Agriscience Belgium B.V., gevestigd in België, namens Corteva Agriscience LLC, gevestigd in de Verenigde Staten, op 27 januari 2023 bij de bevoegde nationale instantie van Nederland een aanvraag heeft ingediend voor het in de handel brengen van levensmiddelen, voedselingrediënten en diervoeders die geheel of gedeeltelijk bestaan uit of zijn geproduceerd met de genetisch gemodificeerde maïs DP51291 (de “genetisch gemodificeerde maïs”);</w:t>
      </w:r>
    </w:p>
    <w:p w14:paraId="66534057" w14:textId="77777777" w:rsidR="00E920FE" w:rsidRPr="00E837FE" w:rsidRDefault="00E920FE" w:rsidP="00E920FE">
      <w:pPr>
        <w:pStyle w:val="NormalHanging12a"/>
        <w:widowControl/>
        <w:rPr>
          <w:szCs w:val="24"/>
        </w:rPr>
      </w:pPr>
      <w:r w:rsidRPr="00E837FE">
        <w:t>B.</w:t>
      </w:r>
      <w:r w:rsidRPr="00E837FE">
        <w:tab/>
        <w:t>overwegende dat de genetisch gemodificeerde maïs de toxine IPD072Aa produceert tegen de maïswortelkever, het eiwit fosfinotricineacetyltransferase (PAT) voor tolerantie tegen herbiciden die glufosinaat bevatten, en het eiwit PMI als selecterende merker;</w:t>
      </w:r>
    </w:p>
    <w:p w14:paraId="22D838A7" w14:textId="77777777" w:rsidR="00E920FE" w:rsidRPr="00E837FE" w:rsidRDefault="00E920FE" w:rsidP="00E920FE">
      <w:pPr>
        <w:pStyle w:val="NormalHanging12a"/>
        <w:widowControl/>
        <w:rPr>
          <w:szCs w:val="24"/>
        </w:rPr>
      </w:pPr>
      <w:r w:rsidRPr="00E837FE">
        <w:t>C.</w:t>
      </w:r>
      <w:r w:rsidRPr="00E837FE">
        <w:tab/>
        <w:t xml:space="preserve">overwegende dat glufosinaat, dat als een complementaire herbicide wordt beschouwd, is ingedeeld als een reproductietoxische stof in categorie 1B en derhalve voldoet aan de uitsluitingscriteria als bedoeld in Verordening (EG) nr. 1107/2009 van het Europees </w:t>
      </w:r>
      <w:r w:rsidRPr="00E837FE">
        <w:lastRenderedPageBreak/>
        <w:t>Parlement en de Raad</w:t>
      </w:r>
      <w:r w:rsidRPr="00E837FE">
        <w:rPr>
          <w:rStyle w:val="FootnoteReference"/>
          <w:szCs w:val="24"/>
        </w:rPr>
        <w:footnoteReference w:id="6"/>
      </w:r>
      <w:r w:rsidRPr="00E837FE">
        <w:t>; overwegende dat de goedkeuring van glufosinaat voor gebruik in de Unie op 31 juli 2018 is verstreken;</w:t>
      </w:r>
    </w:p>
    <w:p w14:paraId="5C02197C" w14:textId="77777777" w:rsidR="00E920FE" w:rsidRPr="00E837FE" w:rsidRDefault="00E920FE" w:rsidP="00E920FE">
      <w:pPr>
        <w:pStyle w:val="NormalHanging12a"/>
        <w:widowControl/>
        <w:rPr>
          <w:szCs w:val="24"/>
        </w:rPr>
      </w:pPr>
      <w:r w:rsidRPr="00E837FE">
        <w:t>D.</w:t>
      </w:r>
      <w:r w:rsidRPr="00E837FE">
        <w:tab/>
        <w:t>overwegende dat IPD072 een door de bacterie Pseudomonas chlororaphis geproduceerde insecticidetoxine is, die ontwikkeld is tegen de maïswortelkever;</w:t>
      </w:r>
    </w:p>
    <w:p w14:paraId="57989A70" w14:textId="77777777" w:rsidR="00E920FE" w:rsidRPr="00E837FE" w:rsidRDefault="00E920FE" w:rsidP="00E920FE">
      <w:pPr>
        <w:pStyle w:val="NormalHanging12a"/>
        <w:widowControl/>
        <w:rPr>
          <w:b/>
          <w:i/>
          <w:iCs/>
          <w:szCs w:val="24"/>
        </w:rPr>
      </w:pPr>
      <w:r w:rsidRPr="00E837FE">
        <w:rPr>
          <w:b/>
          <w:i/>
        </w:rPr>
        <w:t>Complexe genetische manipulatie</w:t>
      </w:r>
    </w:p>
    <w:p w14:paraId="1469A636" w14:textId="77777777" w:rsidR="00E920FE" w:rsidRPr="00E837FE" w:rsidRDefault="00E920FE" w:rsidP="00E920FE">
      <w:pPr>
        <w:pStyle w:val="NormalHanging12a"/>
        <w:widowControl/>
        <w:rPr>
          <w:szCs w:val="24"/>
        </w:rPr>
      </w:pPr>
      <w:r w:rsidRPr="00E837FE">
        <w:t>E.</w:t>
      </w:r>
      <w:r w:rsidRPr="00E837FE">
        <w:tab/>
        <w:t>overwegende dat de maïs DP51291 ontwikkeld is middels een complex, uit meerdere stappen bestaand proces van genetische manipulatie, waarbij een genomisch “landing pad” wordt gecreëerd, gevolgd door een microprojectielbombardement met vijf plasmiden, en het via de bacterie agrobacterium tumefaciens inbrengen van expressiecassettes in het “landing pad”;</w:t>
      </w:r>
    </w:p>
    <w:p w14:paraId="341A3232" w14:textId="77777777" w:rsidR="00E920FE" w:rsidRPr="00E837FE" w:rsidRDefault="00E920FE" w:rsidP="00E920FE">
      <w:pPr>
        <w:pStyle w:val="NormalHanging12a"/>
        <w:widowControl/>
        <w:rPr>
          <w:szCs w:val="24"/>
        </w:rPr>
      </w:pPr>
      <w:r w:rsidRPr="00E837FE">
        <w:t>F.</w:t>
      </w:r>
      <w:r w:rsidRPr="00E837FE">
        <w:tab/>
        <w:t>overwegende dat dit proces van genetische manipulatie geresulteerd heeft in de verwijdering van 113 basenparen van maïs genetisch DNA, zoals gebleken is bij een bio-informatica-analyse, en geleid heeft tot de vorming van meerdere nieuwe open leesramen (ORF’s), hetgeen duidt op potentiële genetische modificaties als gevolg van de transformatieprocedure; overwegende dat vijf van deze ORF’s een sequentieovereenkomst van meer dan 35 % met bekende allergenen vertoonden, waarmee ze de gebruikelijke drempel voor de beoordeling van mogelijke allergene reacties overschreden</w:t>
      </w:r>
      <w:r w:rsidRPr="00E837FE">
        <w:rPr>
          <w:rStyle w:val="FootnoteReference"/>
          <w:szCs w:val="24"/>
        </w:rPr>
        <w:footnoteReference w:id="7"/>
      </w:r>
      <w:r w:rsidRPr="00E837FE">
        <w:t>;</w:t>
      </w:r>
    </w:p>
    <w:p w14:paraId="6C047410" w14:textId="77777777" w:rsidR="00E920FE" w:rsidRPr="00E837FE" w:rsidRDefault="00E920FE" w:rsidP="00E920FE">
      <w:pPr>
        <w:pStyle w:val="NormalHanging12a"/>
        <w:keepNext/>
        <w:widowControl/>
        <w:rPr>
          <w:b/>
          <w:i/>
          <w:iCs/>
          <w:szCs w:val="24"/>
        </w:rPr>
      </w:pPr>
      <w:r w:rsidRPr="00E837FE">
        <w:rPr>
          <w:b/>
          <w:i/>
        </w:rPr>
        <w:t>Gebrek aan gegevens over landbouwpraktijken en milieufactoren</w:t>
      </w:r>
    </w:p>
    <w:p w14:paraId="01E58A18" w14:textId="77777777" w:rsidR="00E920FE" w:rsidRPr="00E837FE" w:rsidRDefault="00E920FE" w:rsidP="00E920FE">
      <w:pPr>
        <w:pStyle w:val="NormalHanging12a"/>
        <w:widowControl/>
        <w:rPr>
          <w:szCs w:val="24"/>
        </w:rPr>
      </w:pPr>
      <w:r w:rsidRPr="00E837FE">
        <w:t>G.</w:t>
      </w:r>
      <w:r w:rsidRPr="00E837FE">
        <w:tab/>
        <w:t>overwegende dat krachtens Uitvoeringsverordening (EU) nr. 503/2013 van de Commissie</w:t>
      </w:r>
      <w:r w:rsidRPr="00E837FE">
        <w:rPr>
          <w:rStyle w:val="FootnoteReference"/>
          <w:szCs w:val="24"/>
        </w:rPr>
        <w:footnoteReference w:id="8"/>
      </w:r>
      <w:r w:rsidRPr="00E837FE">
        <w:t xml:space="preserve"> moet worden beoordeeld of de verwachte landbouwpraktijken van invloed zijn op de expressie van de onderzochte eindpunten; overwegende dat dit op grond van de uitvoeringsverordening met name relevant is bij herbicidetolerante planten;</w:t>
      </w:r>
    </w:p>
    <w:p w14:paraId="5DEF6CFE" w14:textId="77777777" w:rsidR="00E920FE" w:rsidRPr="00E837FE" w:rsidRDefault="00E920FE" w:rsidP="00E920FE">
      <w:pPr>
        <w:pStyle w:val="NormalHanging12a"/>
        <w:widowControl/>
        <w:rPr>
          <w:szCs w:val="24"/>
        </w:rPr>
      </w:pPr>
      <w:r w:rsidRPr="00E837FE">
        <w:t>H.</w:t>
      </w:r>
      <w:r w:rsidRPr="00E837FE">
        <w:tab/>
        <w:t>overwegende dat met de omgeving samenhangende stresserende factoren, zoals droogte of extreme temperaturen, onverwachte patronen van gen-expressie in nieuw toegevoegde DNA-sequenties kunnen veroorzaken</w:t>
      </w:r>
      <w:r w:rsidRPr="00E837FE">
        <w:rPr>
          <w:rStyle w:val="FootnoteReference"/>
          <w:szCs w:val="24"/>
        </w:rPr>
        <w:footnoteReference w:id="9"/>
      </w:r>
      <w:r w:rsidRPr="00E837FE">
        <w:t>;</w:t>
      </w:r>
    </w:p>
    <w:p w14:paraId="453547E8" w14:textId="77777777" w:rsidR="00E920FE" w:rsidRPr="00E837FE" w:rsidRDefault="00E920FE" w:rsidP="00E920FE">
      <w:pPr>
        <w:pStyle w:val="NormalHanging12a"/>
        <w:widowControl/>
        <w:rPr>
          <w:szCs w:val="24"/>
        </w:rPr>
      </w:pPr>
      <w:r w:rsidRPr="00E837FE">
        <w:lastRenderedPageBreak/>
        <w:t>I.</w:t>
      </w:r>
      <w:r w:rsidRPr="00E837FE">
        <w:tab/>
        <w:t>overwegende dat de veldproeven die gebruikt zijn ter ondersteuning van de analyse van de samenstelling en het fenotype van de genetisch gemodificeerde maïs gedurende één groeiseizoen (2021) in de Verenigde Staten en Canada hebben plaatsgevonden onder weersomstandigheden die geen adequate weerspiegeling zijn van de verscheidenheid aan regio’s waar maïs wordt geteeld, met name in landen als Brazilië;</w:t>
      </w:r>
    </w:p>
    <w:p w14:paraId="281474E3" w14:textId="77777777" w:rsidR="00E920FE" w:rsidRPr="00E837FE" w:rsidRDefault="00E920FE" w:rsidP="00E920FE">
      <w:pPr>
        <w:pStyle w:val="NormalHanging12a"/>
        <w:widowControl/>
        <w:rPr>
          <w:szCs w:val="24"/>
        </w:rPr>
      </w:pPr>
      <w:r w:rsidRPr="00E837FE">
        <w:t>J.</w:t>
      </w:r>
      <w:r w:rsidRPr="00E837FE">
        <w:tab/>
        <w:t>overwegende dat op sommige proeflocaties extreme weersverschijnselen zijn gerapporteerd; overwegende dat er geen specifiek onderzoek is gedaan voor het beoordelen van toekomstige omstandigheden en de invloed daarop van klimaatverandering;</w:t>
      </w:r>
    </w:p>
    <w:p w14:paraId="33D4E7A1" w14:textId="77777777" w:rsidR="00E920FE" w:rsidRPr="00E837FE" w:rsidRDefault="00E920FE" w:rsidP="00E920FE">
      <w:pPr>
        <w:pStyle w:val="NormalHanging12a"/>
        <w:widowControl/>
        <w:rPr>
          <w:szCs w:val="24"/>
        </w:rPr>
      </w:pPr>
      <w:r w:rsidRPr="00E837FE">
        <w:t>K.</w:t>
      </w:r>
      <w:r w:rsidRPr="00E837FE">
        <w:tab/>
        <w:t>overwegende dat gedurende de veldproeven slechts één keer glufosinaat is gebruikt, op basis van aanbevelingen van de EFSA betreffende de dosering; overwegende dat de hoeveelheden herbiciden die worden gebruikt en de frequentie waarmee dit gebeurt in de praktijk evenwel vaak sterk verschillen van regio tot regio en dat het tot een intensiever of herhaald gebruik kan komen, hetgeen betekent dat de gegevens van de veldproeven mogelijkerwijs geen adequate weerspiegeling zijn van de volledige waaier van milieu- en landbouwomstandigheden van de regio’s waar de genetisch gemodificeerde maïs waarschijnlijk wordt geteeld respectievelijk ingevoerd;</w:t>
      </w:r>
    </w:p>
    <w:p w14:paraId="09C6EA0D" w14:textId="77777777" w:rsidR="00E920FE" w:rsidRPr="00E837FE" w:rsidRDefault="00E920FE" w:rsidP="00E920FE">
      <w:pPr>
        <w:pStyle w:val="NormalHanging12a"/>
        <w:widowControl/>
        <w:rPr>
          <w:b/>
          <w:i/>
          <w:iCs/>
          <w:szCs w:val="24"/>
        </w:rPr>
      </w:pPr>
      <w:r w:rsidRPr="00E837FE">
        <w:rPr>
          <w:b/>
          <w:i/>
        </w:rPr>
        <w:t>Onvoldoende beoordeling van glufosinaat</w:t>
      </w:r>
    </w:p>
    <w:p w14:paraId="2F0DB10B" w14:textId="77777777" w:rsidR="00E920FE" w:rsidRPr="00E837FE" w:rsidRDefault="00E920FE" w:rsidP="00E920FE">
      <w:pPr>
        <w:pStyle w:val="NormalHanging12a"/>
        <w:widowControl/>
        <w:rPr>
          <w:szCs w:val="24"/>
        </w:rPr>
      </w:pPr>
      <w:r w:rsidRPr="00E837FE">
        <w:t>L.</w:t>
      </w:r>
      <w:r w:rsidRPr="00E837FE">
        <w:tab/>
        <w:t>overwegende dat glufosinaat in verband wordt gebracht met aanzienlijke risico’s voor de biodiversiteit, met toxiciteit, en met gevolgen voor de gezondheid van het ecosysteem op de lange termijn;</w:t>
      </w:r>
    </w:p>
    <w:p w14:paraId="3B4DAEF0" w14:textId="77777777" w:rsidR="00E920FE" w:rsidRPr="00E837FE" w:rsidRDefault="00E920FE" w:rsidP="00E920FE">
      <w:pPr>
        <w:pStyle w:val="NormalHanging12a"/>
        <w:widowControl/>
        <w:rPr>
          <w:szCs w:val="24"/>
        </w:rPr>
      </w:pPr>
      <w:r w:rsidRPr="00E837FE">
        <w:t>M.</w:t>
      </w:r>
      <w:r w:rsidRPr="00E837FE">
        <w:tab/>
        <w:t>overwegende dat de overgrote meerderheid van genetisch gemodificeerde gewassen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overwegende dat uit een aantal studies blijkt dat de teelt van herbicidetolerante genetisch gemodificeerde gewassen tot een toename van het gebruik van complementaire herbiciden leidt, voornamelijk vanwege het ontstaan van herbicidetolerant onkruid</w:t>
      </w:r>
      <w:r w:rsidRPr="00E837FE">
        <w:rPr>
          <w:rStyle w:val="FootnoteReference"/>
          <w:szCs w:val="24"/>
        </w:rPr>
        <w:footnoteReference w:id="10"/>
      </w:r>
      <w:r w:rsidRPr="00E837FE">
        <w:t>;</w:t>
      </w:r>
    </w:p>
    <w:p w14:paraId="2E3D1304" w14:textId="77777777" w:rsidR="00E920FE" w:rsidRPr="00E837FE" w:rsidRDefault="00E920FE" w:rsidP="00E920FE">
      <w:pPr>
        <w:pStyle w:val="NormalHanging12a"/>
        <w:widowControl/>
        <w:rPr>
          <w:szCs w:val="24"/>
        </w:rPr>
      </w:pPr>
      <w:r w:rsidRPr="00E837FE">
        <w:t>N.</w:t>
      </w:r>
      <w:r w:rsidRPr="00E837FE">
        <w:tab/>
        <w:t>overwegende dat herbicidetolerante genetisch gemodificeerde gewassen een lock</w:t>
      </w:r>
      <w:r w:rsidRPr="00E837FE">
        <w:noBreakHyphen/>
        <w:t xml:space="preserve">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w:t>
      </w:r>
      <w:r w:rsidRPr="00E837FE">
        <w:lastRenderedPageBreak/>
        <w:t>gewassen aanplanten het ontstaan en de verspreiding van onkruid zal versnellen dat tolerant is voor deze herbiciden, waardoor nog meer herbiciden moeten worden gebruikt; een vicieuze cirkel die bekendstaat als de “pesticidentredmolen”;</w:t>
      </w:r>
    </w:p>
    <w:p w14:paraId="780F5485" w14:textId="77777777" w:rsidR="00E920FE" w:rsidRPr="00E837FE" w:rsidRDefault="00E920FE" w:rsidP="00E920FE">
      <w:pPr>
        <w:pStyle w:val="NormalHanging12a"/>
        <w:widowControl/>
        <w:rPr>
          <w:szCs w:val="24"/>
        </w:rPr>
      </w:pPr>
      <w:r w:rsidRPr="00E837FE">
        <w:t>O.</w:t>
      </w:r>
      <w:r w:rsidRPr="00E837FE">
        <w:tab/>
        <w:t>overwegende dat de negatieve effecten van de buitensporige afhankelijkheid van herbiciden op de bodemgezondheid, de waterkwaliteit en de boven</w:t>
      </w:r>
      <w:r w:rsidRPr="00E837FE">
        <w:noBreakHyphen/>
        <w:t> en ondergrondse biodiversiteit zullen toenemen en zullen leiden tot een grotere blootstelling van mens en dier, mogelijk ook door een toename van residuen van herbiciden op levensmiddelen en diervoeders;</w:t>
      </w:r>
    </w:p>
    <w:p w14:paraId="7F2A6ADF" w14:textId="77777777" w:rsidR="00E920FE" w:rsidRPr="00E837FE" w:rsidRDefault="00E920FE" w:rsidP="00E920FE">
      <w:pPr>
        <w:pStyle w:val="NormalHanging12a"/>
        <w:widowControl/>
        <w:rPr>
          <w:szCs w:val="24"/>
        </w:rPr>
      </w:pPr>
      <w:r w:rsidRPr="00E837FE">
        <w:t>P.</w:t>
      </w:r>
      <w:r w:rsidRPr="00E837FE">
        <w:tab/>
        <w:t>overwegende dat de beoordeling van residuen van herbiciden en metabolieten in genetisch gemodificeerde gewassen beschouwd wordt als een kwestie die niet binnen de bevoegdheid van het EFSA-panel voor genetisch gemodificeerde organismen valt en daarom geen deel uitmaakt van de vergunningsprocedure voor ggo’s;</w:t>
      </w:r>
    </w:p>
    <w:p w14:paraId="1952F742" w14:textId="77777777" w:rsidR="00E920FE" w:rsidRPr="00E837FE" w:rsidRDefault="00E920FE" w:rsidP="00E920FE">
      <w:pPr>
        <w:pStyle w:val="NormalHanging12a"/>
        <w:widowControl/>
        <w:rPr>
          <w:b/>
          <w:i/>
          <w:iCs/>
          <w:szCs w:val="24"/>
        </w:rPr>
      </w:pPr>
      <w:r w:rsidRPr="00E837FE">
        <w:rPr>
          <w:b/>
          <w:i/>
        </w:rPr>
        <w:t>Niet opgeloste vragen in verband met de toxine IPD072Aa</w:t>
      </w:r>
    </w:p>
    <w:p w14:paraId="1EE45766" w14:textId="77777777" w:rsidR="00E920FE" w:rsidRPr="00E837FE" w:rsidRDefault="00E920FE" w:rsidP="00E920FE">
      <w:pPr>
        <w:pStyle w:val="NormalHanging12a"/>
        <w:widowControl/>
        <w:rPr>
          <w:szCs w:val="24"/>
        </w:rPr>
      </w:pPr>
      <w:r w:rsidRPr="00E837FE">
        <w:t>Q.</w:t>
      </w:r>
      <w:r w:rsidRPr="00E837FE">
        <w:tab/>
        <w:t>overwegende dat op grond van Uitvoeringsverordening (EU) nr. 503/2013 een toxicologische beoordeling moet worden uitgevoerd om aan te tonen dat de bedoelde gevolgen van een genetische modificatie geen negatieve gevolgen voor de menselijke en de dierlijke gezondheid hebben;</w:t>
      </w:r>
    </w:p>
    <w:p w14:paraId="38F9B547" w14:textId="77777777" w:rsidR="00E920FE" w:rsidRPr="00E837FE" w:rsidRDefault="00E920FE" w:rsidP="00E920FE">
      <w:pPr>
        <w:pStyle w:val="NormalHanging12a"/>
        <w:widowControl/>
        <w:rPr>
          <w:szCs w:val="24"/>
        </w:rPr>
      </w:pPr>
      <w:r w:rsidRPr="00E837FE">
        <w:t>R.</w:t>
      </w:r>
      <w:r w:rsidRPr="00E837FE">
        <w:tab/>
        <w:t>overwegende dat IPD072Aa een nieuw eiwit is, hetgeen betekent dat wat betreft het gebruik ervan in de landbouw en de introductie ervan in de voedselketen niet volledig kan worden vertrouwd op eerder opgedane ervaring;</w:t>
      </w:r>
    </w:p>
    <w:p w14:paraId="5EAC3ABC" w14:textId="77777777" w:rsidR="00E920FE" w:rsidRPr="00E837FE" w:rsidRDefault="00E920FE" w:rsidP="00E920FE">
      <w:pPr>
        <w:pStyle w:val="NormalHanging12a"/>
        <w:widowControl/>
        <w:rPr>
          <w:szCs w:val="24"/>
        </w:rPr>
      </w:pPr>
      <w:r w:rsidRPr="00E837FE">
        <w:t>S.</w:t>
      </w:r>
      <w:r w:rsidRPr="00E837FE">
        <w:tab/>
        <w:t>overwegende dat, ondanks verschillen, de waargenomen overeenkomsten tussen IPD072Aa en Bt-toxinen duiden op het belang van een robuust risicobeoordelingsproces; overwegende dat uit meerdere studies is gebleken dat Bt-toxinen immuniteitsgerelateerde neveneffecten kunnen hebben, waaronder wellicht adjuvans-eigenschappen</w:t>
      </w:r>
      <w:r w:rsidRPr="00E837FE">
        <w:rPr>
          <w:rStyle w:val="FootnoteReference"/>
          <w:szCs w:val="24"/>
        </w:rPr>
        <w:footnoteReference w:id="11"/>
      </w:r>
      <w:r w:rsidRPr="00E837FE">
        <w:t>, hetgeen betekent dat zij de allergene eigenschappen van andere eiwitten waarmee ze in contact komen, kunnen verhogen;</w:t>
      </w:r>
    </w:p>
    <w:p w14:paraId="10562540" w14:textId="77777777" w:rsidR="00E920FE" w:rsidRPr="00E837FE" w:rsidRDefault="00E920FE" w:rsidP="00E920FE">
      <w:pPr>
        <w:pStyle w:val="NormalHanging12a"/>
        <w:widowControl/>
        <w:rPr>
          <w:szCs w:val="24"/>
        </w:rPr>
      </w:pPr>
      <w:r w:rsidRPr="00E837FE">
        <w:t>T.</w:t>
      </w:r>
      <w:r w:rsidRPr="00E837FE">
        <w:tab/>
        <w:t>overwegende dat uit een wetenschappelijk onderzoek is gebleken dat de toxiciteit van Bt-toxinen ook kan worden vergroot door interactie met residuen van besproeiing met herbiciden en dat er verder onderzoek nodig is naar de combinatorische effecten van meerdere transformatiestappen (genetisch gemodificeerde gewassen die zijn gemodificeerd om herbicidetolerant te zijn en insecticiden te produceren in de vorm van Bt-toxinen)</w:t>
      </w:r>
      <w:r w:rsidRPr="00E837FE">
        <w:rPr>
          <w:rStyle w:val="FootnoteReference"/>
          <w:szCs w:val="24"/>
        </w:rPr>
        <w:footnoteReference w:id="12"/>
      </w:r>
      <w:r w:rsidRPr="00E837FE">
        <w:t>; overwegende dat de beoordeling van de mogelijke interactie van residuen van herbiciden en de metabolieten ervan met Bt-toxinen wordt beschouwd als een kwestie die niet onder de bevoegdheid van het EFSA-panel voor genetisch gemodificeerde organismen valt en daarom geen deel uitmaakt van de risicobeoordeling;</w:t>
      </w:r>
    </w:p>
    <w:p w14:paraId="53DFD1C1" w14:textId="77777777" w:rsidR="00E920FE" w:rsidRPr="00E837FE" w:rsidRDefault="00E920FE" w:rsidP="00E920FE">
      <w:pPr>
        <w:pStyle w:val="NormalHanging12a"/>
        <w:widowControl/>
        <w:rPr>
          <w:szCs w:val="24"/>
        </w:rPr>
      </w:pPr>
      <w:r w:rsidRPr="00E837FE">
        <w:lastRenderedPageBreak/>
        <w:t>U.</w:t>
      </w:r>
      <w:r w:rsidRPr="00E837FE">
        <w:tab/>
        <w:t>overwegende dat bij de beoordeling van de toxiciteit van IPD072Aa geen aandacht is besteed aan de potentiële synergistische of cumulatieve gevolgen van interacties met plantmetabolieten en herbicideresiduen;</w:t>
      </w:r>
    </w:p>
    <w:p w14:paraId="4C7EBA38" w14:textId="77777777" w:rsidR="00E920FE" w:rsidRPr="00E837FE" w:rsidRDefault="00E920FE" w:rsidP="00E920FE">
      <w:pPr>
        <w:pStyle w:val="NormalHanging12a"/>
        <w:widowControl/>
        <w:rPr>
          <w:szCs w:val="24"/>
        </w:rPr>
      </w:pPr>
      <w:r w:rsidRPr="00E837FE">
        <w:t>V.</w:t>
      </w:r>
      <w:r w:rsidRPr="00E837FE">
        <w:tab/>
        <w:t>overwegende dat er geen gegevens zijn verstrekt over de cumulatie van IPD072Aa in voedselnetwerken, de disseminatie ervan in het milieu, met name via afvalwater en mest in de bodem en aquatische ecosystemen, en de gevolgen ervan voor niet</w:t>
      </w:r>
      <w:r w:rsidRPr="00E837FE">
        <w:noBreakHyphen/>
        <w:t>doelorganismen;</w:t>
      </w:r>
    </w:p>
    <w:p w14:paraId="34BADFC5" w14:textId="77777777" w:rsidR="00E920FE" w:rsidRPr="00E837FE" w:rsidRDefault="00E920FE" w:rsidP="00E920FE">
      <w:pPr>
        <w:pStyle w:val="NormalHanging12a"/>
        <w:widowControl/>
        <w:rPr>
          <w:szCs w:val="24"/>
        </w:rPr>
      </w:pPr>
      <w:r w:rsidRPr="00E837FE">
        <w:t>W.</w:t>
      </w:r>
      <w:r w:rsidRPr="00E837FE">
        <w:tab/>
        <w:t>overwegende dat de potentiële genenstroom naar wilde verwante gewassen zoals teosinte, waar in Spanje en Frankrijk melding van wordt gemaakt, zorgen baart in verband met de persistentie van het transgeen in het milieu en de mogelijke ecologische gevolgen daarvan</w:t>
      </w:r>
      <w:r w:rsidRPr="00E837FE">
        <w:rPr>
          <w:rStyle w:val="FootnoteReference"/>
          <w:szCs w:val="24"/>
        </w:rPr>
        <w:footnoteReference w:id="13"/>
      </w:r>
      <w:r w:rsidRPr="00E837FE">
        <w:t>;</w:t>
      </w:r>
    </w:p>
    <w:p w14:paraId="002751DA" w14:textId="77777777" w:rsidR="00E920FE" w:rsidRPr="00E837FE" w:rsidRDefault="00E920FE" w:rsidP="00E920FE">
      <w:pPr>
        <w:pStyle w:val="NormalHanging12a"/>
        <w:widowControl/>
        <w:rPr>
          <w:szCs w:val="24"/>
        </w:rPr>
      </w:pPr>
      <w:r w:rsidRPr="00E837FE">
        <w:t>X.</w:t>
      </w:r>
      <w:r w:rsidRPr="00E837FE">
        <w:tab/>
        <w:t>overwegende dat de monitoringsvoorschriften als bedoeld in Uitvoeringsverordening (EU) nr. 503/2013 onvoldoende worden gehandhaafd, en dat geen onafhankelijke verificatie van de door Corteva Agriscience LLC overgelegde gegevens heeft plaatsgevonden;</w:t>
      </w:r>
    </w:p>
    <w:p w14:paraId="7F7BBE08" w14:textId="77777777" w:rsidR="00E920FE" w:rsidRPr="00E837FE" w:rsidRDefault="00E920FE" w:rsidP="00E920FE">
      <w:pPr>
        <w:pStyle w:val="NormalHanging12a"/>
        <w:widowControl/>
        <w:ind w:left="0" w:firstLine="0"/>
        <w:rPr>
          <w:b/>
          <w:i/>
          <w:iCs/>
          <w:szCs w:val="24"/>
        </w:rPr>
      </w:pPr>
      <w:r w:rsidRPr="00E837FE">
        <w:rPr>
          <w:b/>
          <w:i/>
        </w:rPr>
        <w:t>Het waarborgen van een wereldwijd gelijk speelveld en het nakomen van de internationale verplichtingen van de Unie</w:t>
      </w:r>
    </w:p>
    <w:p w14:paraId="49362EB2" w14:textId="6EA258F6" w:rsidR="00E920FE" w:rsidRPr="00E837FE" w:rsidRDefault="00E920FE" w:rsidP="00E920FE">
      <w:pPr>
        <w:pStyle w:val="NormalHanging12a"/>
        <w:widowControl/>
        <w:rPr>
          <w:b/>
          <w:szCs w:val="24"/>
        </w:rPr>
      </w:pPr>
      <w:r w:rsidRPr="00E837FE">
        <w:t>Y.</w:t>
      </w:r>
      <w:r w:rsidRPr="00E837FE">
        <w:rPr>
          <w:b/>
        </w:rPr>
        <w:tab/>
      </w:r>
      <w:r w:rsidRPr="00E837FE">
        <w:t xml:space="preserve">overwegende dat de teelt van genetisch gemodificeerde maïs in de Unie niet is toegestaan; overwegende dat de goedkeuring van </w:t>
      </w:r>
      <w:r w:rsidR="005D249B" w:rsidRPr="00E837FE">
        <w:t>Uitvoerings</w:t>
      </w:r>
      <w:r w:rsidRPr="00E837FE">
        <w:t xml:space="preserve">besluit </w:t>
      </w:r>
      <w:r w:rsidR="000F18A4" w:rsidRPr="00E837FE">
        <w:t xml:space="preserve">(EU) 2025/1898 </w:t>
      </w:r>
      <w:r w:rsidRPr="00E837FE">
        <w:t xml:space="preserve">van de Commissie de invoer in de Unie mogelijk </w:t>
      </w:r>
      <w:r w:rsidR="000F18A4" w:rsidRPr="00E837FE">
        <w:t>maakt</w:t>
      </w:r>
      <w:r w:rsidRPr="00E837FE">
        <w:t xml:space="preserve"> van producten die niet voldoen aan de normen waar de boeren van de Unie zich aan moeten houden, waarmee zij een concurrentienadeel hebben;</w:t>
      </w:r>
    </w:p>
    <w:p w14:paraId="3EAA3935" w14:textId="77777777" w:rsidR="00E920FE" w:rsidRPr="00E837FE" w:rsidRDefault="00E920FE" w:rsidP="00E920FE">
      <w:pPr>
        <w:pStyle w:val="NormalHanging12a"/>
        <w:widowControl/>
        <w:rPr>
          <w:b/>
          <w:szCs w:val="24"/>
        </w:rPr>
      </w:pPr>
      <w:r w:rsidRPr="00E837FE">
        <w:t>Z.</w:t>
      </w:r>
      <w:r w:rsidRPr="00E837FE">
        <w:tab/>
        <w:t>overwegende dat de Commissie in de conclusies van de strategische dialoog over de toekomst van de landbouw in de EU</w:t>
      </w:r>
      <w:r w:rsidRPr="00E837FE">
        <w:rPr>
          <w:rStyle w:val="FootnoteReference"/>
          <w:szCs w:val="24"/>
        </w:rPr>
        <w:footnoteReference w:id="14"/>
      </w:r>
      <w:r w:rsidRPr="00E837FE">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één van de belangrijkste eisen van landbouwers waren tijdens de demonstraties van 2023 en 2024;</w:t>
      </w:r>
    </w:p>
    <w:p w14:paraId="2361783A" w14:textId="77777777" w:rsidR="00E920FE" w:rsidRPr="00E837FE" w:rsidRDefault="00E920FE" w:rsidP="00E920FE">
      <w:pPr>
        <w:pStyle w:val="NormalHanging12a"/>
        <w:widowControl/>
        <w:rPr>
          <w:szCs w:val="24"/>
        </w:rPr>
      </w:pPr>
      <w:r w:rsidRPr="00E837FE">
        <w:t>AA.</w:t>
      </w:r>
      <w:r w:rsidRPr="00E837FE">
        <w:tab/>
        <w:t>overwegende dat in een verslag van de speciale rapporteur van de Verenigde Naties (VN) voor het recht op voedsel uit 2017 is vastgesteld dat gevaarlijke bestrijdingsmiddelen catastrofale gevolgen hebben voor de volksgezondheid, met name in ontwikkelingslanden</w:t>
      </w:r>
      <w:r w:rsidRPr="00E837FE">
        <w:rPr>
          <w:rStyle w:val="FootnoteReference"/>
          <w:szCs w:val="24"/>
        </w:rPr>
        <w:footnoteReference w:id="15"/>
      </w:r>
      <w:r w:rsidRPr="00E837FE">
        <w:t xml:space="preserve">; overwegende dat duurzameontwikkelingsdoelstelling (SDG) 3.9 van de VN erin bestaat om uiterlijk in 2030 het aantal sterfgevallen en </w:t>
      </w:r>
      <w:r w:rsidRPr="00E837FE">
        <w:lastRenderedPageBreak/>
        <w:t>ziekten als gevolg van gevaarlijke chemische stoffen en lucht-, water</w:t>
      </w:r>
      <w:r w:rsidRPr="00E837FE">
        <w:noBreakHyphen/>
        <w:t> en bodemvervuiling en -verontreiniging in aanzienlijke mate te verminderen</w:t>
      </w:r>
      <w:r w:rsidRPr="00E837FE">
        <w:rPr>
          <w:rStyle w:val="FootnoteReference"/>
          <w:szCs w:val="24"/>
        </w:rPr>
        <w:footnoteReference w:id="16"/>
      </w:r>
      <w:r w:rsidRPr="00E837FE">
        <w:t>;</w:t>
      </w:r>
    </w:p>
    <w:p w14:paraId="6D4E17F8" w14:textId="77777777" w:rsidR="00E920FE" w:rsidRPr="00E837FE" w:rsidRDefault="00E920FE" w:rsidP="00E920FE">
      <w:pPr>
        <w:pStyle w:val="NormalHanging12a"/>
        <w:widowControl/>
        <w:rPr>
          <w:szCs w:val="24"/>
        </w:rPr>
      </w:pPr>
      <w:r w:rsidRPr="00E837FE">
        <w:t>AB.</w:t>
      </w:r>
      <w:r w:rsidRPr="00E837FE">
        <w:tab/>
        <w:t>overwegende dat het mondiaal biodiversiteitskader van Kunming-Montreal, dat in december 2022 tijdens de COP15 van het VN-Verdrag inzake biologische diversiteit (VN-VBD) is overeengekomen, een mondiale doelstelling omvat om het risico van bestrijdingsmiddelen tegen 2030 met ten minste 50 % te verminderen</w:t>
      </w:r>
      <w:r w:rsidRPr="00E837FE">
        <w:rPr>
          <w:rStyle w:val="FootnoteReference"/>
          <w:szCs w:val="24"/>
        </w:rPr>
        <w:footnoteReference w:id="17"/>
      </w:r>
      <w:r w:rsidRPr="00E837FE">
        <w:t>;</w:t>
      </w:r>
    </w:p>
    <w:p w14:paraId="67FA6932" w14:textId="77777777" w:rsidR="00E920FE" w:rsidRPr="00E837FE" w:rsidRDefault="00E920FE" w:rsidP="00E920FE">
      <w:pPr>
        <w:pStyle w:val="NormalHanging12a"/>
        <w:widowControl/>
        <w:rPr>
          <w:szCs w:val="24"/>
        </w:rPr>
      </w:pPr>
      <w:r w:rsidRPr="00E837FE">
        <w:t>AC.</w:t>
      </w:r>
      <w:r w:rsidRPr="00E837FE">
        <w:tab/>
        <w:t>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SDG’s van de VN en het VBD van de VN moeten omvatten;</w:t>
      </w:r>
    </w:p>
    <w:p w14:paraId="0CA296C8" w14:textId="77777777" w:rsidR="00E920FE" w:rsidRPr="00E837FE" w:rsidRDefault="00E920FE" w:rsidP="00E920FE">
      <w:pPr>
        <w:pStyle w:val="NormalHanging12a"/>
        <w:widowControl/>
        <w:rPr>
          <w:b/>
          <w:i/>
          <w:iCs/>
          <w:szCs w:val="24"/>
        </w:rPr>
      </w:pPr>
      <w:r w:rsidRPr="00E837FE">
        <w:rPr>
          <w:b/>
          <w:i/>
        </w:rPr>
        <w:t>Vermindering van de afhankelijkheid van geïmporteerd diervoeder</w:t>
      </w:r>
    </w:p>
    <w:p w14:paraId="547F348C" w14:textId="77777777" w:rsidR="00E920FE" w:rsidRPr="00E837FE" w:rsidRDefault="00E920FE" w:rsidP="00E920FE">
      <w:pPr>
        <w:pStyle w:val="NormalHanging12a"/>
        <w:widowControl/>
        <w:rPr>
          <w:szCs w:val="24"/>
        </w:rPr>
      </w:pPr>
      <w:r w:rsidRPr="00E837FE">
        <w:t>AD.</w:t>
      </w:r>
      <w:r w:rsidRPr="00E837FE">
        <w:tab/>
        <w:t>overwegende dat een van de lessen die moeten worden getrokken uit de COVID</w:t>
      </w:r>
      <w:r w:rsidRPr="00E837FE">
        <w:noBreakHyphen/>
        <w:t>19-crisis en de aanhoudende oorlog in Oekraïne, is dat de Unie een einde moet maken aan haar afhankelijkheid van bepaalde kritieke materialen; overwegende dat Commissievoorzitter Ursula von der Leyen commissaris Christophe Hansen in haar opdrachtbrief heeft verzocht na te gaan hoe de invoer van kritieke grondstoffen kan worden verminderd</w:t>
      </w:r>
      <w:r w:rsidRPr="00E837FE">
        <w:rPr>
          <w:rStyle w:val="FootnoteReference"/>
          <w:szCs w:val="24"/>
        </w:rPr>
        <w:footnoteReference w:id="18"/>
      </w:r>
      <w:r w:rsidRPr="00E837FE">
        <w:t>;</w:t>
      </w:r>
    </w:p>
    <w:p w14:paraId="2F0FBA0C" w14:textId="77777777" w:rsidR="00E920FE" w:rsidRPr="00E837FE" w:rsidRDefault="00E920FE" w:rsidP="00E920FE">
      <w:pPr>
        <w:pStyle w:val="NormalHanging12a"/>
        <w:widowControl/>
        <w:rPr>
          <w:b/>
          <w:i/>
          <w:iCs/>
          <w:szCs w:val="24"/>
        </w:rPr>
      </w:pPr>
      <w:r w:rsidRPr="00E837FE">
        <w:rPr>
          <w:b/>
          <w:i/>
        </w:rPr>
        <w:t>Niet-democratische besluitvorming</w:t>
      </w:r>
    </w:p>
    <w:p w14:paraId="09613A60" w14:textId="77777777" w:rsidR="00E920FE" w:rsidRPr="00E837FE" w:rsidRDefault="00E920FE" w:rsidP="00E920FE">
      <w:pPr>
        <w:pStyle w:val="NormalHanging12a"/>
        <w:widowControl/>
        <w:rPr>
          <w:szCs w:val="24"/>
        </w:rPr>
      </w:pPr>
      <w:r w:rsidRPr="00E837FE">
        <w:t>AE.</w:t>
      </w:r>
      <w:r w:rsidRPr="00E837FE">
        <w:tab/>
        <w:t>overwegende dat het Parlement in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in zijn negende zittingsperiode 38 resoluties heeft aangenomen waarin bezwaar wordt gemaakt tegen het in de handel brengen van ggo’s, en in de huidige, tiende zittingsperiode nog eens elf resoluties heeft aangenomen waarin bezwaar wordt gemaakt tegen het in de handel brengen van ggo’s;</w:t>
      </w:r>
    </w:p>
    <w:p w14:paraId="72092A72" w14:textId="77777777" w:rsidR="00E920FE" w:rsidRPr="00E837FE" w:rsidRDefault="00E920FE" w:rsidP="00E920FE">
      <w:pPr>
        <w:pStyle w:val="NormalHanging12a"/>
        <w:widowControl/>
        <w:rPr>
          <w:szCs w:val="24"/>
        </w:rPr>
      </w:pPr>
      <w:r w:rsidRPr="00E837FE">
        <w:t>AF.</w:t>
      </w:r>
      <w:r w:rsidRPr="00E837FE">
        <w:tab/>
        <w:t>overwegende dat de Commissie zich bewust is van de democratische tekortkomingen, het gebrek aan steun van de lidstaten en de bezwaren van het Parlement, maar desondanks vergunningen blijft verlenen voor ggo’s;</w:t>
      </w:r>
    </w:p>
    <w:p w14:paraId="64AE52BE" w14:textId="77777777" w:rsidR="00E920FE" w:rsidRPr="00E837FE" w:rsidRDefault="00E920FE" w:rsidP="00E920FE">
      <w:pPr>
        <w:pStyle w:val="NormalHanging12a"/>
        <w:widowControl/>
        <w:rPr>
          <w:szCs w:val="24"/>
        </w:rPr>
      </w:pPr>
      <w:r w:rsidRPr="00E837FE">
        <w:t>AG.</w:t>
      </w:r>
      <w:r w:rsidRPr="00E837FE">
        <w:tab/>
        <w:t>overwegende dat de Commissie ook zonder wetswijziging een vergunning voor ggo’s kan weigeren als in het comité van beroep geen gekwalificeerde meerderheid van de lidstaten voor vergunningverlening is</w:t>
      </w:r>
      <w:r w:rsidRPr="00E837FE">
        <w:rPr>
          <w:rStyle w:val="FootnoteReference"/>
          <w:szCs w:val="24"/>
        </w:rPr>
        <w:footnoteReference w:id="19"/>
      </w:r>
      <w:r w:rsidRPr="00E837FE">
        <w:t>;</w:t>
      </w:r>
    </w:p>
    <w:p w14:paraId="0EA942A1" w14:textId="77777777" w:rsidR="00E920FE" w:rsidRPr="00E837FE" w:rsidRDefault="00E920FE" w:rsidP="00E920FE">
      <w:pPr>
        <w:pStyle w:val="NormalHanging12a"/>
        <w:widowControl/>
        <w:rPr>
          <w:szCs w:val="24"/>
        </w:rPr>
      </w:pPr>
      <w:r w:rsidRPr="00E837FE">
        <w:lastRenderedPageBreak/>
        <w:t>AH.</w:t>
      </w:r>
      <w:r w:rsidRPr="00E837FE">
        <w:tab/>
        <w:t>overwegende dat de stemming op 13 juni 2025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w:t>
      </w:r>
      <w:r w:rsidRPr="00E837FE">
        <w:rPr>
          <w:rStyle w:val="FootnoteReference"/>
          <w:szCs w:val="24"/>
        </w:rPr>
        <w:footnoteReference w:id="20"/>
      </w:r>
      <w:r w:rsidRPr="00E837FE">
        <w:t xml:space="preserve">; </w:t>
      </w:r>
      <w:r w:rsidRPr="00E837FE">
        <w:rPr>
          <w:shd w:val="clear" w:color="auto" w:fill="FFFFFF"/>
        </w:rPr>
        <w:t>overwegende dat de stemming op 15 juli 2025 in het comité van beroep evenmin een advies heeft opgeleverd;</w:t>
      </w:r>
    </w:p>
    <w:p w14:paraId="0E6DDAC8" w14:textId="653BD75E" w:rsidR="00E920FE" w:rsidRPr="00E837FE" w:rsidRDefault="00E920FE" w:rsidP="00E920FE">
      <w:pPr>
        <w:pStyle w:val="NormalBold"/>
        <w:widowControl/>
        <w:spacing w:after="240"/>
        <w:ind w:left="567" w:hanging="567"/>
        <w:rPr>
          <w:b w:val="0"/>
          <w:szCs w:val="24"/>
        </w:rPr>
      </w:pPr>
      <w:r w:rsidRPr="00E837FE">
        <w:rPr>
          <w:b w:val="0"/>
        </w:rPr>
        <w:t>1.</w:t>
      </w:r>
      <w:r w:rsidRPr="00E837FE">
        <w:rPr>
          <w:b w:val="0"/>
        </w:rPr>
        <w:tab/>
        <w:t xml:space="preserve">is van mening dat </w:t>
      </w:r>
      <w:r w:rsidR="000F18A4" w:rsidRPr="00E837FE">
        <w:rPr>
          <w:b w:val="0"/>
        </w:rPr>
        <w:t xml:space="preserve">Uitvoeringsbesluit (EU) 2025/1898 </w:t>
      </w:r>
      <w:r w:rsidRPr="00E837FE">
        <w:rPr>
          <w:b w:val="0"/>
        </w:rPr>
        <w:t>van de Commissie de in Verordening (EG) nr. 1829/2003 bedoelde uitvoeringsbevoegdheden overschrijdt;</w:t>
      </w:r>
    </w:p>
    <w:p w14:paraId="276ED84A" w14:textId="0706D3C2" w:rsidR="00E920FE" w:rsidRPr="00E837FE" w:rsidRDefault="00E920FE" w:rsidP="00E920FE">
      <w:pPr>
        <w:pStyle w:val="NormalBold"/>
        <w:widowControl/>
        <w:spacing w:after="240"/>
        <w:ind w:left="567" w:hanging="567"/>
        <w:rPr>
          <w:b w:val="0"/>
          <w:szCs w:val="24"/>
        </w:rPr>
      </w:pPr>
      <w:r w:rsidRPr="00E837FE">
        <w:rPr>
          <w:b w:val="0"/>
        </w:rPr>
        <w:t>2.</w:t>
      </w:r>
      <w:r w:rsidRPr="00E837FE">
        <w:rPr>
          <w:b w:val="0"/>
        </w:rPr>
        <w:tab/>
        <w:t xml:space="preserve">is van mening dat </w:t>
      </w:r>
      <w:r w:rsidR="000F18A4" w:rsidRPr="00E837FE">
        <w:rPr>
          <w:b w:val="0"/>
        </w:rPr>
        <w:t>U</w:t>
      </w:r>
      <w:r w:rsidRPr="00E837FE">
        <w:rPr>
          <w:b w:val="0"/>
        </w:rPr>
        <w:t xml:space="preserve">itvoeringsbesluit </w:t>
      </w:r>
      <w:r w:rsidR="000F18A4" w:rsidRPr="00E837FE">
        <w:rPr>
          <w:b w:val="0"/>
        </w:rPr>
        <w:t xml:space="preserve">(EU) 2025/1898 </w:t>
      </w:r>
      <w:r w:rsidRPr="00E837FE">
        <w:rPr>
          <w:b w:val="0"/>
        </w:rPr>
        <w:t>van de Commissie niet in overeenstemming is met het recht van de Unie, aangezien het niet verenigbaar is met het doel van Verordening (EG) nr. 1829/2003 om overeenkomstig de algemene beginselen die in Verordening (EG) nr. 178/2002 van het Europees Parlement en de Raad zijn vastgesteld</w:t>
      </w:r>
      <w:r w:rsidRPr="00E837FE">
        <w:rPr>
          <w:rStyle w:val="FootnoteReference"/>
          <w:b w:val="0"/>
          <w:szCs w:val="24"/>
        </w:rPr>
        <w:footnoteReference w:id="21"/>
      </w:r>
      <w:r w:rsidRPr="00E837FE">
        <w:rPr>
          <w:b w:val="0"/>
        </w:rPr>
        <w:t xml:space="preserve">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14:paraId="626C5A1C" w14:textId="26BBE9F4" w:rsidR="00E920FE" w:rsidRPr="00E837FE" w:rsidRDefault="00E920FE" w:rsidP="00E920FE">
      <w:pPr>
        <w:pStyle w:val="NormalBold"/>
        <w:widowControl/>
        <w:spacing w:after="240"/>
        <w:ind w:left="567" w:hanging="567"/>
        <w:rPr>
          <w:b w:val="0"/>
          <w:szCs w:val="24"/>
        </w:rPr>
      </w:pPr>
      <w:r w:rsidRPr="00E837FE">
        <w:rPr>
          <w:b w:val="0"/>
        </w:rPr>
        <w:t>3.</w:t>
      </w:r>
      <w:r w:rsidRPr="00E837FE">
        <w:rPr>
          <w:b w:val="0"/>
        </w:rPr>
        <w:tab/>
        <w:t xml:space="preserve">verzoekt de Commissie </w:t>
      </w:r>
      <w:r w:rsidR="000F18A4" w:rsidRPr="00E837FE">
        <w:rPr>
          <w:b w:val="0"/>
        </w:rPr>
        <w:t>U</w:t>
      </w:r>
      <w:r w:rsidRPr="00E837FE">
        <w:rPr>
          <w:b w:val="0"/>
        </w:rPr>
        <w:t xml:space="preserve">itvoeringsbesluit </w:t>
      </w:r>
      <w:r w:rsidR="000F18A4" w:rsidRPr="00E837FE">
        <w:rPr>
          <w:b w:val="0"/>
        </w:rPr>
        <w:t xml:space="preserve">(EU) 2025/1898 </w:t>
      </w:r>
      <w:r w:rsidRPr="00E837FE">
        <w:rPr>
          <w:b w:val="0"/>
        </w:rPr>
        <w:t>in te trekken en een nieuw ontwerp aan het comité voor te leggen;</w:t>
      </w:r>
    </w:p>
    <w:p w14:paraId="71C9CC18" w14:textId="77777777" w:rsidR="00E920FE" w:rsidRPr="00E837FE" w:rsidRDefault="00E920FE" w:rsidP="00E920FE">
      <w:pPr>
        <w:pStyle w:val="NormalBold"/>
        <w:widowControl/>
        <w:spacing w:after="240"/>
        <w:ind w:left="567" w:hanging="567"/>
        <w:rPr>
          <w:b w:val="0"/>
          <w:szCs w:val="24"/>
        </w:rPr>
      </w:pPr>
      <w:r w:rsidRPr="00E837FE">
        <w:rPr>
          <w:b w:val="0"/>
        </w:rPr>
        <w:t>4.</w:t>
      </w:r>
      <w:r w:rsidRPr="00E837FE">
        <w:rPr>
          <w:b w:val="0"/>
        </w:rPr>
        <w:tab/>
        <w:t>verzoekt de Commissie in het kader van onderhandelingen over vrijhandelsakkoorden te zorgen voor convergentie van normen tussen de Unie en haar partners, teneinde te voldoen aan de veiligheidsnormen van de Unie;</w:t>
      </w:r>
    </w:p>
    <w:p w14:paraId="65A7B272" w14:textId="77777777" w:rsidR="00E920FE" w:rsidRPr="00E837FE" w:rsidRDefault="00E920FE" w:rsidP="00E920FE">
      <w:pPr>
        <w:pStyle w:val="NormalBold"/>
        <w:widowControl/>
        <w:spacing w:after="240"/>
        <w:ind w:left="567" w:hanging="567"/>
        <w:rPr>
          <w:b w:val="0"/>
          <w:szCs w:val="24"/>
        </w:rPr>
      </w:pPr>
      <w:r w:rsidRPr="00E837FE">
        <w:rPr>
          <w:b w:val="0"/>
        </w:rPr>
        <w:t>5.</w:t>
      </w:r>
      <w:r w:rsidRPr="00E837FE">
        <w:rPr>
          <w:b w:val="0"/>
        </w:rPr>
        <w:tab/>
        <w:t>verzoekt de Commissie geen vergunningen te verlenen voor de genetisch gemodificeerde maïs vanwege de verhoogde risico’s voor de biodiversiteit, de voedselveiligheid en de gezondheid van werknemers, in overeenstemming met de “één gezondheid”-benadering;</w:t>
      </w:r>
    </w:p>
    <w:p w14:paraId="6D75B7D2" w14:textId="77777777" w:rsidR="00E920FE" w:rsidRPr="00E837FE" w:rsidRDefault="00E920FE" w:rsidP="00E920FE">
      <w:pPr>
        <w:pStyle w:val="NormalBold"/>
        <w:widowControl/>
        <w:spacing w:after="240"/>
        <w:ind w:left="567" w:hanging="567"/>
        <w:rPr>
          <w:b w:val="0"/>
          <w:szCs w:val="24"/>
        </w:rPr>
      </w:pPr>
      <w:r w:rsidRPr="00E837FE">
        <w:rPr>
          <w:b w:val="0"/>
        </w:rPr>
        <w:t>6.</w:t>
      </w:r>
      <w:r w:rsidRPr="00E837FE">
        <w:rPr>
          <w:b w:val="0"/>
        </w:rPr>
        <w:tab/>
        <w:t>verwacht van de Commissie dat zij met spoed haar toezegging</w:t>
      </w:r>
      <w:r w:rsidRPr="00E837FE">
        <w:rPr>
          <w:rStyle w:val="FootnoteReference"/>
          <w:b w:val="0"/>
          <w:szCs w:val="24"/>
        </w:rPr>
        <w:footnoteReference w:id="22"/>
      </w:r>
      <w:r w:rsidRPr="00E837FE">
        <w:rPr>
          <w:b w:val="0"/>
        </w:rPr>
        <w:t xml:space="preserve"> nakomt om met een voorstel te komen om ervoor te zorgen dat gevaarlijke chemische stoffen die in de Unie verboden zijn, niet voor uitvoer worden geproduceerd;</w:t>
      </w:r>
    </w:p>
    <w:p w14:paraId="5819EF85" w14:textId="77777777" w:rsidR="00E920FE" w:rsidRPr="00E837FE" w:rsidRDefault="00E920FE" w:rsidP="00E920FE">
      <w:pPr>
        <w:pStyle w:val="NormalBold"/>
        <w:widowControl/>
        <w:spacing w:after="240"/>
        <w:ind w:left="567" w:hanging="567"/>
        <w:rPr>
          <w:b w:val="0"/>
          <w:szCs w:val="24"/>
        </w:rPr>
      </w:pPr>
      <w:r w:rsidRPr="00E837FE">
        <w:rPr>
          <w:b w:val="0"/>
        </w:rPr>
        <w:t>7.</w:t>
      </w:r>
      <w:r w:rsidRPr="00E837FE">
        <w:rPr>
          <w:b w:val="0"/>
        </w:rPr>
        <w:tab/>
        <w:t xml:space="preserve">stelt tevreden vast dat de Commissie in een schrijven van 11 september 2020 aan leden van het Parlement eindelijk heeft erkend dat in vergunningsbesluiten voor ggo’s </w:t>
      </w:r>
      <w:r w:rsidRPr="00E837FE">
        <w:rPr>
          <w:b w:val="0"/>
        </w:rPr>
        <w:lastRenderedPageBreak/>
        <w:t>rekening moet worden gehouden met duurzaamheid</w:t>
      </w:r>
      <w:r w:rsidRPr="00E837FE">
        <w:rPr>
          <w:rStyle w:val="FootnoteReference"/>
          <w:b w:val="0"/>
          <w:szCs w:val="24"/>
        </w:rPr>
        <w:footnoteReference w:id="23"/>
      </w:r>
      <w:r w:rsidRPr="00E837FE">
        <w:rPr>
          <w:b w:val="0"/>
        </w:rPr>
        <w:t>; is evenwel diep teleurgesteld dat de Commissie sindsdien vergunningen voor de invoer van ggo’s in de Unie is blijven verlenen, ondanks de aanhoudende bezwaren van het Parlement en een meerderheid van de lidstaten die tegen deze besluiten stemt;</w:t>
      </w:r>
    </w:p>
    <w:p w14:paraId="7606A172" w14:textId="77777777" w:rsidR="00E920FE" w:rsidRPr="00E837FE" w:rsidRDefault="00E920FE" w:rsidP="00E920FE">
      <w:pPr>
        <w:pStyle w:val="NormalBold"/>
        <w:widowControl/>
        <w:spacing w:after="240"/>
        <w:ind w:left="567" w:hanging="567"/>
        <w:rPr>
          <w:b w:val="0"/>
          <w:szCs w:val="24"/>
        </w:rPr>
      </w:pPr>
      <w:r w:rsidRPr="00E837FE">
        <w:rPr>
          <w:b w:val="0"/>
        </w:rPr>
        <w:t>8.</w:t>
      </w:r>
      <w:r w:rsidRPr="00E837FE">
        <w:rPr>
          <w:b w:val="0"/>
        </w:rPr>
        <w:tab/>
        <w:t>dringt er nogmaals bij de Commissie op aan de verplichtingen van de Unie krachtens internationale overeenkomsten na te komen, zoals de Klimaatovereenkomst van Parijs, het VBD van de VN en de SDG’s van de VN; roept er nogmaals toe op om ontwerpuitvoeringshandelingen vergezeld te doen gaan van een toelichting waarin wordt uiteengezet op welke manier aan het “niet schaden”-beginsel is voldaan</w:t>
      </w:r>
      <w:r w:rsidRPr="00E837FE">
        <w:rPr>
          <w:rStyle w:val="FootnoteReference"/>
          <w:b w:val="0"/>
          <w:szCs w:val="24"/>
        </w:rPr>
        <w:footnoteReference w:id="24"/>
      </w:r>
      <w:r w:rsidRPr="00E837FE">
        <w:rPr>
          <w:b w:val="0"/>
        </w:rPr>
        <w:t>;</w:t>
      </w:r>
    </w:p>
    <w:p w14:paraId="776C9456" w14:textId="40984879" w:rsidR="008A6FBC" w:rsidRPr="00E837FE" w:rsidRDefault="00E920FE" w:rsidP="008A6FBC">
      <w:pPr>
        <w:pStyle w:val="NormalBold"/>
        <w:widowControl/>
        <w:spacing w:after="240"/>
        <w:ind w:left="567" w:hanging="567"/>
      </w:pPr>
      <w:r w:rsidRPr="00E837FE">
        <w:rPr>
          <w:b w:val="0"/>
        </w:rPr>
        <w:t>9.</w:t>
      </w:r>
      <w:r w:rsidRPr="00E837FE">
        <w:rPr>
          <w:b w:val="0"/>
        </w:rPr>
        <w:tab/>
        <w:t>verzoekt zijn Voorzitter deze resolutie te doen toekomen aan de Raad en de Commissie, alsmede aan de regeringen en parlementen van de lidstaten.</w:t>
      </w:r>
    </w:p>
    <w:sectPr w:rsidR="008A6FBC" w:rsidRPr="00E837FE" w:rsidSect="008A6F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775F8" w14:textId="77777777" w:rsidR="003620E0" w:rsidRPr="008A6FBC" w:rsidRDefault="003620E0">
      <w:r w:rsidRPr="008A6FBC">
        <w:separator/>
      </w:r>
    </w:p>
  </w:endnote>
  <w:endnote w:type="continuationSeparator" w:id="0">
    <w:p w14:paraId="2EBC469B" w14:textId="77777777" w:rsidR="003620E0" w:rsidRPr="008A6FBC" w:rsidRDefault="003620E0">
      <w:r w:rsidRPr="008A6F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28E9D" w14:textId="77777777" w:rsidR="00064002" w:rsidRPr="008A6F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E0485" w14:textId="77777777" w:rsidR="00064002" w:rsidRPr="008A6F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5299" w14:textId="77777777" w:rsidR="00064002" w:rsidRPr="008A6F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7A30E" w14:textId="77777777" w:rsidR="003620E0" w:rsidRPr="008A6FBC" w:rsidRDefault="003620E0">
      <w:r w:rsidRPr="008A6FBC">
        <w:separator/>
      </w:r>
    </w:p>
  </w:footnote>
  <w:footnote w:type="continuationSeparator" w:id="0">
    <w:p w14:paraId="5ADF631E" w14:textId="77777777" w:rsidR="003620E0" w:rsidRPr="008A6FBC" w:rsidRDefault="003620E0">
      <w:r w:rsidRPr="008A6FBC">
        <w:continuationSeparator/>
      </w:r>
    </w:p>
  </w:footnote>
  <w:footnote w:id="1">
    <w:p w14:paraId="7EE2206C" w14:textId="7C3C4ECB" w:rsidR="005D249B" w:rsidRPr="005D249B" w:rsidRDefault="005D249B" w:rsidP="005D249B">
      <w:pPr>
        <w:pStyle w:val="FootnoteText"/>
        <w:ind w:left="567" w:hanging="567"/>
        <w:rPr>
          <w:sz w:val="24"/>
          <w:szCs w:val="24"/>
          <w:lang w:val="fr-BE"/>
        </w:rPr>
      </w:pPr>
      <w:r w:rsidRPr="005D249B">
        <w:rPr>
          <w:rStyle w:val="FootnoteReference"/>
          <w:sz w:val="24"/>
          <w:szCs w:val="24"/>
        </w:rPr>
        <w:footnoteRef/>
      </w:r>
      <w:r w:rsidRPr="005D249B">
        <w:rPr>
          <w:sz w:val="24"/>
          <w:szCs w:val="24"/>
        </w:rPr>
        <w:t xml:space="preserve"> </w:t>
      </w:r>
      <w:r w:rsidRPr="005D249B">
        <w:rPr>
          <w:sz w:val="24"/>
          <w:szCs w:val="24"/>
          <w:lang w:val="fr-BE"/>
        </w:rPr>
        <w:tab/>
      </w:r>
      <w:r w:rsidR="000F18A4">
        <w:rPr>
          <w:sz w:val="24"/>
          <w:szCs w:val="24"/>
          <w:lang w:val="fr-BE"/>
        </w:rPr>
        <w:t>PB</w:t>
      </w:r>
      <w:r w:rsidRPr="005D249B">
        <w:rPr>
          <w:sz w:val="24"/>
          <w:szCs w:val="24"/>
          <w:lang w:val="fr-BE"/>
        </w:rPr>
        <w:t xml:space="preserve"> L, 2025/1898, 23.9.2025, </w:t>
      </w:r>
      <w:proofErr w:type="gramStart"/>
      <w:r w:rsidRPr="005D249B">
        <w:rPr>
          <w:sz w:val="24"/>
          <w:szCs w:val="24"/>
          <w:lang w:val="fr-BE"/>
        </w:rPr>
        <w:t>ELI:</w:t>
      </w:r>
      <w:proofErr w:type="gramEnd"/>
      <w:r w:rsidRPr="005D249B">
        <w:rPr>
          <w:sz w:val="24"/>
          <w:szCs w:val="24"/>
          <w:lang w:val="fr-BE"/>
        </w:rPr>
        <w:t xml:space="preserve"> </w:t>
      </w:r>
      <w:hyperlink r:id="rId1" w:history="1">
        <w:r w:rsidRPr="005D249B">
          <w:rPr>
            <w:rStyle w:val="Hyperlink"/>
            <w:sz w:val="24"/>
            <w:szCs w:val="24"/>
            <w:lang w:val="fr-BE"/>
          </w:rPr>
          <w:t>http://data.europa.eu/eli/dec_impl/2025/1898/oj</w:t>
        </w:r>
      </w:hyperlink>
      <w:r w:rsidRPr="005D249B">
        <w:rPr>
          <w:sz w:val="24"/>
          <w:szCs w:val="24"/>
          <w:lang w:val="fr-BE"/>
        </w:rPr>
        <w:t>.</w:t>
      </w:r>
    </w:p>
  </w:footnote>
  <w:footnote w:id="2">
    <w:p w14:paraId="248D943B" w14:textId="6853AC0B" w:rsidR="00E920FE" w:rsidRPr="008A6FBC" w:rsidRDefault="00E920FE" w:rsidP="008A6FBC">
      <w:pPr>
        <w:pStyle w:val="FootnoteText"/>
        <w:ind w:left="567" w:hanging="567"/>
        <w:rPr>
          <w:b/>
          <w:bCs/>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PB L 268 van 18.10.2003, blz. 1, ELI: </w:t>
      </w:r>
      <w:hyperlink r:id="rId2" w:history="1">
        <w:r w:rsidRPr="008A6FBC">
          <w:rPr>
            <w:rStyle w:val="Hyperlink"/>
            <w:sz w:val="24"/>
            <w:lang w:val="nl-NL"/>
          </w:rPr>
          <w:t>http://data.europa.eu/eli/reg/2003/1829/oj</w:t>
        </w:r>
      </w:hyperlink>
      <w:r w:rsidRPr="008A6FBC">
        <w:rPr>
          <w:sz w:val="24"/>
          <w:lang w:val="nl-NL"/>
        </w:rPr>
        <w:t>.</w:t>
      </w:r>
    </w:p>
  </w:footnote>
  <w:footnote w:id="3">
    <w:p w14:paraId="667C7100" w14:textId="1F9EF15E"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PB L 55 van 28.2.2011, blz. 13, ELI: </w:t>
      </w:r>
      <w:hyperlink r:id="rId3" w:history="1">
        <w:r w:rsidRPr="008A6FBC">
          <w:rPr>
            <w:rStyle w:val="Hyperlink"/>
            <w:sz w:val="24"/>
            <w:lang w:val="nl-NL"/>
          </w:rPr>
          <w:t>http://data.europa.eu/eli/reg/2011/182/oj</w:t>
        </w:r>
      </w:hyperlink>
      <w:r w:rsidRPr="008A6FBC">
        <w:rPr>
          <w:sz w:val="24"/>
          <w:lang w:val="nl-NL"/>
        </w:rPr>
        <w:t>.</w:t>
      </w:r>
    </w:p>
  </w:footnote>
  <w:footnote w:id="4">
    <w:p w14:paraId="4F07F779" w14:textId="682ECCA4" w:rsidR="00E920FE" w:rsidRPr="008A6FBC" w:rsidRDefault="00E920FE" w:rsidP="008A6FBC">
      <w:pPr>
        <w:pStyle w:val="FootnoteText"/>
        <w:ind w:left="567" w:hanging="567"/>
        <w:rPr>
          <w:sz w:val="24"/>
          <w:lang w:val="nl-NL"/>
        </w:rPr>
      </w:pPr>
      <w:r w:rsidRPr="008A6FBC">
        <w:rPr>
          <w:rStyle w:val="Funotenzeichen"/>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Wetenschappelijk advies van het EFSA-panel voor genetisch gemodificeerde organismen getiteld “Assessment of genetically modified maize DP51291 (application GMFF-2021-0071)”. EFSA Journal 2024;22(11):9059; </w:t>
      </w:r>
      <w:hyperlink r:id="rId4" w:history="1">
        <w:r w:rsidRPr="008A6FBC">
          <w:rPr>
            <w:rStyle w:val="Hyperlink"/>
            <w:sz w:val="24"/>
            <w:lang w:val="nl-NL"/>
          </w:rPr>
          <w:t>https://doi.org/10.2903/j.efsa.2024.9059</w:t>
        </w:r>
      </w:hyperlink>
      <w:r w:rsidRPr="008A6FBC">
        <w:rPr>
          <w:sz w:val="24"/>
          <w:lang w:val="nl-NL"/>
        </w:rPr>
        <w:t>.</w:t>
      </w:r>
    </w:p>
  </w:footnote>
  <w:footnote w:id="5">
    <w:p w14:paraId="7FADBB10" w14:textId="15430844" w:rsidR="00E920FE" w:rsidRPr="008A6FBC" w:rsidRDefault="00E920FE" w:rsidP="008A6FBC">
      <w:pPr>
        <w:pStyle w:val="FootnoteText"/>
        <w:ind w:left="567" w:hanging="567"/>
        <w:rPr>
          <w:color w:val="000000" w:themeColor="text1"/>
          <w:sz w:val="24"/>
          <w:vertAlign w:val="superscript"/>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Het Parlement heeft in de achtste zittingsperiode 36, en in de negende zittingsperiode 38 resoluties aangenomen waarin bezwaar wordt gemaakt tegen het verlenen van vergunningen voor ggo’s.</w:t>
      </w:r>
      <w:r w:rsidRPr="008A6FBC">
        <w:rPr>
          <w:color w:val="000000" w:themeColor="text1"/>
          <w:sz w:val="24"/>
          <w:lang w:val="nl-NL"/>
        </w:rPr>
        <w:t xml:space="preserve"> Daarnaast heeft het Parlement in de tiende zittingsperiode de volgende resoluties aangenomen:</w:t>
      </w:r>
    </w:p>
    <w:p w14:paraId="46EE5A69" w14:textId="47A0E534"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5" w:history="1">
        <w:r w:rsidR="00E920FE" w:rsidRPr="008A6FBC">
          <w:rPr>
            <w:rStyle w:val="Hyperlink"/>
            <w:sz w:val="24"/>
            <w:lang w:val="nl-NL"/>
          </w:rPr>
          <w:t>http://data.europa.eu/eli/C/2025/1797/oj</w:t>
        </w:r>
      </w:hyperlink>
      <w:r w:rsidR="00E920FE" w:rsidRPr="008A6FBC">
        <w:rPr>
          <w:color w:val="000000" w:themeColor="text1"/>
          <w:sz w:val="24"/>
          <w:lang w:val="nl-NL"/>
        </w:rPr>
        <w:t>).</w:t>
      </w:r>
    </w:p>
    <w:p w14:paraId="410F42E4" w14:textId="0285E731"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6" w:history="1">
        <w:r w:rsidR="00E920FE" w:rsidRPr="008A6FBC">
          <w:rPr>
            <w:rStyle w:val="Hyperlink"/>
            <w:sz w:val="24"/>
            <w:lang w:val="nl-NL"/>
          </w:rPr>
          <w:t>http://data.europa.eu/eli/C/2025/1798/oj</w:t>
        </w:r>
      </w:hyperlink>
      <w:r w:rsidR="00E920FE" w:rsidRPr="008A6FBC">
        <w:rPr>
          <w:color w:val="000000" w:themeColor="text1"/>
          <w:sz w:val="24"/>
          <w:lang w:val="nl-NL"/>
        </w:rPr>
        <w:t>).</w:t>
      </w:r>
    </w:p>
    <w:p w14:paraId="0185E904" w14:textId="6602FA78"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subcombinaties daarvan overeenkomstig Verordening (EG) nr. 1829/2003 van het Europees Parlement en de Raad (PB C, C/2025/1799, 4.4.2025, ELI: </w:t>
      </w:r>
      <w:hyperlink r:id="rId7" w:history="1">
        <w:r w:rsidR="00E920FE" w:rsidRPr="008A6FBC">
          <w:rPr>
            <w:rStyle w:val="Hyperlink"/>
            <w:sz w:val="24"/>
            <w:lang w:val="nl-NL"/>
          </w:rPr>
          <w:t>http://data.europa.eu/eli/C/2025/1799/oj</w:t>
        </w:r>
      </w:hyperlink>
      <w:r w:rsidR="00E920FE" w:rsidRPr="008A6FBC">
        <w:rPr>
          <w:color w:val="000000" w:themeColor="text1"/>
          <w:sz w:val="24"/>
          <w:lang w:val="nl-NL"/>
        </w:rPr>
        <w:t>).</w:t>
      </w:r>
    </w:p>
    <w:p w14:paraId="0948FD2C" w14:textId="1B4FCC3A"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maïs MON 810 overeenkomstig Verordening (EG) nr. 1829/2003 van het Europees Parlement en de Raad en tot intrekking van Uitvoeringsbesluit (EU) 2017/1207 van de Commissie (PB C, C/2025/1800, 4.4.2025, ELI: </w:t>
      </w:r>
      <w:hyperlink r:id="rId8" w:history="1">
        <w:r w:rsidR="00E920FE" w:rsidRPr="008A6FBC">
          <w:rPr>
            <w:rStyle w:val="Hyperlink"/>
            <w:sz w:val="24"/>
            <w:lang w:val="nl-NL"/>
          </w:rPr>
          <w:t>http://data.europa.eu/eli/C/2025/1800/oj</w:t>
        </w:r>
      </w:hyperlink>
      <w:r w:rsidR="00E920FE" w:rsidRPr="008A6FBC">
        <w:rPr>
          <w:color w:val="000000" w:themeColor="text1"/>
          <w:sz w:val="24"/>
          <w:lang w:val="nl-NL"/>
        </w:rPr>
        <w:t>).</w:t>
      </w:r>
    </w:p>
    <w:p w14:paraId="502535BC" w14:textId="5F5A9680"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maïs DP915635 overeenkomstig Verordening (EG) nr. 1829/2003 van het Europees Parlement en de Raad (PB C, C/2025/1801, 4.4.2025, ELI: </w:t>
      </w:r>
      <w:hyperlink r:id="rId9" w:history="1">
        <w:r w:rsidR="00E920FE" w:rsidRPr="008A6FBC">
          <w:rPr>
            <w:rStyle w:val="Hyperlink"/>
            <w:sz w:val="24"/>
            <w:lang w:val="nl-NL"/>
          </w:rPr>
          <w:t>http://data.europa.eu/eli/C/2025/1801/oj</w:t>
        </w:r>
      </w:hyperlink>
      <w:r w:rsidR="00E920FE" w:rsidRPr="008A6FBC">
        <w:rPr>
          <w:color w:val="000000" w:themeColor="text1"/>
          <w:sz w:val="24"/>
          <w:lang w:val="nl-NL"/>
        </w:rPr>
        <w:t>).</w:t>
      </w:r>
    </w:p>
    <w:p w14:paraId="3E8B4DD8" w14:textId="314C86A4"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2024/1826 van de Commissie betreffende de verlening van een vergunning voor het in de handel brengen van producten die geheel of gedeeltelijk bestaan uit of zijn geproduceerd met genetisch gemodificeerde maïs DP23211 overeenkomstig Verordening (EG) nr. 1829/2003 van het Europees Parlement en de Raad (PB C, C/2025/1802, 4.4.2025, ELI: </w:t>
      </w:r>
      <w:hyperlink r:id="rId10" w:history="1">
        <w:r w:rsidR="00E920FE" w:rsidRPr="008A6FBC">
          <w:rPr>
            <w:rStyle w:val="Hyperlink"/>
            <w:sz w:val="24"/>
            <w:lang w:val="nl-NL"/>
          </w:rPr>
          <w:t>http://data.europa.eu/eli/C/2025/1802/oj</w:t>
        </w:r>
      </w:hyperlink>
      <w:r w:rsidR="00E920FE" w:rsidRPr="008A6FBC">
        <w:rPr>
          <w:color w:val="000000" w:themeColor="text1"/>
          <w:sz w:val="24"/>
          <w:lang w:val="nl-NL"/>
        </w:rPr>
        <w:t>).</w:t>
      </w:r>
    </w:p>
    <w:p w14:paraId="01361FDB" w14:textId="5FD608C2"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maïs DP202216 overeenkomstig Verordening (EG) nr. 1829/2003 van het Europees Parlement en de Raad (PB C, C/2025/1803, 4.4.2025, ELI: </w:t>
      </w:r>
      <w:hyperlink r:id="rId11" w:history="1">
        <w:r w:rsidR="00E920FE" w:rsidRPr="008A6FBC">
          <w:rPr>
            <w:rStyle w:val="Hyperlink"/>
            <w:sz w:val="24"/>
            <w:lang w:val="nl-NL"/>
          </w:rPr>
          <w:t>http://data.europa.eu/eli/C/2025/1803/oj</w:t>
        </w:r>
      </w:hyperlink>
      <w:r w:rsidR="00E920FE" w:rsidRPr="008A6FBC">
        <w:rPr>
          <w:color w:val="000000" w:themeColor="text1"/>
          <w:sz w:val="24"/>
          <w:lang w:val="nl-NL"/>
        </w:rPr>
        <w:t>).</w:t>
      </w:r>
    </w:p>
    <w:p w14:paraId="1470B382" w14:textId="311AE9BF" w:rsidR="00E920FE" w:rsidRPr="008A6FBC" w:rsidRDefault="008A6FBC" w:rsidP="008A6FBC">
      <w:pPr>
        <w:pStyle w:val="FootnoteText"/>
        <w:ind w:left="567" w:hanging="567"/>
        <w:rPr>
          <w:color w:val="000000" w:themeColor="text1"/>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maïs MON 94804 overeenkomstig Verordening (EG) nr. 1829/2003 van het Europees Parlement en de Raad (PB C, C/2025/1804, 4.4.2025, ELI: </w:t>
      </w:r>
      <w:hyperlink r:id="rId12" w:history="1">
        <w:r w:rsidR="00E920FE" w:rsidRPr="008A6FBC">
          <w:rPr>
            <w:rStyle w:val="Hyperlink"/>
            <w:sz w:val="24"/>
            <w:lang w:val="nl-NL"/>
          </w:rPr>
          <w:t>http://data.europa.eu/eli/C/2025/1804/oj</w:t>
        </w:r>
      </w:hyperlink>
      <w:r w:rsidR="00E920FE" w:rsidRPr="008A6FBC">
        <w:rPr>
          <w:color w:val="000000" w:themeColor="text1"/>
          <w:sz w:val="24"/>
          <w:lang w:val="nl-NL"/>
        </w:rPr>
        <w:t>).</w:t>
      </w:r>
    </w:p>
    <w:p w14:paraId="42A33661" w14:textId="7086141C" w:rsidR="00E920FE" w:rsidRPr="008A6FBC" w:rsidRDefault="008A6FBC" w:rsidP="008A6FBC">
      <w:pPr>
        <w:pStyle w:val="FootnoteText"/>
        <w:ind w:left="567" w:hanging="567"/>
        <w:rPr>
          <w:sz w:val="24"/>
          <w:vertAlign w:val="superscript"/>
          <w:lang w:val="nl-NL"/>
        </w:rPr>
      </w:pPr>
      <w:r w:rsidRPr="008A6FBC">
        <w:rPr>
          <w:color w:val="000000" w:themeColor="text1"/>
          <w:sz w:val="24"/>
          <w:lang w:val="nl-NL"/>
        </w:rPr>
        <w:t xml:space="preserve"> </w:t>
      </w:r>
      <w:r w:rsidRPr="008A6FBC">
        <w:rPr>
          <w:color w:val="000000" w:themeColor="text1"/>
          <w:sz w:val="24"/>
          <w:lang w:val="nl-NL"/>
        </w:rPr>
        <w:tab/>
      </w:r>
      <w:r w:rsidR="00E920FE" w:rsidRPr="008A6FBC">
        <w:rPr>
          <w:color w:val="000000" w:themeColor="text1"/>
          <w:sz w:val="24"/>
          <w:lang w:val="nl-NL"/>
        </w:rPr>
        <w:t>–</w:t>
      </w:r>
      <w:r w:rsidR="00E920FE" w:rsidRPr="008A6FBC">
        <w:rPr>
          <w:color w:val="000000" w:themeColor="text1"/>
          <w:sz w:val="24"/>
          <w:lang w:val="nl-NL"/>
        </w:rPr>
        <w:tab/>
      </w:r>
      <w:r w:rsidR="00E920FE" w:rsidRPr="008A6FBC">
        <w:rPr>
          <w:sz w:val="24"/>
          <w:lang w:val="nl-NL"/>
        </w:rPr>
        <w:t xml:space="preserve">Resolutie van het Europees Parlement van 12 februari 2025 over het ontwerp van uitvoeringsbesluit van de Commissie betreffende de verlening van een vergunning voor het in de handel brengen van producten die geheel of gedeeltelijk bestaan uit of zijn geproduceerd met de genetisch gemodificeerde maïs DP910521 overeenkomstig Verordening (EG) nr. 1829/2003 van het Europees Parlement en de Raad (PB C, C/2025/2246, 29.4.2025, ELI: </w:t>
      </w:r>
      <w:hyperlink r:id="rId13" w:tooltip="Geeft toegang tot dit document via de ELI URI." w:history="1">
        <w:r w:rsidR="00E920FE" w:rsidRPr="008A6FBC">
          <w:rPr>
            <w:rStyle w:val="Hyperlink"/>
            <w:sz w:val="24"/>
            <w:lang w:val="nl-NL"/>
          </w:rPr>
          <w:t>http://data.europa.eu/eli/C/2025/2246/oj</w:t>
        </w:r>
      </w:hyperlink>
      <w:r w:rsidR="00E920FE" w:rsidRPr="008A6FBC">
        <w:rPr>
          <w:sz w:val="24"/>
          <w:lang w:val="nl-NL"/>
        </w:rPr>
        <w:t>).</w:t>
      </w:r>
    </w:p>
    <w:p w14:paraId="0A69F667" w14:textId="62BE5A33" w:rsidR="00E920FE" w:rsidRPr="008A6FBC" w:rsidRDefault="008A6FBC" w:rsidP="008A6FBC">
      <w:pPr>
        <w:pStyle w:val="FootnoteText"/>
        <w:ind w:left="567" w:hanging="567"/>
        <w:rPr>
          <w:sz w:val="24"/>
          <w:vertAlign w:val="superscript"/>
          <w:lang w:val="nl-NL"/>
        </w:rPr>
      </w:pPr>
      <w:r w:rsidRPr="008A6FBC">
        <w:rPr>
          <w:sz w:val="24"/>
          <w:lang w:val="nl-NL"/>
        </w:rPr>
        <w:t xml:space="preserve"> </w:t>
      </w:r>
      <w:r w:rsidRPr="008A6FBC">
        <w:rPr>
          <w:sz w:val="24"/>
          <w:lang w:val="nl-NL"/>
        </w:rPr>
        <w:tab/>
      </w:r>
      <w:r w:rsidR="00E920FE" w:rsidRPr="008A6FBC">
        <w:rPr>
          <w:sz w:val="24"/>
          <w:lang w:val="nl-NL"/>
        </w:rPr>
        <w:t>–</w:t>
      </w:r>
      <w:r w:rsidR="00E920FE" w:rsidRPr="008A6FBC">
        <w:rPr>
          <w:sz w:val="24"/>
          <w:lang w:val="nl-NL"/>
        </w:rPr>
        <w:tab/>
        <w:t xml:space="preserve">Resolutie van het Europees Parlement van 12 februari 2025 over het ontwerp van uitvoeringsbesluit van de Commissie betreffende de verlening van een vergunning voor het in de handel brengen van producten die geheel of gedeeltelijk bestaan uit of zijn geproduceerd met de genetisch gemodificeerde maïs MON 95275 overeenkomstig Verordening (EG) nr. 1829/2003 van het Europees Parlement en de Raad (PB C, C/2025/2247, 29.4.2025, ELI: </w:t>
      </w:r>
      <w:hyperlink r:id="rId14" w:tooltip="Geeft toegang tot dit document via de ELI URI." w:history="1">
        <w:r w:rsidR="00E920FE" w:rsidRPr="008A6FBC">
          <w:rPr>
            <w:rStyle w:val="Hyperlink"/>
            <w:sz w:val="24"/>
            <w:lang w:val="nl-NL"/>
          </w:rPr>
          <w:t>http://data.europa.eu/eli/C/2025/2247/oj</w:t>
        </w:r>
      </w:hyperlink>
      <w:r w:rsidR="00E920FE" w:rsidRPr="008A6FBC">
        <w:rPr>
          <w:sz w:val="24"/>
          <w:lang w:val="nl-NL"/>
        </w:rPr>
        <w:t>).</w:t>
      </w:r>
    </w:p>
    <w:p w14:paraId="1E1E9068" w14:textId="3B974340" w:rsidR="00E920FE" w:rsidRPr="008A6FBC" w:rsidRDefault="008A6FBC" w:rsidP="008A6FBC">
      <w:pPr>
        <w:pStyle w:val="FootnoteText"/>
        <w:ind w:left="567" w:hanging="567"/>
        <w:rPr>
          <w:sz w:val="24"/>
          <w:lang w:val="nl-NL"/>
        </w:rPr>
      </w:pPr>
      <w:r w:rsidRPr="008A6FBC">
        <w:rPr>
          <w:sz w:val="24"/>
          <w:lang w:val="nl-NL"/>
        </w:rPr>
        <w:t xml:space="preserve"> </w:t>
      </w:r>
      <w:r w:rsidRPr="008A6FBC">
        <w:rPr>
          <w:sz w:val="24"/>
          <w:lang w:val="nl-NL"/>
        </w:rPr>
        <w:tab/>
      </w:r>
      <w:r w:rsidR="00E920FE" w:rsidRPr="008A6FBC">
        <w:rPr>
          <w:sz w:val="24"/>
          <w:lang w:val="nl-NL"/>
        </w:rPr>
        <w:t>–</w:t>
      </w:r>
      <w:r w:rsidR="00E920FE" w:rsidRPr="008A6FBC">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footnote>
  <w:footnote w:id="6">
    <w:p w14:paraId="1596A819" w14:textId="37B12920"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Verordening (EG) nr. 1107/2009 van het Europees Parlement en de Raad van 21 oktober 2009 betreffende het op de markt brengen van gewasbeschermingsmiddelen en tot intrekking van de Richtlijnen 79/117/EEG en 91/414/EEG van de Raad (PB L 309 van 24.11.2009, blz. 1, ELI: </w:t>
      </w:r>
      <w:hyperlink r:id="rId15" w:tooltip="Geeft toegang tot dit document via de ELI URI." w:history="1">
        <w:r w:rsidRPr="008A6FBC">
          <w:rPr>
            <w:rStyle w:val="Hyperlink"/>
            <w:sz w:val="24"/>
            <w:lang w:val="nl-NL"/>
          </w:rPr>
          <w:t>http://data.europa.eu/eli/reg/2009/1107/oj</w:t>
        </w:r>
      </w:hyperlink>
      <w:r w:rsidRPr="008A6FBC">
        <w:rPr>
          <w:sz w:val="24"/>
          <w:lang w:val="nl-NL"/>
        </w:rPr>
        <w:t>).</w:t>
      </w:r>
    </w:p>
  </w:footnote>
  <w:footnote w:id="7">
    <w:p w14:paraId="4FBB710B" w14:textId="2C4C9E6E"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16" w:history="1">
        <w:r w:rsidRPr="008A6FBC">
          <w:rPr>
            <w:rStyle w:val="Hyperlink"/>
            <w:sz w:val="24"/>
            <w:lang w:val="nl-NL"/>
          </w:rPr>
          <w:t>https://www.testbiotech.org/wp-content/uploads/2024/12/Testbiotech_comment_‌maize_DP51291.pdf</w:t>
        </w:r>
      </w:hyperlink>
      <w:r w:rsidRPr="008A6FBC">
        <w:rPr>
          <w:sz w:val="24"/>
          <w:lang w:val="nl-NL"/>
        </w:rPr>
        <w:t>.</w:t>
      </w:r>
    </w:p>
  </w:footnote>
  <w:footnote w:id="8">
    <w:p w14:paraId="64EC820B" w14:textId="0626485A"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 </w:t>
      </w:r>
      <w:hyperlink r:id="rId17" w:history="1">
        <w:r w:rsidRPr="008A6FBC">
          <w:rPr>
            <w:rStyle w:val="Hyperlink"/>
            <w:sz w:val="24"/>
            <w:lang w:val="nl-NL"/>
          </w:rPr>
          <w:t>http://data.europa.eu/eli/reg_impl/2013/503/oj</w:t>
        </w:r>
      </w:hyperlink>
      <w:r w:rsidRPr="008A6FBC">
        <w:rPr>
          <w:sz w:val="24"/>
          <w:lang w:val="nl-NL"/>
        </w:rPr>
        <w:t>).</w:t>
      </w:r>
    </w:p>
  </w:footnote>
  <w:footnote w:id="9">
    <w:p w14:paraId="6045D209" w14:textId="270FB499"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Trtikova, M., Wikmark, O.G., Zemp, N., Widmer, A., Hilbeck, A., (2015) “Transgene Expression and Bt Protein Content in Transgenic Bt Maize (MON810) under Optimal and Stressful Environmental Conditions”, PLoS ONE 10(4): e0123011, </w:t>
      </w:r>
      <w:hyperlink r:id="rId18" w:history="1">
        <w:r w:rsidRPr="008A6FBC">
          <w:rPr>
            <w:rStyle w:val="Hyperlink"/>
            <w:sz w:val="24"/>
            <w:lang w:val="nl-NL"/>
          </w:rPr>
          <w:t>https://doi.org/10.1371/journal.pone.0123011</w:t>
        </w:r>
      </w:hyperlink>
      <w:r w:rsidRPr="008A6FBC">
        <w:rPr>
          <w:sz w:val="24"/>
          <w:lang w:val="nl-NL"/>
        </w:rPr>
        <w:t>.</w:t>
      </w:r>
    </w:p>
  </w:footnote>
  <w:footnote w:id="10">
    <w:p w14:paraId="71978EA4" w14:textId="50EAF8F0"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Zie bijvoorbeeld Schulz, R., Bub, S., Petschick, L.L., Stehle, S., Wolfram, J. (2021) “Applied pesticide toxicity shifts toward plants and invertebrates, even in GM crops”, Science 372(6537), blz. 81</w:t>
      </w:r>
      <w:r w:rsidRPr="008A6FBC">
        <w:rPr>
          <w:sz w:val="24"/>
          <w:lang w:val="nl-NL"/>
        </w:rPr>
        <w:noBreakHyphen/>
        <w:t xml:space="preserve">84, </w:t>
      </w:r>
      <w:hyperlink r:id="rId19" w:history="1">
        <w:r w:rsidRPr="008A6FBC">
          <w:rPr>
            <w:rStyle w:val="Hyperlink"/>
            <w:sz w:val="24"/>
            <w:lang w:val="nl-NL"/>
          </w:rPr>
          <w:t>https://doi.org/10.1126/science.abe1148</w:t>
        </w:r>
      </w:hyperlink>
      <w:r w:rsidRPr="008A6FBC">
        <w:rPr>
          <w:sz w:val="24"/>
          <w:lang w:val="nl-NL"/>
        </w:rPr>
        <w:t>; Bonny, S., “Genetically Modified Herbicide-Tolerant Crops, Weeds, and Herbicides: Overview and Impact”, Environmental Management, januari 2016;57(1), blz. 31</w:t>
      </w:r>
      <w:r w:rsidRPr="008A6FBC">
        <w:rPr>
          <w:sz w:val="24"/>
          <w:lang w:val="nl-NL"/>
        </w:rPr>
        <w:noBreakHyphen/>
        <w:t xml:space="preserve">48, </w:t>
      </w:r>
      <w:hyperlink r:id="rId20" w:history="1">
        <w:r w:rsidRPr="008A6FBC">
          <w:rPr>
            <w:rStyle w:val="Hyperlink"/>
            <w:sz w:val="24"/>
            <w:lang w:val="nl-NL"/>
          </w:rPr>
          <w:t>https://www.ncbi.nlm.nih.gov/pubmed/26296738</w:t>
        </w:r>
      </w:hyperlink>
      <w:r w:rsidRPr="008A6FBC">
        <w:rPr>
          <w:sz w:val="24"/>
          <w:lang w:val="nl-NL"/>
        </w:rPr>
        <w:t xml:space="preserve">; en Benbrook, C. M., “Impacts of genetically engineered crops on pesticide use in the U.S. – the first sixteen years”, Environmental Sciences Europe, 28 september 2012, Vol. 24(24), </w:t>
      </w:r>
      <w:hyperlink r:id="rId21" w:history="1">
        <w:r w:rsidRPr="008A6FBC">
          <w:rPr>
            <w:rStyle w:val="Hyperlink"/>
            <w:sz w:val="24"/>
            <w:lang w:val="nl-NL"/>
          </w:rPr>
          <w:t>https://doi.org/10.1186/2190-4715-24-24</w:t>
        </w:r>
      </w:hyperlink>
      <w:r w:rsidRPr="008A6FBC">
        <w:rPr>
          <w:sz w:val="24"/>
          <w:lang w:val="nl-NL"/>
        </w:rPr>
        <w:t>.</w:t>
      </w:r>
    </w:p>
  </w:footnote>
  <w:footnote w:id="11">
    <w:p w14:paraId="5E480E94" w14:textId="46784B4A"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Zie voor een overzicht hiervan: Rubio-Infante, N., Moreno-Fierros, L., “An overview of the safety and biological effects of Bacillus thuringiensis Cry toxins in mammals”, Journal of Applied Toxicology, mei 2016, 36(5), blz. 630-648, </w:t>
      </w:r>
      <w:hyperlink r:id="rId22" w:history="1">
        <w:r w:rsidRPr="008A6FBC">
          <w:rPr>
            <w:rStyle w:val="Hyperlink"/>
            <w:sz w:val="24"/>
            <w:lang w:val="nl-NL"/>
          </w:rPr>
          <w:t>https://onlinelibrary.wiley.com/doi/full/10.1002/jat.3252</w:t>
        </w:r>
      </w:hyperlink>
      <w:r w:rsidRPr="008A6FBC">
        <w:rPr>
          <w:sz w:val="24"/>
          <w:lang w:val="nl-NL"/>
        </w:rPr>
        <w:t>.</w:t>
      </w:r>
    </w:p>
  </w:footnote>
  <w:footnote w:id="12">
    <w:p w14:paraId="0D643E47" w14:textId="19F63640"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Bøhn, T., Macagnan Rover, C., Semenchuk, P. R., “</w:t>
      </w:r>
      <w:r w:rsidRPr="008A6FBC">
        <w:rPr>
          <w:i/>
          <w:sz w:val="24"/>
          <w:lang w:val="nl-NL"/>
        </w:rPr>
        <w:t>Daphnia magna</w:t>
      </w:r>
      <w:r w:rsidRPr="008A6FBC">
        <w:rPr>
          <w:sz w:val="24"/>
          <w:lang w:val="nl-NL"/>
        </w:rPr>
        <w:t xml:space="preserve"> negatively affected by chronic exposure to purified Cry-toxins”, Food and Chemical Toxicology, mei 2016, Volume 91, blz. 130</w:t>
      </w:r>
      <w:r w:rsidRPr="008A6FBC">
        <w:rPr>
          <w:sz w:val="24"/>
          <w:lang w:val="nl-NL"/>
        </w:rPr>
        <w:noBreakHyphen/>
        <w:t xml:space="preserve">140, </w:t>
      </w:r>
      <w:hyperlink r:id="rId23" w:history="1">
        <w:r w:rsidRPr="008A6FBC">
          <w:rPr>
            <w:rStyle w:val="Hyperlink"/>
            <w:sz w:val="24"/>
            <w:lang w:val="nl-NL"/>
          </w:rPr>
          <w:t>https://doi.org/10.1016/j.fct.2016.03.009</w:t>
        </w:r>
      </w:hyperlink>
      <w:r w:rsidRPr="008A6FBC">
        <w:rPr>
          <w:sz w:val="24"/>
          <w:lang w:val="nl-NL"/>
        </w:rPr>
        <w:t>.</w:t>
      </w:r>
    </w:p>
  </w:footnote>
  <w:footnote w:id="13">
    <w:p w14:paraId="59B5DC98" w14:textId="37292E2D"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Trtikova, M., Lohn, A., Binimelis, R., Chapela, I., Oehen, B., Zemp, N., Widmer, A., Hilbeck, A., (2017), “Teosinte in Europe – Searching for the Origin of a Novel Weed”, Scientific Reports, 7:1560, </w:t>
      </w:r>
      <w:hyperlink r:id="rId24" w:history="1">
        <w:r w:rsidRPr="008A6FBC">
          <w:rPr>
            <w:rStyle w:val="Hyperlink"/>
            <w:sz w:val="24"/>
            <w:lang w:val="nl-NL"/>
          </w:rPr>
          <w:t>https://doi.org/10.1038/s41598-017-01478-w</w:t>
        </w:r>
      </w:hyperlink>
      <w:r w:rsidRPr="008A6FBC">
        <w:rPr>
          <w:sz w:val="24"/>
          <w:lang w:val="nl-NL"/>
        </w:rPr>
        <w:t>.</w:t>
      </w:r>
    </w:p>
  </w:footnote>
  <w:footnote w:id="14">
    <w:p w14:paraId="30DC92E7" w14:textId="634C6AC1"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Strategische dialoog over de toekomst van de landbouw in de EU. Een gedeeld vooruitzicht op landbouw en voedsel in Europa, september 2024, </w:t>
      </w:r>
      <w:hyperlink r:id="rId25" w:history="1">
        <w:r w:rsidRPr="008A6FBC">
          <w:rPr>
            <w:rStyle w:val="Hyperlink"/>
            <w:sz w:val="24"/>
            <w:lang w:val="nl-NL"/>
          </w:rPr>
          <w:t>https://agriculture.ec.europa.eu/document/download/171329ff-0f50-4fa5-946f-aea11032172e_en?filename=strategic-dialogue-report-2024_en.pdf</w:t>
        </w:r>
      </w:hyperlink>
      <w:r w:rsidRPr="008A6FBC">
        <w:rPr>
          <w:sz w:val="24"/>
          <w:lang w:val="nl-NL"/>
        </w:rPr>
        <w:t>.</w:t>
      </w:r>
    </w:p>
  </w:footnote>
  <w:footnote w:id="15">
    <w:p w14:paraId="18FC8009" w14:textId="243C090C"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26" w:history="1">
        <w:r w:rsidRPr="008A6FBC">
          <w:rPr>
            <w:rStyle w:val="Hyperlink"/>
            <w:sz w:val="24"/>
            <w:lang w:val="nl-NL"/>
          </w:rPr>
          <w:t>https://www.ohchr.org/en/documents/thematic-reports/ahrc3448-report-special-rapporteur-right-food</w:t>
        </w:r>
      </w:hyperlink>
      <w:r w:rsidRPr="008A6FBC">
        <w:rPr>
          <w:sz w:val="24"/>
          <w:lang w:val="nl-NL"/>
        </w:rPr>
        <w:t>.</w:t>
      </w:r>
    </w:p>
  </w:footnote>
  <w:footnote w:id="16">
    <w:p w14:paraId="29C8A420" w14:textId="159F9A0F"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27" w:history="1">
        <w:r w:rsidRPr="008A6FBC">
          <w:rPr>
            <w:rStyle w:val="Hyperlink"/>
            <w:sz w:val="24"/>
            <w:lang w:val="nl-NL"/>
          </w:rPr>
          <w:t>https://www.un.org/sustainabledevelopment/health/</w:t>
        </w:r>
      </w:hyperlink>
      <w:r w:rsidRPr="008A6FBC">
        <w:rPr>
          <w:sz w:val="24"/>
          <w:lang w:val="nl-NL"/>
        </w:rPr>
        <w:t>.</w:t>
      </w:r>
    </w:p>
  </w:footnote>
  <w:footnote w:id="17">
    <w:p w14:paraId="114D24B6" w14:textId="600461CE"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28" w:history="1">
        <w:r w:rsidRPr="008A6FBC">
          <w:rPr>
            <w:rStyle w:val="Hyperlink"/>
            <w:sz w:val="24"/>
            <w:lang w:val="nl-NL"/>
          </w:rPr>
          <w:t>https://ec.europa.eu/commission/presscorner/detail/nl/ip_22_7834</w:t>
        </w:r>
      </w:hyperlink>
      <w:r w:rsidRPr="008A6FBC">
        <w:rPr>
          <w:sz w:val="24"/>
          <w:lang w:val="nl-NL"/>
        </w:rPr>
        <w:t>.</w:t>
      </w:r>
    </w:p>
  </w:footnote>
  <w:footnote w:id="18">
    <w:p w14:paraId="57861FB9" w14:textId="79F7AAE1"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29" w:history="1">
        <w:r w:rsidRPr="008A6FBC">
          <w:rPr>
            <w:rStyle w:val="Hyperlink"/>
            <w:sz w:val="24"/>
            <w:lang w:val="nl-NL"/>
          </w:rPr>
          <w:t>https://commission.europa.eu/document/2c64e540-c07a-4376-a1da-368d289f4afe_en</w:t>
        </w:r>
      </w:hyperlink>
      <w:r w:rsidRPr="008A6FBC">
        <w:rPr>
          <w:sz w:val="24"/>
          <w:lang w:val="nl-NL"/>
        </w:rPr>
        <w:t>.</w:t>
      </w:r>
    </w:p>
  </w:footnote>
  <w:footnote w:id="19">
    <w:p w14:paraId="4F7BF298" w14:textId="5DD3B281"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Overeenkomstig artikel 6, lid 3, van Verordening (EU) nr. 182/2011 “kan” de Commissie de vergunning alsnog verlenen indien in het comité van beroep geen steun van een gekwalificeerde meerderheid van de lidstaten is gevonden. Zij hoeft dit dus niet te doen.</w:t>
      </w:r>
    </w:p>
  </w:footnote>
  <w:footnote w:id="20">
    <w:p w14:paraId="61168AC2" w14:textId="01DCD117"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30" w:history="1">
        <w:r w:rsidRPr="008A6FBC">
          <w:rPr>
            <w:rStyle w:val="Hyperlink"/>
            <w:sz w:val="24"/>
            <w:lang w:val="nl-NL"/>
          </w:rPr>
          <w:t>https://food.ec.europa.eu/document/download/ee1a5aed-5303-4c32-bb59-813143a1df47_en?filename=sc_modif-genet_20250613_sum.pdf</w:t>
        </w:r>
      </w:hyperlink>
      <w:r w:rsidRPr="008A6FBC">
        <w:rPr>
          <w:sz w:val="24"/>
          <w:lang w:val="nl-NL"/>
        </w:rPr>
        <w:t>.</w:t>
      </w:r>
    </w:p>
  </w:footnote>
  <w:footnote w:id="21">
    <w:p w14:paraId="38D610A4" w14:textId="4188A34E"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31" w:history="1">
        <w:r w:rsidRPr="008A6FBC">
          <w:rPr>
            <w:rStyle w:val="Hyperlink"/>
            <w:sz w:val="24"/>
            <w:lang w:val="nl-NL"/>
          </w:rPr>
          <w:t>http://data.europa.eu/eli/reg/2002/178/oj</w:t>
        </w:r>
      </w:hyperlink>
      <w:r w:rsidRPr="008A6FBC">
        <w:rPr>
          <w:sz w:val="24"/>
          <w:lang w:val="nl-NL"/>
        </w:rPr>
        <w:t>).</w:t>
      </w:r>
    </w:p>
  </w:footnote>
  <w:footnote w:id="22">
    <w:p w14:paraId="07492718" w14:textId="06108FF1"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 xml:space="preserve">Als bedoeld in de bijlage bij de mededeling van de Commissie van 14 oktober 2020 getiteld “Strategie voor duurzame chemische stoffen – Op weg naar een gifvrij milieu”, COM(2020)0667, </w:t>
      </w:r>
      <w:hyperlink r:id="rId32" w:anchor="document2" w:history="1">
        <w:r w:rsidRPr="008A6FBC">
          <w:rPr>
            <w:rStyle w:val="Hyperlink"/>
            <w:sz w:val="24"/>
            <w:lang w:val="nl-NL"/>
          </w:rPr>
          <w:t>https://eur-lex.europa.eu/legal-content/NL/TXT/?uri=COM%3A2020%3A667%3AFIN#document2</w:t>
        </w:r>
      </w:hyperlink>
      <w:r w:rsidRPr="008A6FBC">
        <w:rPr>
          <w:sz w:val="24"/>
          <w:lang w:val="nl-NL"/>
        </w:rPr>
        <w:t>.</w:t>
      </w:r>
    </w:p>
  </w:footnote>
  <w:footnote w:id="23">
    <w:p w14:paraId="1C6D6A16" w14:textId="02A4F9D0"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hyperlink r:id="rId33" w:history="1">
        <w:r w:rsidRPr="008A6FBC">
          <w:rPr>
            <w:rStyle w:val="Hyperlink"/>
            <w:sz w:val="24"/>
            <w:lang w:val="nl-NL"/>
          </w:rPr>
          <w:t>https://tillymetz.lu/wp-content/uploads/2020/09/Co-signed-letter-MEP-Metz.pdf</w:t>
        </w:r>
      </w:hyperlink>
      <w:r w:rsidRPr="008A6FBC">
        <w:rPr>
          <w:sz w:val="24"/>
          <w:lang w:val="nl-NL"/>
        </w:rPr>
        <w:t>.</w:t>
      </w:r>
    </w:p>
  </w:footnote>
  <w:footnote w:id="24">
    <w:p w14:paraId="2C8B8178" w14:textId="217DCBF1" w:rsidR="00E920FE" w:rsidRPr="008A6FBC" w:rsidRDefault="00E920FE" w:rsidP="008A6FBC">
      <w:pPr>
        <w:pStyle w:val="FootnoteText"/>
        <w:ind w:left="567" w:hanging="567"/>
        <w:rPr>
          <w:sz w:val="24"/>
          <w:lang w:val="nl-NL"/>
        </w:rPr>
      </w:pPr>
      <w:r w:rsidRPr="008A6FBC">
        <w:rPr>
          <w:rStyle w:val="FootnoteReference"/>
          <w:sz w:val="24"/>
          <w:lang w:val="nl-NL"/>
        </w:rPr>
        <w:footnoteRef/>
      </w:r>
      <w:r w:rsidR="008A6FBC" w:rsidRPr="008A6FBC">
        <w:rPr>
          <w:sz w:val="24"/>
          <w:lang w:val="nl-NL"/>
        </w:rPr>
        <w:t xml:space="preserve"> </w:t>
      </w:r>
      <w:r w:rsidR="008A6FBC" w:rsidRPr="008A6FBC">
        <w:rPr>
          <w:sz w:val="24"/>
          <w:lang w:val="nl-NL"/>
        </w:rPr>
        <w:tab/>
      </w:r>
      <w:r w:rsidRPr="008A6FBC">
        <w:rPr>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00D7" w14:textId="77777777" w:rsidR="00064002" w:rsidRPr="008A6F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5112" w14:textId="77777777" w:rsidR="00064002" w:rsidRPr="008A6F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ACDF" w14:textId="77777777" w:rsidR="00064002" w:rsidRPr="008A6F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6516502">
    <w:abstractNumId w:val="9"/>
  </w:num>
  <w:num w:numId="2" w16cid:durableId="1004549244">
    <w:abstractNumId w:val="9"/>
  </w:num>
  <w:num w:numId="3" w16cid:durableId="479998950">
    <w:abstractNumId w:val="7"/>
  </w:num>
  <w:num w:numId="4" w16cid:durableId="1807236926">
    <w:abstractNumId w:val="7"/>
  </w:num>
  <w:num w:numId="5" w16cid:durableId="1941135388">
    <w:abstractNumId w:val="6"/>
  </w:num>
  <w:num w:numId="6" w16cid:durableId="871770755">
    <w:abstractNumId w:val="6"/>
  </w:num>
  <w:num w:numId="7" w16cid:durableId="353848182">
    <w:abstractNumId w:val="5"/>
  </w:num>
  <w:num w:numId="8" w16cid:durableId="2113620499">
    <w:abstractNumId w:val="5"/>
  </w:num>
  <w:num w:numId="9" w16cid:durableId="613176873">
    <w:abstractNumId w:val="4"/>
  </w:num>
  <w:num w:numId="10" w16cid:durableId="444734287">
    <w:abstractNumId w:val="4"/>
  </w:num>
  <w:num w:numId="11" w16cid:durableId="545602378">
    <w:abstractNumId w:val="8"/>
  </w:num>
  <w:num w:numId="12" w16cid:durableId="314190673">
    <w:abstractNumId w:val="8"/>
  </w:num>
  <w:num w:numId="13" w16cid:durableId="680350807">
    <w:abstractNumId w:val="3"/>
  </w:num>
  <w:num w:numId="14" w16cid:durableId="99692008">
    <w:abstractNumId w:val="3"/>
  </w:num>
  <w:num w:numId="15" w16cid:durableId="1144083854">
    <w:abstractNumId w:val="2"/>
  </w:num>
  <w:num w:numId="16" w16cid:durableId="1893803715">
    <w:abstractNumId w:val="2"/>
  </w:num>
  <w:num w:numId="17" w16cid:durableId="1175726103">
    <w:abstractNumId w:val="1"/>
  </w:num>
  <w:num w:numId="18" w16cid:durableId="1915502996">
    <w:abstractNumId w:val="1"/>
  </w:num>
  <w:num w:numId="19" w16cid:durableId="1722437844">
    <w:abstractNumId w:val="0"/>
  </w:num>
  <w:num w:numId="20" w16cid:durableId="1180192747">
    <w:abstractNumId w:val="0"/>
  </w:num>
  <w:num w:numId="21" w16cid:durableId="776145674">
    <w:abstractNumId w:val="9"/>
  </w:num>
  <w:num w:numId="22" w16cid:durableId="1104693916">
    <w:abstractNumId w:val="7"/>
  </w:num>
  <w:num w:numId="23" w16cid:durableId="802816136">
    <w:abstractNumId w:val="6"/>
  </w:num>
  <w:num w:numId="24" w16cid:durableId="1144079905">
    <w:abstractNumId w:val="5"/>
  </w:num>
  <w:num w:numId="25" w16cid:durableId="1389573507">
    <w:abstractNumId w:val="4"/>
  </w:num>
  <w:num w:numId="26" w16cid:durableId="638337650">
    <w:abstractNumId w:val="8"/>
  </w:num>
  <w:num w:numId="27" w16cid:durableId="383067953">
    <w:abstractNumId w:val="3"/>
  </w:num>
  <w:num w:numId="28" w16cid:durableId="1035035328">
    <w:abstractNumId w:val="2"/>
  </w:num>
  <w:num w:numId="29" w16cid:durableId="61951519">
    <w:abstractNumId w:val="1"/>
  </w:num>
  <w:num w:numId="30" w16cid:durableId="1878929477">
    <w:abstractNumId w:val="0"/>
  </w:num>
  <w:num w:numId="31" w16cid:durableId="1889802327">
    <w:abstractNumId w:val="9"/>
  </w:num>
  <w:num w:numId="32" w16cid:durableId="2079592726">
    <w:abstractNumId w:val="7"/>
  </w:num>
  <w:num w:numId="33" w16cid:durableId="739136369">
    <w:abstractNumId w:val="6"/>
  </w:num>
  <w:num w:numId="34" w16cid:durableId="1366326192">
    <w:abstractNumId w:val="5"/>
  </w:num>
  <w:num w:numId="35" w16cid:durableId="251936370">
    <w:abstractNumId w:val="4"/>
  </w:num>
  <w:num w:numId="36" w16cid:durableId="1115632575">
    <w:abstractNumId w:val="8"/>
  </w:num>
  <w:num w:numId="37" w16cid:durableId="1066417338">
    <w:abstractNumId w:val="3"/>
  </w:num>
  <w:num w:numId="38" w16cid:durableId="1105035198">
    <w:abstractNumId w:val="2"/>
  </w:num>
  <w:num w:numId="39" w16cid:durableId="1079795123">
    <w:abstractNumId w:val="1"/>
  </w:num>
  <w:num w:numId="40" w16cid:durableId="1833906712">
    <w:abstractNumId w:val="0"/>
  </w:num>
  <w:num w:numId="41" w16cid:durableId="1214539571">
    <w:abstractNumId w:val="10"/>
  </w:num>
  <w:num w:numId="42" w16cid:durableId="1320578700">
    <w:abstractNumId w:val="10"/>
  </w:num>
  <w:num w:numId="43" w16cid:durableId="1853645130">
    <w:abstractNumId w:val="10"/>
  </w:num>
  <w:num w:numId="44" w16cid:durableId="98574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NL"/>
    <w:docVar w:name="dvnumam" w:val="0"/>
    <w:docVar w:name="dvpe" w:val="775.588"/>
    <w:docVar w:name="dvtitre" w:val="Resolutie van het Europees Parlement van xx oktober 2025 over het ontwerp van uitvoeringsbesluit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D108064/03 – 2025/2807(RSP))"/>
  </w:docVars>
  <w:rsids>
    <w:rsidRoot w:val="003620E0"/>
    <w:rsid w:val="00002272"/>
    <w:rsid w:val="00064002"/>
    <w:rsid w:val="000677B9"/>
    <w:rsid w:val="00070FC0"/>
    <w:rsid w:val="000831BA"/>
    <w:rsid w:val="000A42CC"/>
    <w:rsid w:val="000E7DD9"/>
    <w:rsid w:val="000F18A4"/>
    <w:rsid w:val="0010095E"/>
    <w:rsid w:val="00125B37"/>
    <w:rsid w:val="00187494"/>
    <w:rsid w:val="001A604B"/>
    <w:rsid w:val="001F32AE"/>
    <w:rsid w:val="002767FF"/>
    <w:rsid w:val="002B18FE"/>
    <w:rsid w:val="002B5493"/>
    <w:rsid w:val="00343214"/>
    <w:rsid w:val="00361C00"/>
    <w:rsid w:val="003620E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49B"/>
    <w:rsid w:val="005F1B17"/>
    <w:rsid w:val="006037C0"/>
    <w:rsid w:val="006631B6"/>
    <w:rsid w:val="00680577"/>
    <w:rsid w:val="006F74FA"/>
    <w:rsid w:val="00731ADD"/>
    <w:rsid w:val="00734777"/>
    <w:rsid w:val="0074486C"/>
    <w:rsid w:val="00747932"/>
    <w:rsid w:val="00751A4A"/>
    <w:rsid w:val="00756632"/>
    <w:rsid w:val="00762C74"/>
    <w:rsid w:val="00786EC0"/>
    <w:rsid w:val="007D1690"/>
    <w:rsid w:val="007E22AD"/>
    <w:rsid w:val="00817416"/>
    <w:rsid w:val="00842779"/>
    <w:rsid w:val="00865F67"/>
    <w:rsid w:val="00881A7B"/>
    <w:rsid w:val="008840E5"/>
    <w:rsid w:val="00887B3E"/>
    <w:rsid w:val="008A6FBC"/>
    <w:rsid w:val="008C2AC6"/>
    <w:rsid w:val="00930C23"/>
    <w:rsid w:val="0093193B"/>
    <w:rsid w:val="009509D8"/>
    <w:rsid w:val="00950B64"/>
    <w:rsid w:val="00981893"/>
    <w:rsid w:val="00A1687D"/>
    <w:rsid w:val="00A43E52"/>
    <w:rsid w:val="00A4678D"/>
    <w:rsid w:val="00A52F8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42C"/>
    <w:rsid w:val="00D834A0"/>
    <w:rsid w:val="00D872DF"/>
    <w:rsid w:val="00D91E21"/>
    <w:rsid w:val="00DA7FCD"/>
    <w:rsid w:val="00E365E1"/>
    <w:rsid w:val="00E820A4"/>
    <w:rsid w:val="00E837FE"/>
    <w:rsid w:val="00E920F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AE395"/>
  <w15:chartTrackingRefBased/>
  <w15:docId w15:val="{CD45195F-E030-4864-820C-F425A092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20FE"/>
    <w:pPr>
      <w:spacing w:before="480" w:after="240"/>
    </w:pPr>
  </w:style>
  <w:style w:type="paragraph" w:customStyle="1" w:styleId="NormalHanging12a">
    <w:name w:val="NormalHanging12a"/>
    <w:basedOn w:val="Normal"/>
    <w:rsid w:val="00E920FE"/>
    <w:pPr>
      <w:spacing w:after="240"/>
      <w:ind w:left="567" w:hanging="567"/>
    </w:pPr>
  </w:style>
  <w:style w:type="paragraph" w:customStyle="1" w:styleId="NormalBold">
    <w:name w:val="NormalBold"/>
    <w:basedOn w:val="Normal"/>
    <w:rsid w:val="00E920FE"/>
    <w:rPr>
      <w:b/>
    </w:rPr>
  </w:style>
  <w:style w:type="character" w:styleId="Hyperlink">
    <w:name w:val="Hyperlink"/>
    <w:basedOn w:val="DefaultParagraphFont"/>
    <w:uiPriority w:val="99"/>
    <w:rsid w:val="00E920FE"/>
    <w:rPr>
      <w:color w:val="0563C1" w:themeColor="hyperlink"/>
      <w:u w:val="single"/>
    </w:rPr>
  </w:style>
  <w:style w:type="character" w:customStyle="1" w:styleId="Funotenzeichen">
    <w:name w:val="Fußnotenzeichen"/>
    <w:qFormat/>
    <w:rsid w:val="00E920FE"/>
    <w:rPr>
      <w:vertAlign w:val="superscript"/>
    </w:rPr>
  </w:style>
  <w:style w:type="paragraph" w:styleId="Revision">
    <w:name w:val="Revision"/>
    <w:hidden/>
    <w:uiPriority w:val="99"/>
    <w:semiHidden/>
    <w:rsid w:val="005D249B"/>
    <w:rPr>
      <w:sz w:val="24"/>
      <w:lang w:val="nl-NL"/>
    </w:rPr>
  </w:style>
  <w:style w:type="character" w:styleId="UnresolvedMention">
    <w:name w:val="Unresolved Mention"/>
    <w:basedOn w:val="DefaultParagraphFont"/>
    <w:uiPriority w:val="99"/>
    <w:semiHidden/>
    <w:unhideWhenUsed/>
    <w:rsid w:val="005D2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NL/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nl/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2634</Words>
  <Characters>15854</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2025-10-08T11:49:00Z</dcterms:created>
  <dcterms:modified xsi:type="dcterms:W3CDTF">2025-10-08T11:49:00Z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B10-0407/2025</vt:lpwstr>
  </property>
  <property fmtid="{D5CDD505-2E9C-101B-9397-08002B2CF9AE}" pid="4" name="&lt;Type&gt;">
    <vt:lpwstr>RR</vt:lpwstr>
  </property>
</Properties>
</file>