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3B65" w14:paraId="7E98FB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816575" w14:textId="661D0EA9" w:rsidR="00751A4A" w:rsidRPr="00923B65" w:rsidRDefault="00DC7E93" w:rsidP="0010095E">
            <w:pPr>
              <w:pStyle w:val="EPName"/>
            </w:pPr>
            <w:r w:rsidRPr="00923B65">
              <w:t>Parlament Europejski</w:t>
            </w:r>
          </w:p>
          <w:p w14:paraId="5E1E19EF" w14:textId="77777777" w:rsidR="00751A4A" w:rsidRPr="00923B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3B65">
              <w:t>2024</w:t>
            </w:r>
            <w:r w:rsidR="00817416" w:rsidRPr="00923B65">
              <w:t>-202</w:t>
            </w:r>
            <w:r w:rsidRPr="00923B65">
              <w:t>9</w:t>
            </w:r>
          </w:p>
        </w:tc>
        <w:tc>
          <w:tcPr>
            <w:tcW w:w="2268" w:type="dxa"/>
            <w:shd w:val="clear" w:color="auto" w:fill="auto"/>
          </w:tcPr>
          <w:p w14:paraId="43D5DD56" w14:textId="77777777" w:rsidR="00751A4A" w:rsidRPr="00923B65" w:rsidRDefault="00187494" w:rsidP="0010095E">
            <w:pPr>
              <w:pStyle w:val="EPLogo"/>
            </w:pPr>
            <w:r w:rsidRPr="00923B65">
              <w:rPr>
                <w:noProof/>
                <w:lang w:eastAsia="ja-JP"/>
              </w:rPr>
              <w:drawing>
                <wp:inline distT="0" distB="0" distL="0" distR="0" wp14:anchorId="7CD9C962" wp14:editId="4A0FAB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EA580D" w14:textId="77777777" w:rsidR="00D058B8" w:rsidRPr="00923B65" w:rsidRDefault="00D058B8" w:rsidP="004C5D52">
      <w:pPr>
        <w:pStyle w:val="LineTop"/>
      </w:pPr>
    </w:p>
    <w:p w14:paraId="3240DA4B" w14:textId="3A5FA611" w:rsidR="00680577" w:rsidRPr="00923B65" w:rsidRDefault="00DC7E93" w:rsidP="00680577">
      <w:pPr>
        <w:pStyle w:val="EPBodyTA1"/>
      </w:pPr>
      <w:r w:rsidRPr="00923B65">
        <w:t>TEKSTY PRZYJĘTE</w:t>
      </w:r>
    </w:p>
    <w:p w14:paraId="7D03347A" w14:textId="77777777" w:rsidR="00D058B8" w:rsidRPr="00923B65" w:rsidRDefault="00D058B8" w:rsidP="00D058B8">
      <w:pPr>
        <w:pStyle w:val="LineBottom"/>
      </w:pPr>
    </w:p>
    <w:p w14:paraId="26DBBCB8" w14:textId="437C04AF" w:rsidR="00DC7E93" w:rsidRPr="00923B65" w:rsidRDefault="00DC7E93" w:rsidP="00DC7E93">
      <w:pPr>
        <w:pStyle w:val="ATHeading1"/>
      </w:pPr>
      <w:bookmarkStart w:id="0" w:name="TANumber"/>
      <w:r w:rsidRPr="00923B65">
        <w:t>P10_</w:t>
      </w:r>
      <w:proofErr w:type="gramStart"/>
      <w:r w:rsidRPr="00923B65">
        <w:t>TA(</w:t>
      </w:r>
      <w:proofErr w:type="gramEnd"/>
      <w:r w:rsidRPr="00923B65">
        <w:t>2025)0</w:t>
      </w:r>
      <w:bookmarkEnd w:id="0"/>
      <w:r w:rsidR="00063CBD">
        <w:t>222</w:t>
      </w:r>
    </w:p>
    <w:p w14:paraId="16D09F8B" w14:textId="5507E1F3" w:rsidR="00DC7E93" w:rsidRPr="00923B65" w:rsidRDefault="00F5295B" w:rsidP="00F5295B">
      <w:pPr>
        <w:pStyle w:val="ATHeading2"/>
      </w:pPr>
      <w:r>
        <w:rPr>
          <w:bCs/>
        </w:rPr>
        <w:t>G</w:t>
      </w:r>
      <w:r w:rsidRPr="00F5295B">
        <w:rPr>
          <w:bCs/>
        </w:rPr>
        <w:t>enetycznie zmodyfikowana kukurydza</w:t>
      </w:r>
      <w:r>
        <w:rPr>
          <w:bCs/>
        </w:rPr>
        <w:t xml:space="preserve"> </w:t>
      </w:r>
      <w:r w:rsidRPr="00F5295B">
        <w:rPr>
          <w:bCs/>
        </w:rPr>
        <w:t>DP51291</w:t>
      </w:r>
    </w:p>
    <w:p w14:paraId="7B048E79" w14:textId="77777777" w:rsidR="00DC7E93" w:rsidRPr="00923B65" w:rsidRDefault="00DC7E93" w:rsidP="00DC7E93">
      <w:pPr>
        <w:rPr>
          <w:i/>
          <w:vanish/>
        </w:rPr>
      </w:pPr>
      <w:r w:rsidRPr="00923B65">
        <w:rPr>
          <w:i/>
        </w:rPr>
        <w:fldChar w:fldCharType="begin"/>
      </w:r>
      <w:r w:rsidRPr="00923B65">
        <w:rPr>
          <w:i/>
        </w:rPr>
        <w:instrText xml:space="preserve"> TC"(</w:instrText>
      </w:r>
      <w:bookmarkStart w:id="1" w:name="DocNumber"/>
      <w:r w:rsidRPr="00923B65">
        <w:rPr>
          <w:i/>
        </w:rPr>
        <w:instrText>B10-0407/2025</w:instrText>
      </w:r>
      <w:bookmarkEnd w:id="1"/>
      <w:r w:rsidRPr="00923B65">
        <w:rPr>
          <w:i/>
        </w:rPr>
        <w:instrText xml:space="preserve">)"\l3 \n&gt; \* MERGEFORMAT </w:instrText>
      </w:r>
      <w:r w:rsidRPr="00923B65">
        <w:rPr>
          <w:i/>
        </w:rPr>
        <w:fldChar w:fldCharType="end"/>
      </w:r>
    </w:p>
    <w:p w14:paraId="5B178039" w14:textId="77777777" w:rsidR="00DC7E93" w:rsidRPr="00923B65" w:rsidRDefault="00DC7E93" w:rsidP="00DC7E93">
      <w:pPr>
        <w:rPr>
          <w:vanish/>
        </w:rPr>
      </w:pPr>
      <w:bookmarkStart w:id="2" w:name="PE"/>
      <w:r w:rsidRPr="00923B65">
        <w:rPr>
          <w:vanish/>
        </w:rPr>
        <w:t>PE775.588</w:t>
      </w:r>
      <w:bookmarkEnd w:id="2"/>
    </w:p>
    <w:p w14:paraId="098B7321" w14:textId="07CC8578" w:rsidR="00DC7E93" w:rsidRPr="00923B65" w:rsidRDefault="00DC7E93" w:rsidP="00DC7E93">
      <w:pPr>
        <w:pStyle w:val="ATHeading3"/>
      </w:pPr>
      <w:bookmarkStart w:id="3" w:name="Sujet"/>
      <w:r w:rsidRPr="00923B65">
        <w:t xml:space="preserve">Rezolucja Parlamentu Europejskiego z dnia </w:t>
      </w:r>
      <w:r w:rsidR="00F5295B">
        <w:t>8 października</w:t>
      </w:r>
      <w:r w:rsidRPr="00923B65">
        <w:t xml:space="preserve"> 2025 r. w sprawie decyzji wykonawczej Komisji</w:t>
      </w:r>
      <w:r w:rsidR="00F5295B">
        <w:t xml:space="preserve"> (UE) 2025/1898 z dnia 22 września 2025 r. </w:t>
      </w:r>
      <w:r w:rsidRPr="00923B65">
        <w:t xml:space="preserve"> zezwalającej na wprowadzenie do obrotu, na mocy rozporządzenia (WE) nr 1829/2003 Parlamentu Europejskiego i Rady, produktów zawierających genetycznie zmodyfikowaną kukurydzę DP51291, składających się z niej lub z niej wyprodukowanych</w:t>
      </w:r>
      <w:bookmarkEnd w:id="3"/>
      <w:r w:rsidRPr="00923B65">
        <w:t xml:space="preserve"> </w:t>
      </w:r>
      <w:bookmarkStart w:id="4" w:name="References"/>
      <w:r w:rsidRPr="00923B65">
        <w:t>(2025/2807(RSP))</w:t>
      </w:r>
      <w:bookmarkEnd w:id="4"/>
    </w:p>
    <w:p w14:paraId="4D6A0E69" w14:textId="77777777" w:rsidR="00DC7E93" w:rsidRPr="00923B65" w:rsidRDefault="00DC7E93" w:rsidP="00DC7E93"/>
    <w:p w14:paraId="400378D5" w14:textId="77777777" w:rsidR="00867DFA" w:rsidRPr="00923B65" w:rsidRDefault="00867DFA" w:rsidP="00867DFA">
      <w:pPr>
        <w:pStyle w:val="EPComma"/>
        <w:jc w:val="both"/>
      </w:pPr>
      <w:bookmarkStart w:id="5" w:name="TextBodyBegin"/>
      <w:bookmarkEnd w:id="5"/>
      <w:r w:rsidRPr="00923B65">
        <w:rPr>
          <w:i/>
        </w:rPr>
        <w:t>Parlament Europejski</w:t>
      </w:r>
      <w:r w:rsidRPr="00923B65">
        <w:t>,</w:t>
      </w:r>
    </w:p>
    <w:p w14:paraId="603F4949" w14:textId="64924629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–</w:t>
      </w:r>
      <w:r w:rsidRPr="00923B65">
        <w:tab/>
        <w:t>uwzględniając decyzj</w:t>
      </w:r>
      <w:r w:rsidR="00F5295B" w:rsidRPr="00923B65">
        <w:t>ę</w:t>
      </w:r>
      <w:r w:rsidRPr="00923B65">
        <w:t xml:space="preserve"> wykonawcz</w:t>
      </w:r>
      <w:r w:rsidR="00F5295B" w:rsidRPr="00923B65">
        <w:t>ą</w:t>
      </w:r>
      <w:r w:rsidRPr="00923B65">
        <w:t xml:space="preserve"> Komisji </w:t>
      </w:r>
      <w:r w:rsidR="00F5295B">
        <w:t xml:space="preserve">(UE) 2025/1898 z dnia 22 września 2025 r. </w:t>
      </w:r>
      <w:r w:rsidRPr="00923B65">
        <w:t>zezwalając</w:t>
      </w:r>
      <w:r w:rsidR="00F5295B" w:rsidRPr="00923B65">
        <w:t>ą</w:t>
      </w:r>
      <w:r w:rsidRPr="00923B65">
        <w:t xml:space="preserve"> na wprowadzenie do obrotu, na mocy rozporządzenia (WE) nr 1829/2003 Parlamentu Europejskiego i Rady, produktów zawierających genetycznie zmodyfikowaną kukurydzę DP51291, składających się z niej lub z niej wyprodukowanych</w:t>
      </w:r>
      <w:r w:rsidR="0086523C">
        <w:rPr>
          <w:rStyle w:val="FootnoteReference"/>
        </w:rPr>
        <w:footnoteReference w:id="1"/>
      </w:r>
      <w:r w:rsidRPr="00923B65">
        <w:t>,</w:t>
      </w:r>
    </w:p>
    <w:p w14:paraId="76EB616A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–</w:t>
      </w:r>
      <w:r w:rsidRPr="00923B65">
        <w:tab/>
        <w:t>uwzględniając rozporządzenie Parlamentu Europejskiego i Rady (WE) nr 1829/2003 z dnia 22 września 2003 r. w sprawie genetycznie zmodyfikowanej żywności i paszy</w:t>
      </w:r>
      <w:r w:rsidRPr="00923B65">
        <w:rPr>
          <w:rStyle w:val="FootnoteReference"/>
          <w:szCs w:val="24"/>
        </w:rPr>
        <w:footnoteReference w:id="2"/>
      </w:r>
      <w:r w:rsidRPr="00923B65">
        <w:t>, w szczególności jego art. 7 ust. 3 i art. 19 ust. 3,</w:t>
      </w:r>
    </w:p>
    <w:p w14:paraId="3F050EED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–</w:t>
      </w:r>
      <w:r w:rsidRPr="00923B65">
        <w:tab/>
      </w:r>
      <w:r w:rsidRPr="00923B65">
        <w:rPr>
          <w:shd w:val="clear" w:color="auto" w:fill="FFFFFF"/>
        </w:rPr>
        <w:t>uwzględniając głosowanie – bez wydania opinii – przeprowadzone 13 czerwca 2025 r. przez Stały Komitet ds. Roślin, Zwierząt, Żywności i Pasz, o którym mowa w art. 35 rozporządzenia (WE) nr 1829/2003, oraz głosowanie komitetu odwoławczego z 15 lipca 2025 r., w wyniku którego również nie wydano opinii,</w:t>
      </w:r>
    </w:p>
    <w:p w14:paraId="401A77D5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–</w:t>
      </w:r>
      <w:r w:rsidRPr="00923B65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923B65">
        <w:rPr>
          <w:rStyle w:val="FootnoteReference"/>
          <w:szCs w:val="24"/>
        </w:rPr>
        <w:footnoteReference w:id="3"/>
      </w:r>
      <w:r w:rsidRPr="00923B65">
        <w:t>,</w:t>
      </w:r>
    </w:p>
    <w:p w14:paraId="52740922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lastRenderedPageBreak/>
        <w:t>–</w:t>
      </w:r>
      <w:r w:rsidRPr="00923B65">
        <w:tab/>
        <w:t>uwzględniając opinię Europejskiego Urzędu ds. Bezpieczeństwa Żywności (EFSA) z 2 października 2024 r. opublikowaną 11 listopada 2024 r.</w:t>
      </w:r>
      <w:r w:rsidRPr="00923B65">
        <w:rPr>
          <w:rStyle w:val="FootnoteReference"/>
          <w:szCs w:val="24"/>
        </w:rPr>
        <w:footnoteReference w:id="4"/>
      </w:r>
      <w:r w:rsidRPr="00923B65">
        <w:t>,</w:t>
      </w:r>
    </w:p>
    <w:p w14:paraId="488F46A0" w14:textId="77777777" w:rsidR="00867DFA" w:rsidRPr="00923B65" w:rsidRDefault="00867DFA" w:rsidP="00867DFA">
      <w:pPr>
        <w:pStyle w:val="NormalHanging12a"/>
        <w:widowControl/>
        <w:rPr>
          <w:szCs w:val="24"/>
          <w:shd w:val="clear" w:color="auto" w:fill="FFFFFF"/>
        </w:rPr>
      </w:pPr>
      <w:r w:rsidRPr="00923B65">
        <w:t>–</w:t>
      </w:r>
      <w:r w:rsidRPr="00923B65">
        <w:tab/>
      </w:r>
      <w:r w:rsidRPr="00923B65">
        <w:rPr>
          <w:shd w:val="clear" w:color="auto" w:fill="FFFFFF"/>
        </w:rPr>
        <w:t>uwzględniając swoje wcześniejsze rezolucje zawierające sprzeciw wobec zatwierdzania organizmów zmodyfikowanych genetycznie („GMO”)</w:t>
      </w:r>
      <w:r w:rsidRPr="00923B65">
        <w:rPr>
          <w:rStyle w:val="FootnoteReference"/>
          <w:szCs w:val="24"/>
          <w:shd w:val="clear" w:color="auto" w:fill="FFFFFF"/>
        </w:rPr>
        <w:footnoteReference w:id="5"/>
      </w:r>
      <w:r w:rsidRPr="00923B65">
        <w:rPr>
          <w:shd w:val="clear" w:color="auto" w:fill="FFFFFF"/>
        </w:rPr>
        <w:t>,</w:t>
      </w:r>
    </w:p>
    <w:p w14:paraId="3B9549D5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lastRenderedPageBreak/>
        <w:t>–</w:t>
      </w:r>
      <w:r w:rsidRPr="00923B65">
        <w:tab/>
        <w:t>uwzględniając art. 115 ust. 2 i 3 Regulaminu,</w:t>
      </w:r>
    </w:p>
    <w:p w14:paraId="693E44D2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–</w:t>
      </w:r>
      <w:r w:rsidRPr="00923B65">
        <w:tab/>
        <w:t>uwzględniając projekt rezolucji Komisji Ochrony Środowiska Naturalnego, Klimatu i Bezpieczeństwa Żywności,</w:t>
      </w:r>
    </w:p>
    <w:p w14:paraId="14E32154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A.</w:t>
      </w:r>
      <w:r w:rsidRPr="00923B65">
        <w:tab/>
        <w:t xml:space="preserve">mając na uwadze, że 27 stycznia 2023 r. przedsiębiorstwo </w:t>
      </w:r>
      <w:proofErr w:type="spellStart"/>
      <w:r w:rsidRPr="00923B65">
        <w:t>Corteva</w:t>
      </w:r>
      <w:proofErr w:type="spellEnd"/>
      <w:r w:rsidRPr="00923B65">
        <w:t xml:space="preserve"> </w:t>
      </w:r>
      <w:proofErr w:type="spellStart"/>
      <w:r w:rsidRPr="00923B65">
        <w:t>Agriscience</w:t>
      </w:r>
      <w:proofErr w:type="spellEnd"/>
      <w:r w:rsidRPr="00923B65">
        <w:t xml:space="preserve"> </w:t>
      </w:r>
      <w:proofErr w:type="spellStart"/>
      <w:r w:rsidRPr="00923B65">
        <w:t>Belgium</w:t>
      </w:r>
      <w:proofErr w:type="spellEnd"/>
      <w:r w:rsidRPr="00923B65">
        <w:t xml:space="preserve"> B.V. z siedzibą w Belgii zwróciło się do właściwego organu Niderlandów w imieniu przedsiębiorstwa </w:t>
      </w:r>
      <w:proofErr w:type="spellStart"/>
      <w:r w:rsidRPr="00923B65">
        <w:t>Corteva</w:t>
      </w:r>
      <w:proofErr w:type="spellEnd"/>
      <w:r w:rsidRPr="00923B65">
        <w:t xml:space="preserve"> </w:t>
      </w:r>
      <w:proofErr w:type="spellStart"/>
      <w:r w:rsidRPr="00923B65">
        <w:t>Agriscience</w:t>
      </w:r>
      <w:proofErr w:type="spellEnd"/>
      <w:r w:rsidRPr="00923B65">
        <w:t xml:space="preserve"> LLC z siedzibą w Stanach Zjednoczonych z wnioskiem o wprowadzenie do obrotu żywności, składników żywności i paszy zawierających genetycznie zmodyfikowaną kukurydzę DP51291 („kukurydza zmodyfikowana genetycznie”), składających się z niej lub z niej wyprodukowanych;</w:t>
      </w:r>
    </w:p>
    <w:p w14:paraId="688262B6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B.</w:t>
      </w:r>
      <w:r w:rsidRPr="00923B65">
        <w:tab/>
        <w:t xml:space="preserve">mając na uwadze, że kukurydza genetycznie zmodyfikowana wytwarza toksynę IPD072Aa chroniącą przed stonką kukurydzianą, białko acetylotransferazy </w:t>
      </w:r>
      <w:proofErr w:type="spellStart"/>
      <w:r w:rsidRPr="00923B65">
        <w:t>fosfinotrycyny</w:t>
      </w:r>
      <w:proofErr w:type="spellEnd"/>
      <w:r w:rsidRPr="00923B65">
        <w:t xml:space="preserve"> nadające tolerancję na herbicydy zawierające </w:t>
      </w:r>
      <w:proofErr w:type="spellStart"/>
      <w:r w:rsidRPr="00923B65">
        <w:t>glufosynat</w:t>
      </w:r>
      <w:proofErr w:type="spellEnd"/>
      <w:r w:rsidRPr="00923B65">
        <w:t xml:space="preserve"> oraz białko PMI jako marker selekcyjny;</w:t>
      </w:r>
    </w:p>
    <w:p w14:paraId="6D11E018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C.</w:t>
      </w:r>
      <w:r w:rsidRPr="00923B65">
        <w:tab/>
        <w:t xml:space="preserve">mając na uwadze, że </w:t>
      </w:r>
      <w:proofErr w:type="spellStart"/>
      <w:r w:rsidRPr="00923B65">
        <w:t>glufosynat</w:t>
      </w:r>
      <w:proofErr w:type="spellEnd"/>
      <w:r w:rsidRPr="00923B65">
        <w:t xml:space="preserve">, który uznaje się za herbicyd uzupełniający, sklasyfikowano jako substancję działająca szkodliwie na rozrodczość kategorii 1B oraz że w związku z tym spełnia on kryteria graniczne określone w rozporządzeniu </w:t>
      </w:r>
      <w:r w:rsidRPr="00923B65">
        <w:lastRenderedPageBreak/>
        <w:t>Parlamentu Europejskiego i Rady (WE) nr 1107/2009</w:t>
      </w:r>
      <w:r w:rsidRPr="00923B65">
        <w:rPr>
          <w:rStyle w:val="FootnoteReference"/>
          <w:szCs w:val="24"/>
        </w:rPr>
        <w:footnoteReference w:id="6"/>
      </w:r>
      <w:r w:rsidRPr="00923B65">
        <w:t xml:space="preserve">; mając na uwadze, że zezwolenie na stosowanie </w:t>
      </w:r>
      <w:proofErr w:type="spellStart"/>
      <w:r w:rsidRPr="00923B65">
        <w:t>glufosynatu</w:t>
      </w:r>
      <w:proofErr w:type="spellEnd"/>
      <w:r w:rsidRPr="00923B65">
        <w:t xml:space="preserve"> w Unii wygasło 31 lipca 2018 r.;</w:t>
      </w:r>
    </w:p>
    <w:p w14:paraId="61CEDBD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D.</w:t>
      </w:r>
      <w:r w:rsidRPr="00923B65">
        <w:tab/>
        <w:t xml:space="preserve">mając na uwadze, że IPD072Aa jest toksyną owadobójczą wytwarzaną przez bakterię </w:t>
      </w:r>
      <w:proofErr w:type="spellStart"/>
      <w:r w:rsidRPr="00923B65">
        <w:t>Pseudomonas</w:t>
      </w:r>
      <w:proofErr w:type="spellEnd"/>
      <w:r w:rsidRPr="00923B65">
        <w:t xml:space="preserve"> </w:t>
      </w:r>
      <w:proofErr w:type="spellStart"/>
      <w:r w:rsidRPr="00923B65">
        <w:t>chlororaphis</w:t>
      </w:r>
      <w:proofErr w:type="spellEnd"/>
      <w:r w:rsidRPr="00923B65">
        <w:t xml:space="preserve">, stworzoną w celu ochrony przed stonką kukurydzianą; </w:t>
      </w:r>
    </w:p>
    <w:p w14:paraId="57D4F9A9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Złożona inżynieria genetyczna</w:t>
      </w:r>
    </w:p>
    <w:p w14:paraId="207A9C77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E.</w:t>
      </w:r>
      <w:r w:rsidRPr="00923B65">
        <w:tab/>
        <w:t xml:space="preserve">mając na uwadze, że kukurydzę DP51291 opracowano w wyniku złożonego, wieloetapowego procesu inżynierii genetycznej, podczas którego najpierw stworzono genomowe „miejsce docelowe”, po czym nastąpiło </w:t>
      </w:r>
      <w:proofErr w:type="spellStart"/>
      <w:r w:rsidRPr="00923B65">
        <w:t>mikrowstrzeliwanie</w:t>
      </w:r>
      <w:proofErr w:type="spellEnd"/>
      <w:r w:rsidRPr="00923B65">
        <w:t xml:space="preserve"> z wykorzystaniem pięciu plazmidów, a jeszcze później – wprowadzenie kaset do miejsca docelowego za pośrednictwem </w:t>
      </w:r>
      <w:proofErr w:type="spellStart"/>
      <w:r w:rsidRPr="00923B65">
        <w:t>Agrobacterium</w:t>
      </w:r>
      <w:proofErr w:type="spellEnd"/>
      <w:r w:rsidRPr="00923B65">
        <w:t xml:space="preserve"> </w:t>
      </w:r>
      <w:proofErr w:type="spellStart"/>
      <w:r w:rsidRPr="00923B65">
        <w:t>tumefaciens</w:t>
      </w:r>
      <w:proofErr w:type="spellEnd"/>
      <w:r w:rsidRPr="00923B65">
        <w:t>;</w:t>
      </w:r>
    </w:p>
    <w:p w14:paraId="1AD1536E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F.</w:t>
      </w:r>
      <w:r w:rsidRPr="00923B65">
        <w:tab/>
        <w:t xml:space="preserve">mając na uwadze, że w wyniku tej modyfikacji genetycznej usunięto 113 par zasad DNA genomowego kukurydzy – co ujawniła analiza </w:t>
      </w:r>
      <w:proofErr w:type="spellStart"/>
      <w:r w:rsidRPr="00923B65">
        <w:t>bioinformatyczna</w:t>
      </w:r>
      <w:proofErr w:type="spellEnd"/>
      <w:r w:rsidRPr="00923B65">
        <w:t xml:space="preserve"> – i powstało kilka nowych otwartych ramek odczytu (ORF), wskazujących na potencjalne zaburzenia genomowe wynikające z transformacji; mając na uwadze, że pięć z tych ORF wykazało ponad 35 % tożsamości sekwencji ze znanymi alergenami, przekraczając tym samym próg powszechnie stosowany w ocenie alergenności</w:t>
      </w:r>
      <w:r w:rsidRPr="00923B65">
        <w:rPr>
          <w:rStyle w:val="FootnoteReference"/>
          <w:szCs w:val="24"/>
        </w:rPr>
        <w:footnoteReference w:id="7"/>
      </w:r>
      <w:r w:rsidRPr="00923B65">
        <w:t xml:space="preserve">; </w:t>
      </w:r>
    </w:p>
    <w:p w14:paraId="6B7A6066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Brak danych na temat praktyk rolniczych i czynników środowiskowych</w:t>
      </w:r>
    </w:p>
    <w:p w14:paraId="50D1272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G.</w:t>
      </w:r>
      <w:r w:rsidRPr="00923B65">
        <w:tab/>
        <w:t>mając na uwadze, że na mocy rozporządzenia wykonawczego Komisji (UE) nr 503/2013</w:t>
      </w:r>
      <w:r w:rsidRPr="00923B65">
        <w:rPr>
          <w:rStyle w:val="FootnoteReference"/>
          <w:szCs w:val="24"/>
        </w:rPr>
        <w:footnoteReference w:id="8"/>
      </w:r>
      <w:r w:rsidRPr="00923B65">
        <w:t xml:space="preserve"> wymagana jest ocena, czy oczekiwane praktyki rolnicze mają wpływ na ekspresję badanych punktów końcowych; mając na uwadze, że zgodnie z tym rozporządzeniem wykonawczym ma to szczególne znaczenie w przypadku roślin odpornych na herbicydy;</w:t>
      </w:r>
    </w:p>
    <w:p w14:paraId="02D81E5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H.</w:t>
      </w:r>
      <w:r w:rsidRPr="00923B65">
        <w:tab/>
        <w:t>mając na uwadze, że środowiskowe czynniki stresogenne, takie jak susze lub ekstremalne temperatury, mogą powodować nieoczekiwane wzorce ekspresji genów w nowo wprowadzonych sekwencjach DNA</w:t>
      </w:r>
      <w:r w:rsidRPr="00923B65">
        <w:rPr>
          <w:rStyle w:val="FootnoteReference"/>
          <w:szCs w:val="24"/>
        </w:rPr>
        <w:footnoteReference w:id="9"/>
      </w:r>
      <w:r w:rsidRPr="00923B65">
        <w:t xml:space="preserve">; </w:t>
      </w:r>
    </w:p>
    <w:p w14:paraId="3810F6A1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lastRenderedPageBreak/>
        <w:t>I.</w:t>
      </w:r>
      <w:r w:rsidRPr="00923B65">
        <w:tab/>
        <w:t>mając na uwadze, że badania polowe, które posłużyły do analizy składu i fenotypu kukurydzy zmodyfikowanej genetycznie, przeprowadzono w jednym sezonie wegetacyjnym (2021 r.) w Stanach Zjednoczonych i Kanadzie w warunkach pogodowych, które nie odzwierciedlają odpowiednio różnorodności regionów, w których uprawia się kukurydzę, w szczególności w krajach takich jak Brazylia;</w:t>
      </w:r>
    </w:p>
    <w:p w14:paraId="7DD23E1A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J.</w:t>
      </w:r>
      <w:r w:rsidRPr="00923B65">
        <w:tab/>
        <w:t>mając na uwadze, że w niektórych miejscach, w których przeprowadzono badania, odnotowano ekstremalne zdarzenia pogodowe; mając na uwadze, że nie przeprowadzono żadnych konkretnych badań w celu oceny przyszłych warunków, na które będzie miała wpływ trwająca zmiana klimatu;</w:t>
      </w:r>
    </w:p>
    <w:p w14:paraId="05A56475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K.</w:t>
      </w:r>
      <w:r w:rsidRPr="00923B65">
        <w:tab/>
        <w:t xml:space="preserve">mając na uwadze, że podczas badań polowych </w:t>
      </w:r>
      <w:proofErr w:type="spellStart"/>
      <w:r w:rsidRPr="00923B65">
        <w:t>glufosynat</w:t>
      </w:r>
      <w:proofErr w:type="spellEnd"/>
      <w:r w:rsidRPr="00923B65">
        <w:t xml:space="preserve"> zastosowano tylko raz, zgodnie z zaleceniami EFSA dotyczącymi dawkowania; mając jednak na uwadze, że w rzeczywistych praktykach rolniczych dawkowanie i częstotliwość stosowania herbicydów często znacznie się różnią w zależności od regionu i że czasem stosuje się je w wyższych dawkach lub wielokrotnie, co oznacza, że dane z badań polowych mogą nie odzwierciedlać w wystarczającym stopniu pełnej gamy warunków środowiskowych i rolniczych, w których można uprawiać lub importować kukurydzę zmodyfikowaną genetycznie;</w:t>
      </w:r>
    </w:p>
    <w:p w14:paraId="350B9D78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 xml:space="preserve">Brak oceny </w:t>
      </w:r>
      <w:proofErr w:type="spellStart"/>
      <w:r w:rsidRPr="00923B65">
        <w:rPr>
          <w:b/>
          <w:i/>
        </w:rPr>
        <w:t>glufosynatu</w:t>
      </w:r>
      <w:proofErr w:type="spellEnd"/>
      <w:r w:rsidRPr="00923B65">
        <w:rPr>
          <w:b/>
          <w:i/>
        </w:rPr>
        <w:t xml:space="preserve"> </w:t>
      </w:r>
    </w:p>
    <w:p w14:paraId="19A4CA94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L.</w:t>
      </w:r>
      <w:r w:rsidRPr="00923B65">
        <w:tab/>
        <w:t xml:space="preserve">mając na uwadze, że </w:t>
      </w:r>
      <w:proofErr w:type="spellStart"/>
      <w:r w:rsidRPr="00923B65">
        <w:t>glufosynat</w:t>
      </w:r>
      <w:proofErr w:type="spellEnd"/>
      <w:r w:rsidRPr="00923B65">
        <w:t xml:space="preserve"> wiąże się ze znacznym ryzykiem dla różnorodności biologicznej, toksyczności i długoterminowego zdrowia ekosystemów;</w:t>
      </w:r>
    </w:p>
    <w:p w14:paraId="61FC5C44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M.</w:t>
      </w:r>
      <w:r w:rsidRPr="00923B65">
        <w:tab/>
        <w:t>mając na uwadze, że zdecydowaną większość upraw zmodyfikowanych genetycznie poddano takiej modyfikacji genetycznej, aby osiągnąć tolerancję na co najmniej jeden herbicyd uzupełniający spośród herbicydów, które mogą być stosowane w trakcie całej uprawy roślin zmodyfikowanych genetycznie bez powodowania zamierania upraw, jak miałoby to miejsce w przypadku upraw nieodpornych na herbicydy; mając na uwadze, że według licznych badań uprawa genetycznie zmodyfikowanych roślin odpornych herbicydy prowadzi do większego zużycia herbicydów uzupełniających, co w dużej mierze spowodowane jest pojawieniem się chwastów odpornych na herbicydy</w:t>
      </w:r>
      <w:r w:rsidRPr="00923B65">
        <w:rPr>
          <w:rStyle w:val="FootnoteReference"/>
          <w:szCs w:val="24"/>
        </w:rPr>
        <w:footnoteReference w:id="10"/>
      </w:r>
      <w:r w:rsidRPr="00923B65">
        <w:t>;</w:t>
      </w:r>
    </w:p>
    <w:p w14:paraId="296C8801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N.</w:t>
      </w:r>
      <w:r w:rsidRPr="00923B65">
        <w:tab/>
        <w:t xml:space="preserve">mając na uwadze, że genetycznie zmodyfikowane uprawy odporne na herbicydy zmuszają rolników do stosowania systemu zwalczania chwastów, który jest w dużej mierze lub całkowicie uzależniony od herbicydów, ponieważ wyższa cena nasion zmodyfikowanych genetycznie ma uzasadnienie tylko wtedy, gdy rolnicy kupujący </w:t>
      </w:r>
      <w:r w:rsidRPr="00923B65">
        <w:lastRenderedPageBreak/>
        <w:t>takie nasiona rozpylają również herbicydy uzupełniające; mając na uwadze, że zwiększone uzależnienie od herbicydów uzupełniających w gospodarstwach, w których prowadzi się genetycznie zmodyfikowane uprawy, przyspiesza pojawianie się i rozprzestrzenianie chwastów odpornych na te herbicydy, w związku z czym konieczne staje się coraz szersze stosowanie herbicydów, co prowadzi do powstania błędnego koła;</w:t>
      </w:r>
    </w:p>
    <w:p w14:paraId="43AA460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O.</w:t>
      </w:r>
      <w:r w:rsidRPr="00923B65">
        <w:tab/>
        <w:t>mając na uwadze, że nadmierne uzależnienie od herbicydów przyniesie takie negatywne skutki jak pogorszenie zdrowia gleby, jakości wody oraz różnorodności biologicznej na powierzchni ziemi i pod ziemią, a także spowoduje większe narażenie ludzi i zwierząt, potencjalnie również w wyniku większych pozostałości herbicydów w żywności i paszy;</w:t>
      </w:r>
    </w:p>
    <w:p w14:paraId="764D9F88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P.</w:t>
      </w:r>
      <w:r w:rsidRPr="00923B65">
        <w:tab/>
        <w:t>mając na uwadze, że uznaje się, iż ocena pozostałości herbicydów i ich metabolitów na roślinach zmodyfikowanych genetycznie nie wchodzi w zakres kompetencji panelu EFSA ds. organizmów modyfikowanych genetycznie („panel EFSA ds. GMO”), w związku z czym procedura wydawania zezwoleń na GMO nie obejmuje takiej oceny;</w:t>
      </w:r>
    </w:p>
    <w:p w14:paraId="1AEE2390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Nierozstrzygnięte kwestie dotyczące toksyny IPD072Aa</w:t>
      </w:r>
    </w:p>
    <w:p w14:paraId="3CD7083B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Q.</w:t>
      </w:r>
      <w:r w:rsidRPr="00923B65">
        <w:tab/>
        <w:t>mając na uwadze, że rozporządzenie wykonawcze (UE) nr 503/2013 w celu wykazania, że zamierzone skutki modyfikacji genetycznej nie mają negatywnego wpływu na zdrowie ludzi i zwierząt, wymaga przeprowadzenia oceny toksykologicznej;</w:t>
      </w:r>
    </w:p>
    <w:p w14:paraId="20638CC3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R.</w:t>
      </w:r>
      <w:r w:rsidRPr="00923B65">
        <w:tab/>
        <w:t xml:space="preserve">mając na uwadze, że IPD072Aa jest białkiem nowym, co oznacza, iż jego stosowanie w rolnictwie i wprowadzanie do łańcucha żywnościowego nie może w pełni opierać się na dotychczasowych doświadczeniach; </w:t>
      </w:r>
    </w:p>
    <w:p w14:paraId="261BD9B3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S.</w:t>
      </w:r>
      <w:r w:rsidRPr="00923B65">
        <w:tab/>
        <w:t xml:space="preserve">mając na uwadze, że pomimo różnic zaobserwowane podobieństwa między toksynami IPD072Aa i </w:t>
      </w:r>
      <w:proofErr w:type="spellStart"/>
      <w:r w:rsidRPr="00923B65">
        <w:t>Bt</w:t>
      </w:r>
      <w:proofErr w:type="spellEnd"/>
      <w:r w:rsidRPr="00923B65">
        <w:t xml:space="preserve"> uwypuklają potrzebę przeprowadzenia w procesie oceny ryzyka starannej analizy; mając na uwadze, że niejedno badanie wykazało, iż toksyny </w:t>
      </w:r>
      <w:proofErr w:type="spellStart"/>
      <w:r w:rsidRPr="00923B65">
        <w:t>Bt</w:t>
      </w:r>
      <w:proofErr w:type="spellEnd"/>
      <w:r w:rsidRPr="00923B65">
        <w:t xml:space="preserve"> mogą wywoływać skutki uboczne w układzie immunologicznym, a przy tym wykazywać potencjalne właściwości adiuwantów</w:t>
      </w:r>
      <w:r w:rsidRPr="00923B65">
        <w:rPr>
          <w:rStyle w:val="FootnoteReference"/>
          <w:szCs w:val="24"/>
        </w:rPr>
        <w:footnoteReference w:id="11"/>
      </w:r>
      <w:r w:rsidRPr="00923B65">
        <w:t>, co oznacza, że mogą nasilać alergenność innych białek, z którymi wchodzą w styczność;</w:t>
      </w:r>
    </w:p>
    <w:p w14:paraId="157B7F1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T.</w:t>
      </w:r>
      <w:r w:rsidRPr="00923B65">
        <w:tab/>
        <w:t xml:space="preserve">mając na uwadze, że w jednym z badań naukowych wykazano, iż toksyczność toksyn </w:t>
      </w:r>
      <w:proofErr w:type="spellStart"/>
      <w:r w:rsidRPr="00923B65">
        <w:t>Bt</w:t>
      </w:r>
      <w:proofErr w:type="spellEnd"/>
      <w:r w:rsidRPr="00923B65">
        <w:t xml:space="preserve"> może również wzrosnąć wskutek interakcji z pozostałościami po opryskach herbicydami oraz że potrzebne są dalsze badania nad efektami skojarzonymi złożonych modyfikacji genetycznych (uprawy GMO, które zostały zmodyfikowane tak, aby były odporne na herbicydy i wytwarzały insektycydy w postaci toksyn </w:t>
      </w:r>
      <w:proofErr w:type="spellStart"/>
      <w:r w:rsidRPr="00923B65">
        <w:t>Bt</w:t>
      </w:r>
      <w:proofErr w:type="spellEnd"/>
      <w:r w:rsidRPr="00923B65">
        <w:t>)</w:t>
      </w:r>
      <w:r w:rsidRPr="00923B65">
        <w:rPr>
          <w:rStyle w:val="FootnoteReference"/>
          <w:szCs w:val="24"/>
        </w:rPr>
        <w:footnoteReference w:id="12"/>
      </w:r>
      <w:r w:rsidRPr="00923B65">
        <w:t xml:space="preserve">; mając jednak na uwadze, że uznaje się, iż ocena ewentualnych interakcji pozostałości herbicydów i ich </w:t>
      </w:r>
      <w:r w:rsidRPr="00923B65">
        <w:lastRenderedPageBreak/>
        <w:t xml:space="preserve">metabolitów z toksynami </w:t>
      </w:r>
      <w:proofErr w:type="spellStart"/>
      <w:r w:rsidRPr="00923B65">
        <w:t>Bt</w:t>
      </w:r>
      <w:proofErr w:type="spellEnd"/>
      <w:r w:rsidRPr="00923B65">
        <w:t xml:space="preserve"> nie wchodzi w zakres kompetencji panelu EFSA ds. GMO, w związku z czym nie dokonuje się jej podczas oceny ryzyka;</w:t>
      </w:r>
    </w:p>
    <w:p w14:paraId="3DC7981B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U.</w:t>
      </w:r>
      <w:r w:rsidRPr="00923B65">
        <w:tab/>
        <w:t>mając na uwadze, że w ocenie toksyczności IPD072Aa nie uwzględniono potencjalnych skutków synergicznych ani skumulowanych wynikających z interakcji z metabolitami roślin lub pozostałościami herbicydów;</w:t>
      </w:r>
    </w:p>
    <w:p w14:paraId="2D231C3A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V.</w:t>
      </w:r>
      <w:r w:rsidRPr="00923B65">
        <w:tab/>
        <w:t>mając na uwadze, że nie przedstawiono żadnych danych dotyczących gromadzenia się IPD072Aa w sieciach pokarmowych, jego rozprzestrzeniania się w środowisku, w szczególności tego, jak poprzez ścieki i obornik trafia do gleby i ekosystemów wodnych, ani wpływu tej toksyny na organizmy niebędące przedmiotem zwalczania;</w:t>
      </w:r>
    </w:p>
    <w:p w14:paraId="36FE9D6F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W.</w:t>
      </w:r>
      <w:r w:rsidRPr="00923B65">
        <w:tab/>
        <w:t xml:space="preserve">mając na uwadze, że zgłoszony w Hiszpanii i Francji potencjał przepływu genów do dzikich krewnych, takich jak </w:t>
      </w:r>
      <w:proofErr w:type="spellStart"/>
      <w:r w:rsidRPr="00923B65">
        <w:t>teosinte</w:t>
      </w:r>
      <w:proofErr w:type="spellEnd"/>
      <w:r w:rsidRPr="00923B65">
        <w:t xml:space="preserve">, budzi obawy dotyczące pozostawania </w:t>
      </w:r>
      <w:proofErr w:type="spellStart"/>
      <w:r w:rsidRPr="00923B65">
        <w:t>transgenu</w:t>
      </w:r>
      <w:proofErr w:type="spellEnd"/>
      <w:r w:rsidRPr="00923B65">
        <w:t xml:space="preserve"> w środowisku i możliwych skutków ekologicznych tego stanu rzeczy</w:t>
      </w:r>
      <w:r w:rsidRPr="00923B65">
        <w:rPr>
          <w:rStyle w:val="FootnoteReference"/>
          <w:szCs w:val="24"/>
        </w:rPr>
        <w:footnoteReference w:id="13"/>
      </w:r>
      <w:r w:rsidRPr="00923B65">
        <w:t>;</w:t>
      </w:r>
    </w:p>
    <w:p w14:paraId="60EA8649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X.</w:t>
      </w:r>
      <w:r w:rsidRPr="00923B65">
        <w:tab/>
        <w:t xml:space="preserve">mając na uwadze, że wymogi dotyczące monitorowania określone w rozporządzeniu wykonawczym (UE) nr 503/2013 nie są wystarczająco egzekwowane, a przy tym brak jest niezależnej weryfikacji danych złożonych przez </w:t>
      </w:r>
      <w:proofErr w:type="spellStart"/>
      <w:r w:rsidRPr="00923B65">
        <w:t>Corteva</w:t>
      </w:r>
      <w:proofErr w:type="spellEnd"/>
      <w:r w:rsidRPr="00923B65">
        <w:t xml:space="preserve"> </w:t>
      </w:r>
      <w:proofErr w:type="spellStart"/>
      <w:r w:rsidRPr="00923B65">
        <w:t>Agriscience</w:t>
      </w:r>
      <w:proofErr w:type="spellEnd"/>
      <w:r w:rsidRPr="00923B65">
        <w:t xml:space="preserve"> LLC;</w:t>
      </w:r>
    </w:p>
    <w:p w14:paraId="202E8BFE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Zapewnienie równych warunków działania na całym świecie i realizacja międzynarodowych zobowiązań Unii</w:t>
      </w:r>
    </w:p>
    <w:p w14:paraId="34BD5136" w14:textId="712B5E2C" w:rsidR="00867DFA" w:rsidRPr="00923B65" w:rsidRDefault="00867DFA" w:rsidP="00867DFA">
      <w:pPr>
        <w:pStyle w:val="NormalHanging12a"/>
        <w:widowControl/>
        <w:rPr>
          <w:b/>
          <w:szCs w:val="24"/>
        </w:rPr>
      </w:pPr>
      <w:r w:rsidRPr="00923B65">
        <w:t>Y.</w:t>
      </w:r>
      <w:r w:rsidRPr="00923B65">
        <w:rPr>
          <w:b/>
        </w:rPr>
        <w:tab/>
      </w:r>
      <w:r w:rsidRPr="00923B65">
        <w:t xml:space="preserve">mając na uwadze, że uprawa kukurydzy genetycznie zmodyfikowanej nie jest dozwolona w Unii; mając na uwadze, że przyjęcie decyzji </w:t>
      </w:r>
      <w:r w:rsidR="0086523C">
        <w:t xml:space="preserve">wykonawczej </w:t>
      </w:r>
      <w:r w:rsidRPr="00923B65">
        <w:t xml:space="preserve">Komisji </w:t>
      </w:r>
      <w:r w:rsidR="0086523C">
        <w:t xml:space="preserve">(UE) 2025/1898 </w:t>
      </w:r>
      <w:r w:rsidRPr="00923B65">
        <w:t>umożliwiłoby przywóz do Unii produktu, które nie spełnia norm przestrzeganych przez unijnych rolników, stawiając ich w niekorzystnej sytuacji konkurencyjnej;</w:t>
      </w:r>
    </w:p>
    <w:p w14:paraId="5DE15876" w14:textId="77777777" w:rsidR="00867DFA" w:rsidRPr="00923B65" w:rsidRDefault="00867DFA" w:rsidP="00867DFA">
      <w:pPr>
        <w:pStyle w:val="NormalHanging12a"/>
        <w:widowControl/>
        <w:rPr>
          <w:b/>
          <w:szCs w:val="24"/>
        </w:rPr>
      </w:pPr>
      <w:r w:rsidRPr="00923B65">
        <w:t>Z.</w:t>
      </w:r>
      <w:r w:rsidRPr="00923B65">
        <w:tab/>
        <w:t>mając na uwadze, że we wnioskach ze strategicznego dialogu na temat przyszłości rolnictwa w UE</w:t>
      </w:r>
      <w:r w:rsidRPr="00923B65">
        <w:rPr>
          <w:rStyle w:val="FootnoteReference"/>
          <w:szCs w:val="24"/>
        </w:rPr>
        <w:footnoteReference w:id="14"/>
      </w:r>
      <w:r w:rsidRPr="00923B65">
        <w:t xml:space="preserve"> wzywa się Komisję do ponownego ocenienia podejścia do kwestii wprowadzenia do obrotu produktów rolno-spożywczych w imporcie i eksporcie, z uwzględnieniem wyzwania, jakie stanowią rozbieżne standardy Unii i jej partnerów handlowych; mając na uwadze, że sprawiedliwsze stosunki handlowe na poziomie globalnym, spójne z celami na rzecz zdrowego środowiska, były jednym z głównych postulatów rolników podczas demonstracji w latach 2023 i 2024;</w:t>
      </w:r>
    </w:p>
    <w:p w14:paraId="290B8A86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AA.</w:t>
      </w:r>
      <w:r w:rsidRPr="00923B65">
        <w:tab/>
        <w:t>mając na uwadze, że w sprawozdaniu specjalnej sprawozdawczyni Organizacji Narodów Zjednoczonych (ONZ) ds. prawa do żywności z 2017 r. stwierdzono, że szczególnie w krajach rozwijających się niebezpieczne pestycydy mają katastrofalne skutki dla zdrowia</w:t>
      </w:r>
      <w:r w:rsidRPr="00923B65">
        <w:rPr>
          <w:rStyle w:val="FootnoteReference"/>
          <w:szCs w:val="24"/>
        </w:rPr>
        <w:footnoteReference w:id="15"/>
      </w:r>
      <w:r w:rsidRPr="00923B65">
        <w:t xml:space="preserve">; mając na uwadze, że cel zrównoważonego rozwoju ONZ nr 3.9 </w:t>
      </w:r>
      <w:r w:rsidRPr="00923B65">
        <w:lastRenderedPageBreak/>
        <w:t>zmierza do znacznego zmniejszenia do 2030 r. liczby zgonów i chorób spowodowanych niebezpiecznymi chemikaliami oraz zanieczyszczeniem i skażeniem powietrza, wody i gleby</w:t>
      </w:r>
      <w:r w:rsidRPr="00923B65">
        <w:rPr>
          <w:rStyle w:val="FootnoteReference"/>
          <w:szCs w:val="24"/>
        </w:rPr>
        <w:footnoteReference w:id="16"/>
      </w:r>
      <w:r w:rsidRPr="00923B65">
        <w:t>;</w:t>
      </w:r>
    </w:p>
    <w:p w14:paraId="3ACE007C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AB.</w:t>
      </w:r>
      <w:r w:rsidRPr="00923B65">
        <w:tab/>
        <w:t>mając na uwadze, że w grudniu 2022 r. podczas COP15 Konwencji ONZ o różnorodności biologicznej uzgodniono globalne ramy różnorodności biologicznej z Kunmingu/Montrealu, które obejmują globalny cel zmniejszenia ryzyka związanego z pestycydami o co najmniej 50 % do 2030 r.</w:t>
      </w:r>
      <w:r w:rsidRPr="00923B65">
        <w:rPr>
          <w:rStyle w:val="FootnoteReference"/>
          <w:szCs w:val="24"/>
        </w:rPr>
        <w:footnoteReference w:id="17"/>
      </w:r>
      <w:r w:rsidRPr="00923B65">
        <w:t>;</w:t>
      </w:r>
    </w:p>
    <w:p w14:paraId="0BF56BAB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AC.</w:t>
      </w:r>
      <w:r w:rsidRPr="00923B65">
        <w:tab/>
        <w:t>mając na uwadze, że zgodnie z rozporządzeniem (WE) nr 1829/2003 genetycznie zmodyfikowana żywność lub pasza nie mogą wywierać szkodliwego wpływu na zdrowie ludzi i zwierząt ani na środowisko naturalne, a przy sporządzaniu decyzji Komisja musi brać pod uwagę wszelkie istotne przepisy prawa Unii oraz inne uzasadnione czynniki istotne dla sprawy; mając na uwadze, że takie uzasadnione czynniki powinny obejmować zobowiązania Unii wynikające z celów zrównoważonego rozwoju ONZ i z Konwencji ONZ o różnorodności biologicznej;</w:t>
      </w:r>
    </w:p>
    <w:p w14:paraId="613031B2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Zmniejszenie zależności od paszy z importu</w:t>
      </w:r>
    </w:p>
    <w:p w14:paraId="10EF6ACF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AD.</w:t>
      </w:r>
      <w:r w:rsidRPr="00923B65">
        <w:tab/>
        <w:t xml:space="preserve">mając na uwadze, że jednym z wniosków wyciągniętych z kryzysu związanego z COVID-19 i trwającej wojny w Ukrainie jest konieczność uniezależnienia się Unii od niektórych materiałów krytycznych; mając na uwadze, że w piśmie określającym zadania komisarza Christophe’a Hansena przewodnicząca Komisji </w:t>
      </w:r>
      <w:proofErr w:type="spellStart"/>
      <w:r w:rsidRPr="00923B65">
        <w:t>Ursula</w:t>
      </w:r>
      <w:proofErr w:type="spellEnd"/>
      <w:r w:rsidRPr="00923B65">
        <w:t xml:space="preserve"> von der </w:t>
      </w:r>
      <w:proofErr w:type="spellStart"/>
      <w:r w:rsidRPr="00923B65">
        <w:t>Leyen</w:t>
      </w:r>
      <w:proofErr w:type="spellEnd"/>
      <w:r w:rsidRPr="00923B65">
        <w:t xml:space="preserve"> zwraca się do niego, by przeanalizował sposoby ograniczenia importu kluczowych towarów</w:t>
      </w:r>
      <w:r w:rsidRPr="00923B65">
        <w:rPr>
          <w:rStyle w:val="FootnoteReference"/>
          <w:szCs w:val="24"/>
        </w:rPr>
        <w:footnoteReference w:id="18"/>
      </w:r>
      <w:r w:rsidRPr="00923B65">
        <w:t>;</w:t>
      </w:r>
    </w:p>
    <w:p w14:paraId="4BE14550" w14:textId="77777777" w:rsidR="00867DFA" w:rsidRPr="00923B65" w:rsidRDefault="00867DFA" w:rsidP="00867DFA">
      <w:pPr>
        <w:pStyle w:val="NormalHanging12a"/>
        <w:widowControl/>
        <w:rPr>
          <w:b/>
          <w:i/>
          <w:iCs/>
          <w:szCs w:val="24"/>
        </w:rPr>
      </w:pPr>
      <w:r w:rsidRPr="00923B65">
        <w:rPr>
          <w:b/>
          <w:i/>
        </w:rPr>
        <w:t>Niedemokratyczny proces podejmowania decyzji</w:t>
      </w:r>
    </w:p>
    <w:p w14:paraId="1C2CFE28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AE.</w:t>
      </w:r>
      <w:r w:rsidRPr="00923B65">
        <w:tab/>
        <w:t>mając na uwadze, że w ósmej kadencji Parlament przyjął łącznie 36 rezolucji, w których sprzeciwił się wprowadzeniu do obrotu GMO do zastosowania w żywności i paszy (33 rezolucje) oraz uprawie GMO w Unii (trzy rezolucje); mając na uwadze, że w dziewiątej kadencji Parlament przyjął 38 rezolucji, w których sprzeciwił się wprowadzaniu GMO do obrotu, a w obecnej 10. kadencji przyjął już 11 rezolucji, w których sprzeciwił się wprowadzaniu GMO do obrotu;</w:t>
      </w:r>
    </w:p>
    <w:p w14:paraId="051F142F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AF.</w:t>
      </w:r>
      <w:r w:rsidRPr="00923B65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14:paraId="145605C6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AG.</w:t>
      </w:r>
      <w:r w:rsidRPr="00923B65">
        <w:tab/>
        <w:t>mając na uwadze, że żadna zmiana w prawie nie jest konieczna, by Komisja mogła nie zatwierdzić GMO, jeżeli w komitecie odwoławczym kwalifikowana większość państw członkowskich nie opowie się za zatwierdzeniem</w:t>
      </w:r>
      <w:r w:rsidRPr="00923B65">
        <w:rPr>
          <w:rStyle w:val="FootnoteReference"/>
          <w:szCs w:val="24"/>
        </w:rPr>
        <w:footnoteReference w:id="19"/>
      </w:r>
      <w:r w:rsidRPr="00923B65">
        <w:t>;</w:t>
      </w:r>
    </w:p>
    <w:p w14:paraId="43284755" w14:textId="77777777" w:rsidR="00867DFA" w:rsidRPr="00923B65" w:rsidRDefault="00867DFA" w:rsidP="00867DFA">
      <w:pPr>
        <w:pStyle w:val="NormalHanging12a"/>
        <w:widowControl/>
        <w:rPr>
          <w:szCs w:val="24"/>
        </w:rPr>
      </w:pPr>
      <w:r w:rsidRPr="00923B65">
        <w:t>AH.</w:t>
      </w:r>
      <w:r w:rsidRPr="00923B65">
        <w:tab/>
        <w:t xml:space="preserve">mając na uwadze, że 13 czerwca 2025 r. Stały Komitet ds. Roślin, Zwierząt, Żywności i Pasz, o którym mowa w art. 35 rozporządzenia (WE) nr 1829/2003, nie wydał opinii w </w:t>
      </w:r>
      <w:r w:rsidRPr="00923B65">
        <w:lastRenderedPageBreak/>
        <w:t>głosowaniu, co oznacza, że zatwierdzenia nie poparła kwalifikowana większość państw członkowskich</w:t>
      </w:r>
      <w:r w:rsidRPr="00923B65">
        <w:rPr>
          <w:rStyle w:val="FootnoteReference"/>
          <w:szCs w:val="24"/>
        </w:rPr>
        <w:footnoteReference w:id="20"/>
      </w:r>
      <w:r w:rsidRPr="00923B65">
        <w:t xml:space="preserve">; </w:t>
      </w:r>
      <w:r w:rsidRPr="00923B65">
        <w:rPr>
          <w:shd w:val="clear" w:color="auto" w:fill="FFFFFF"/>
        </w:rPr>
        <w:t>mając na uwadze, że w wyniku głosowania 15 lipca 2025 r. komitet odwoławczy po raz kolejny nie wydał opinii;</w:t>
      </w:r>
    </w:p>
    <w:p w14:paraId="7B456FE0" w14:textId="1981EE43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1.</w:t>
      </w:r>
      <w:r w:rsidRPr="00923B65">
        <w:rPr>
          <w:b w:val="0"/>
        </w:rPr>
        <w:tab/>
        <w:t>uważa, że decyzj</w:t>
      </w:r>
      <w:r w:rsidR="0086523C">
        <w:rPr>
          <w:b w:val="0"/>
        </w:rPr>
        <w:t>a</w:t>
      </w:r>
      <w:r w:rsidRPr="00923B65">
        <w:rPr>
          <w:b w:val="0"/>
        </w:rPr>
        <w:t xml:space="preserve"> wykonawcz</w:t>
      </w:r>
      <w:r w:rsidR="0086523C">
        <w:rPr>
          <w:b w:val="0"/>
        </w:rPr>
        <w:t>a</w:t>
      </w:r>
      <w:r w:rsidRPr="00923B65">
        <w:rPr>
          <w:b w:val="0"/>
        </w:rPr>
        <w:t xml:space="preserve"> Komisji </w:t>
      </w:r>
      <w:r w:rsidR="0086523C">
        <w:rPr>
          <w:b w:val="0"/>
        </w:rPr>
        <w:t xml:space="preserve">(UE) 2025/1898 </w:t>
      </w:r>
      <w:r w:rsidRPr="00923B65">
        <w:rPr>
          <w:b w:val="0"/>
        </w:rPr>
        <w:t>wykracza poza uprawnienia wykonawcze przewidziane w rozporządzeniu (WE) nr 1829/2003;</w:t>
      </w:r>
    </w:p>
    <w:p w14:paraId="31E1E913" w14:textId="06568C03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2.</w:t>
      </w:r>
      <w:r w:rsidRPr="00923B65">
        <w:rPr>
          <w:b w:val="0"/>
        </w:rPr>
        <w:tab/>
        <w:t>uważa, że decyzj</w:t>
      </w:r>
      <w:r w:rsidR="0086523C">
        <w:rPr>
          <w:b w:val="0"/>
        </w:rPr>
        <w:t>a</w:t>
      </w:r>
      <w:r w:rsidRPr="00923B65">
        <w:rPr>
          <w:b w:val="0"/>
        </w:rPr>
        <w:t xml:space="preserve"> wykonawcz</w:t>
      </w:r>
      <w:r w:rsidR="0086523C">
        <w:rPr>
          <w:b w:val="0"/>
        </w:rPr>
        <w:t>a</w:t>
      </w:r>
      <w:r w:rsidRPr="00923B65">
        <w:rPr>
          <w:b w:val="0"/>
        </w:rPr>
        <w:t xml:space="preserve"> Komisji </w:t>
      </w:r>
      <w:r w:rsidR="0086523C">
        <w:rPr>
          <w:b w:val="0"/>
        </w:rPr>
        <w:t xml:space="preserve">(UE) 2025/1898 </w:t>
      </w:r>
      <w:r w:rsidRPr="00923B65">
        <w:rPr>
          <w:b w:val="0"/>
        </w:rPr>
        <w:t>jest niespójn</w:t>
      </w:r>
      <w:r w:rsidR="0086523C">
        <w:rPr>
          <w:b w:val="0"/>
        </w:rPr>
        <w:t>a</w:t>
      </w:r>
      <w:r w:rsidRPr="00923B65">
        <w:rPr>
          <w:b w:val="0"/>
        </w:rPr>
        <w:t xml:space="preserve"> z prawem Unii, ponieważ nie odpowiada celowi rozporządzenia (WE) nr 1829/2003 zakładającemu – zgodnie z zasadami ogólnymi określonymi w rozporządzeniu Parlamentu Europejskiego i Rady (WE) nr 178/2002</w:t>
      </w:r>
      <w:r w:rsidRPr="00923B65">
        <w:rPr>
          <w:rStyle w:val="FootnoteReference"/>
          <w:b w:val="0"/>
          <w:szCs w:val="24"/>
        </w:rPr>
        <w:footnoteReference w:id="21"/>
      </w:r>
      <w:r w:rsidRPr="00923B65">
        <w:rPr>
          <w:b w:val="0"/>
        </w:rPr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14:paraId="42B74BC1" w14:textId="5A16B500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3.</w:t>
      </w:r>
      <w:r w:rsidRPr="00923B65">
        <w:rPr>
          <w:b w:val="0"/>
        </w:rPr>
        <w:tab/>
        <w:t xml:space="preserve">wzywa Komisję do wycofania decyzji wykonawczej </w:t>
      </w:r>
      <w:r w:rsidR="0086523C">
        <w:rPr>
          <w:b w:val="0"/>
        </w:rPr>
        <w:t xml:space="preserve">(UE) 2025/1898 </w:t>
      </w:r>
      <w:r w:rsidRPr="00923B65">
        <w:rPr>
          <w:b w:val="0"/>
        </w:rPr>
        <w:t>oraz do przedłożenia komitetowi nowego projektu;</w:t>
      </w:r>
    </w:p>
    <w:p w14:paraId="0CE1FA64" w14:textId="77777777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4.</w:t>
      </w:r>
      <w:r w:rsidRPr="00923B65">
        <w:rPr>
          <w:b w:val="0"/>
        </w:rPr>
        <w:tab/>
        <w:t>wzywa Komisję do zapewnienia zbieżności norm między Unią a jej partnerami w negocjacjach dotyczących umów o wolnym handlu, aby spełnić unijne normy bezpieczeństwa;</w:t>
      </w:r>
    </w:p>
    <w:p w14:paraId="544F888C" w14:textId="77777777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5.</w:t>
      </w:r>
      <w:r w:rsidRPr="00923B65">
        <w:rPr>
          <w:b w:val="0"/>
        </w:rPr>
        <w:tab/>
        <w:t>wzywa Komisję, aby zgodnie z podejściem „Jedno zdrowie” nie zezwalała na uprawę kukurydzy GM ze względu na zwiększone zagrożenia dla różnorodności biologicznej, bezpieczeństwa żywności i zdrowia pracowników;</w:t>
      </w:r>
    </w:p>
    <w:p w14:paraId="0A3641DF" w14:textId="77777777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6.</w:t>
      </w:r>
      <w:r w:rsidRPr="00923B65">
        <w:rPr>
          <w:b w:val="0"/>
        </w:rPr>
        <w:tab/>
        <w:t>oczekuje, że Komisja – w trybie pilnym – wywiąże się ze swojego zobowiązania</w:t>
      </w:r>
      <w:r w:rsidRPr="00923B65">
        <w:rPr>
          <w:rStyle w:val="FootnoteReference"/>
          <w:b w:val="0"/>
          <w:szCs w:val="24"/>
        </w:rPr>
        <w:footnoteReference w:id="22"/>
      </w:r>
      <w:r w:rsidRPr="00923B65">
        <w:rPr>
          <w:b w:val="0"/>
        </w:rPr>
        <w:t xml:space="preserve"> do przedstawienia wniosku, który zagwarantuje, że niebezpieczne chemikalia zakazane w Unii nie będą produkowane na eksport;</w:t>
      </w:r>
    </w:p>
    <w:p w14:paraId="5E89C7C6" w14:textId="77777777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t>7.</w:t>
      </w:r>
      <w:r w:rsidRPr="00923B65">
        <w:rPr>
          <w:b w:val="0"/>
        </w:rPr>
        <w:tab/>
        <w:t>z zadowoleniem przyjmuje fakt, że w skierowanym do posłów i posłanek piśmie z 11 września 2020 r. Komisja w końcu przyznała, iż przy podejmowaniu decyzji o zezwoleniu na wprowadzenie GMO należy uwzględniać zasady zrównoważonego rozwoju</w:t>
      </w:r>
      <w:r w:rsidRPr="00923B65">
        <w:rPr>
          <w:rStyle w:val="FootnoteReference"/>
          <w:b w:val="0"/>
          <w:szCs w:val="24"/>
        </w:rPr>
        <w:footnoteReference w:id="23"/>
      </w:r>
      <w:r w:rsidRPr="00923B65">
        <w:rPr>
          <w:b w:val="0"/>
        </w:rPr>
        <w:t>; jest jednak głęboko rozczarowany, że od tego czasu Komisja wciąż zezwala na przywóz GMO do Unii mimo sprzeciwu Parlamentu i większości państw członkowskich;</w:t>
      </w:r>
    </w:p>
    <w:p w14:paraId="66C1E6DF" w14:textId="77777777" w:rsidR="00867DFA" w:rsidRPr="00923B65" w:rsidRDefault="00867DFA" w:rsidP="00867DFA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923B65">
        <w:rPr>
          <w:b w:val="0"/>
        </w:rPr>
        <w:lastRenderedPageBreak/>
        <w:t>8.</w:t>
      </w:r>
      <w:r w:rsidRPr="00923B65">
        <w:rPr>
          <w:b w:val="0"/>
        </w:rPr>
        <w:tab/>
        <w:t>ponownie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zawierające wyjaśnienie sposobu, w jaki zapewniają one przestrzeganie zasady „nie szkodzić”</w:t>
      </w:r>
      <w:r w:rsidRPr="00923B65">
        <w:rPr>
          <w:rStyle w:val="FootnoteReference"/>
          <w:b w:val="0"/>
          <w:szCs w:val="24"/>
        </w:rPr>
        <w:footnoteReference w:id="24"/>
      </w:r>
      <w:r w:rsidRPr="00923B65">
        <w:rPr>
          <w:b w:val="0"/>
        </w:rPr>
        <w:t>;</w:t>
      </w:r>
    </w:p>
    <w:p w14:paraId="37C2E117" w14:textId="2D9B3AE6" w:rsidR="00923B65" w:rsidRPr="00923B65" w:rsidRDefault="00867DFA" w:rsidP="00923B65">
      <w:pPr>
        <w:pStyle w:val="NormalBold"/>
        <w:widowControl/>
        <w:spacing w:after="240"/>
        <w:ind w:left="567" w:hanging="567"/>
      </w:pPr>
      <w:r w:rsidRPr="00923B65">
        <w:rPr>
          <w:b w:val="0"/>
        </w:rPr>
        <w:t>9.</w:t>
      </w:r>
      <w:r w:rsidRPr="00923B65">
        <w:rPr>
          <w:b w:val="0"/>
        </w:rPr>
        <w:tab/>
        <w:t>zobowiązuje swoją przewodniczącą do przekazania niniejszej rezolucji Radzie i Komisji oraz rządom i parlamentom państw członkowskich.</w:t>
      </w:r>
    </w:p>
    <w:p w14:paraId="3C756FE1" w14:textId="3F8E04A1" w:rsidR="00E365E1" w:rsidRPr="00923B65" w:rsidRDefault="00E365E1" w:rsidP="00DC7E93"/>
    <w:sectPr w:rsidR="00E365E1" w:rsidRPr="00923B65" w:rsidSect="00923B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EC10B" w14:textId="77777777" w:rsidR="00DC7E93" w:rsidRPr="00923B65" w:rsidRDefault="00DC7E93">
      <w:r w:rsidRPr="00923B65">
        <w:separator/>
      </w:r>
    </w:p>
  </w:endnote>
  <w:endnote w:type="continuationSeparator" w:id="0">
    <w:p w14:paraId="20550AC3" w14:textId="77777777" w:rsidR="00DC7E93" w:rsidRPr="00923B65" w:rsidRDefault="00DC7E93">
      <w:r w:rsidRPr="00923B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76630" w14:textId="77777777" w:rsidR="00064002" w:rsidRPr="00923B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BA5B" w14:textId="77777777" w:rsidR="00064002" w:rsidRPr="00923B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40F7" w14:textId="77777777" w:rsidR="00064002" w:rsidRPr="00923B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A964" w14:textId="77777777" w:rsidR="00DC7E93" w:rsidRPr="00923B65" w:rsidRDefault="00DC7E93">
      <w:r w:rsidRPr="00923B65">
        <w:separator/>
      </w:r>
    </w:p>
  </w:footnote>
  <w:footnote w:type="continuationSeparator" w:id="0">
    <w:p w14:paraId="2ECED78A" w14:textId="77777777" w:rsidR="00DC7E93" w:rsidRPr="00923B65" w:rsidRDefault="00DC7E93">
      <w:r w:rsidRPr="00923B65">
        <w:continuationSeparator/>
      </w:r>
    </w:p>
  </w:footnote>
  <w:footnote w:id="1">
    <w:p w14:paraId="5A9A743A" w14:textId="561255C8" w:rsidR="0086523C" w:rsidRPr="0086523C" w:rsidRDefault="0086523C" w:rsidP="0086523C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86523C">
        <w:rPr>
          <w:lang w:val="fi-FI"/>
        </w:rPr>
        <w:t xml:space="preserve"> </w:t>
      </w:r>
      <w:r w:rsidRPr="0086523C">
        <w:rPr>
          <w:lang w:val="fi-FI"/>
        </w:rPr>
        <w:tab/>
      </w:r>
      <w:proofErr w:type="spellStart"/>
      <w:r>
        <w:rPr>
          <w:lang w:val="fi-FI"/>
        </w:rPr>
        <w:t>Dz.U</w:t>
      </w:r>
      <w:proofErr w:type="spellEnd"/>
      <w:r w:rsidRPr="0086523C">
        <w:rPr>
          <w:lang w:val="fi-FI"/>
        </w:rPr>
        <w:t>.</w:t>
      </w:r>
      <w:r w:rsidRPr="0086523C">
        <w:rPr>
          <w:sz w:val="24"/>
          <w:szCs w:val="24"/>
          <w:lang w:val="fi-FI"/>
        </w:rPr>
        <w:t xml:space="preserve"> L, 2025/1898, 23.9.2025, ELI: </w:t>
      </w:r>
      <w:r w:rsidR="00063CBD">
        <w:fldChar w:fldCharType="begin"/>
      </w:r>
      <w:r w:rsidR="00063CBD" w:rsidRPr="00063CBD">
        <w:rPr>
          <w:lang w:val="fi-FI"/>
        </w:rPr>
        <w:instrText>HYPERLINK "http://data.europa.eu/eli/dec_impl/2025/1898/oj"</w:instrText>
      </w:r>
      <w:r w:rsidR="00063CBD">
        <w:fldChar w:fldCharType="separate"/>
      </w:r>
      <w:r w:rsidRPr="0086523C">
        <w:rPr>
          <w:rStyle w:val="Hyperlink"/>
          <w:sz w:val="24"/>
          <w:szCs w:val="24"/>
          <w:lang w:val="fi-FI"/>
        </w:rPr>
        <w:t>http://data.europa.eu/eli/dec_impl/2025/1898/oj</w:t>
      </w:r>
      <w:r w:rsidR="00063CBD">
        <w:rPr>
          <w:rStyle w:val="Hyperlink"/>
          <w:sz w:val="24"/>
          <w:szCs w:val="24"/>
          <w:lang w:val="fi-FI"/>
        </w:rPr>
        <w:fldChar w:fldCharType="end"/>
      </w:r>
      <w:r>
        <w:rPr>
          <w:sz w:val="24"/>
          <w:szCs w:val="24"/>
          <w:lang w:val="fi-FI"/>
        </w:rPr>
        <w:t>.</w:t>
      </w:r>
    </w:p>
  </w:footnote>
  <w:footnote w:id="2">
    <w:p w14:paraId="5E5FA343" w14:textId="63B2640D" w:rsidR="00867DFA" w:rsidRPr="00923B65" w:rsidRDefault="00867DFA" w:rsidP="00923B65">
      <w:pPr>
        <w:pStyle w:val="FootnoteText"/>
        <w:ind w:left="567" w:hanging="567"/>
        <w:rPr>
          <w:b/>
          <w:bCs/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>Dz.U. L 268 z 18.10.2003, s. 1, ELI: 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"http://data.europa.eu/eli/reg/2003/1829/oj"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http://data.europa.eu/eli/reg/2003/1829/oj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u w:val="single"/>
          <w:lang w:val="pl-PL"/>
        </w:rPr>
        <w:t>.</w:t>
      </w:r>
    </w:p>
  </w:footnote>
  <w:footnote w:id="3">
    <w:p w14:paraId="16073063" w14:textId="28BEBCF5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Dz.U. L 55 z </w:t>
      </w:r>
      <w:proofErr w:type="gramStart"/>
      <w:r w:rsidRPr="00923B65">
        <w:rPr>
          <w:sz w:val="24"/>
          <w:lang w:val="pl-PL"/>
        </w:rPr>
        <w:t>28.2.2011</w:t>
      </w:r>
      <w:proofErr w:type="gramEnd"/>
      <w:r w:rsidRPr="00923B65">
        <w:rPr>
          <w:sz w:val="24"/>
          <w:lang w:val="pl-PL"/>
        </w:rPr>
        <w:t xml:space="preserve">, s. 13, ELI: </w:t>
      </w:r>
      <w:hyperlink r:id="rId1" w:history="1">
        <w:r w:rsidRPr="00923B65">
          <w:rPr>
            <w:rStyle w:val="Hyperlink"/>
            <w:sz w:val="24"/>
            <w:lang w:val="pl-PL"/>
          </w:rPr>
          <w:t>http://data.europa.eu/eli/reg/2011/182/oj</w:t>
        </w:r>
      </w:hyperlink>
      <w:r w:rsidRPr="00923B65">
        <w:rPr>
          <w:sz w:val="24"/>
          <w:lang w:val="pl-PL"/>
        </w:rPr>
        <w:t>.</w:t>
      </w:r>
    </w:p>
  </w:footnote>
  <w:footnote w:id="4">
    <w:p w14:paraId="2CD800C9" w14:textId="7C187B80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unotenzeichen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Opinia naukowa panelu EFSA ds. organizmów modyfikowanych genetycznie dotycząca oceny genetycznie zmodyfikowanej kukurydzy DP51291 (wniosek GMFF-2021-0071). Dziennik EFSA 2024; 22(11):9059; </w:t>
      </w:r>
      <w:r w:rsidR="00063CBD">
        <w:fldChar w:fldCharType="begin"/>
      </w:r>
      <w:r w:rsidR="00063CBD" w:rsidRPr="00063CBD">
        <w:rPr>
          <w:lang w:val="pl-PL"/>
        </w:rPr>
        <w:instrText>HYPERLINK "https://doi.org/10.2903/j.efsa.2024.9059"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https://doi.org/10.2903/j.efsa.2024.9059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5">
    <w:p w14:paraId="75A2E90C" w14:textId="4DBA8FF9" w:rsidR="00867DFA" w:rsidRPr="00923B65" w:rsidRDefault="00867DFA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color w:val="000000" w:themeColor="text1"/>
          <w:sz w:val="24"/>
          <w:lang w:val="pl-PL"/>
        </w:rPr>
        <w:t xml:space="preserve"> </w:t>
      </w:r>
      <w:r w:rsidR="00923B65" w:rsidRPr="00923B65">
        <w:rPr>
          <w:color w:val="000000" w:themeColor="text1"/>
          <w:sz w:val="24"/>
          <w:lang w:val="pl-PL"/>
        </w:rPr>
        <w:tab/>
      </w:r>
      <w:r w:rsidRPr="00923B65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14:paraId="05D35CE3" w14:textId="093218A7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"http://data.europa.eu/eli/C/2025/1797/oj"</w:instrText>
      </w:r>
      <w:r w:rsidR="00063CBD">
        <w:fldChar w:fldCharType="separate"/>
      </w:r>
      <w:r w:rsidR="00867DFA" w:rsidRPr="00923B65">
        <w:rPr>
          <w:rStyle w:val="Hyperlink"/>
          <w:sz w:val="24"/>
          <w:lang w:val="pl-PL"/>
        </w:rPr>
        <w:t>http://data.europa.eu/eli/C/2025/1797/oj</w:t>
      </w:r>
      <w:r w:rsidR="00063CBD">
        <w:rPr>
          <w:rStyle w:val="Hyperlink"/>
          <w:sz w:val="24"/>
          <w:lang w:val="pl-PL"/>
        </w:rPr>
        <w:fldChar w:fldCharType="end"/>
      </w:r>
      <w:r w:rsidR="00867DFA" w:rsidRPr="00923B65">
        <w:rPr>
          <w:color w:val="000000" w:themeColor="text1"/>
          <w:sz w:val="24"/>
          <w:lang w:val="pl-PL"/>
        </w:rPr>
        <w:t>).</w:t>
      </w:r>
    </w:p>
    <w:p w14:paraId="189F16C2" w14:textId="61E8864C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</w:t>
      </w:r>
      <w:proofErr w:type="gramStart"/>
      <w:r w:rsidR="00867DFA" w:rsidRPr="00923B65">
        <w:rPr>
          <w:color w:val="000000" w:themeColor="text1"/>
          <w:sz w:val="24"/>
          <w:lang w:val="pl-PL"/>
        </w:rPr>
        <w:t>4.4.2025</w:t>
      </w:r>
      <w:proofErr w:type="gramEnd"/>
      <w:r w:rsidR="00867DFA" w:rsidRPr="00923B65">
        <w:rPr>
          <w:color w:val="000000" w:themeColor="text1"/>
          <w:sz w:val="24"/>
          <w:lang w:val="pl-PL"/>
        </w:rPr>
        <w:t xml:space="preserve">, ELI: </w:t>
      </w:r>
      <w:hyperlink r:id="rId2" w:history="1">
        <w:r w:rsidR="00867DFA" w:rsidRPr="00923B65">
          <w:rPr>
            <w:rStyle w:val="Hyperlink"/>
            <w:sz w:val="24"/>
            <w:lang w:val="pl-PL"/>
          </w:rPr>
          <w:t>http://data.europa.eu/eli/C/2025/1798/oj</w:t>
        </w:r>
      </w:hyperlink>
      <w:r w:rsidR="00867DFA" w:rsidRPr="00923B65">
        <w:rPr>
          <w:color w:val="000000" w:themeColor="text1"/>
          <w:sz w:val="24"/>
          <w:lang w:val="pl-PL"/>
        </w:rPr>
        <w:t>).</w:t>
      </w:r>
    </w:p>
    <w:p w14:paraId="2A38BCFC" w14:textId="30750453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867DFA" w:rsidRPr="00923B65">
        <w:rPr>
          <w:color w:val="000000" w:themeColor="text1"/>
          <w:sz w:val="24"/>
          <w:lang w:val="pl-PL"/>
        </w:rPr>
        <w:t>subkombinacji</w:t>
      </w:r>
      <w:proofErr w:type="spellEnd"/>
      <w:r w:rsidR="00867DFA" w:rsidRPr="00923B65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"http://data.europa.eu/eli/C/2025/1799/oj"</w:instrText>
      </w:r>
      <w:r w:rsidR="00063CBD">
        <w:fldChar w:fldCharType="separate"/>
      </w:r>
      <w:r w:rsidR="00867DFA" w:rsidRPr="00923B65">
        <w:rPr>
          <w:rStyle w:val="Hyperlink"/>
          <w:sz w:val="24"/>
          <w:lang w:val="pl-PL"/>
        </w:rPr>
        <w:t>http://data.europa.eu/eli/C/2025/1799/oj</w:t>
      </w:r>
      <w:r w:rsidR="00063CBD">
        <w:rPr>
          <w:rStyle w:val="Hyperlink"/>
          <w:sz w:val="24"/>
          <w:lang w:val="pl-PL"/>
        </w:rPr>
        <w:fldChar w:fldCharType="end"/>
      </w:r>
      <w:r w:rsidR="00867DFA" w:rsidRPr="00923B65">
        <w:rPr>
          <w:color w:val="000000" w:themeColor="text1"/>
          <w:sz w:val="24"/>
          <w:lang w:val="pl-PL"/>
        </w:rPr>
        <w:t>).</w:t>
      </w:r>
    </w:p>
    <w:p w14:paraId="5DB6E557" w14:textId="1433C184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"http://data.europa.eu/eli/C/2025/1800/oj"</w:instrText>
      </w:r>
      <w:r w:rsidR="00063CBD">
        <w:fldChar w:fldCharType="separate"/>
      </w:r>
      <w:r w:rsidR="00867DFA" w:rsidRPr="00923B65">
        <w:rPr>
          <w:rStyle w:val="Hyperlink"/>
          <w:sz w:val="24"/>
          <w:lang w:val="pl-PL"/>
        </w:rPr>
        <w:t>http://data.europa.eu/eli/C/2025/1800/oj</w:t>
      </w:r>
      <w:r w:rsidR="00063CBD">
        <w:rPr>
          <w:rStyle w:val="Hyperlink"/>
          <w:sz w:val="24"/>
          <w:lang w:val="pl-PL"/>
        </w:rPr>
        <w:fldChar w:fldCharType="end"/>
      </w:r>
      <w:r w:rsidR="00867DFA" w:rsidRPr="00923B65">
        <w:rPr>
          <w:color w:val="000000" w:themeColor="text1"/>
          <w:sz w:val="24"/>
          <w:lang w:val="pl-PL"/>
        </w:rPr>
        <w:t>).</w:t>
      </w:r>
    </w:p>
    <w:p w14:paraId="4C89139F" w14:textId="2093A4DF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</w:t>
      </w:r>
      <w:proofErr w:type="gramStart"/>
      <w:r w:rsidR="00867DFA" w:rsidRPr="00923B65">
        <w:rPr>
          <w:color w:val="000000" w:themeColor="text1"/>
          <w:sz w:val="24"/>
          <w:lang w:val="pl-PL"/>
        </w:rPr>
        <w:t>4.4.2025</w:t>
      </w:r>
      <w:proofErr w:type="gramEnd"/>
      <w:r w:rsidR="00867DFA" w:rsidRPr="00923B65">
        <w:rPr>
          <w:color w:val="000000" w:themeColor="text1"/>
          <w:sz w:val="24"/>
          <w:lang w:val="pl-PL"/>
        </w:rPr>
        <w:t xml:space="preserve">, ELI: </w:t>
      </w:r>
      <w:hyperlink r:id="rId3" w:history="1">
        <w:r w:rsidR="00867DFA" w:rsidRPr="00923B65">
          <w:rPr>
            <w:rStyle w:val="Hyperlink"/>
            <w:sz w:val="24"/>
            <w:lang w:val="pl-PL"/>
          </w:rPr>
          <w:t>http://data.europa.eu/eli/C/2025/1801/oj</w:t>
        </w:r>
      </w:hyperlink>
      <w:r w:rsidR="00867DFA" w:rsidRPr="00923B65">
        <w:rPr>
          <w:color w:val="000000" w:themeColor="text1"/>
          <w:sz w:val="24"/>
          <w:lang w:val="pl-PL"/>
        </w:rPr>
        <w:t>).</w:t>
      </w:r>
    </w:p>
    <w:p w14:paraId="41C28C82" w14:textId="5B28B02A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</w:t>
      </w:r>
      <w:proofErr w:type="gramStart"/>
      <w:r w:rsidR="00867DFA" w:rsidRPr="00923B65">
        <w:rPr>
          <w:color w:val="000000" w:themeColor="text1"/>
          <w:sz w:val="24"/>
          <w:lang w:val="pl-PL"/>
        </w:rPr>
        <w:t>wyprodukowanych(</w:t>
      </w:r>
      <w:proofErr w:type="gramEnd"/>
      <w:r w:rsidR="00867DFA" w:rsidRPr="00923B65">
        <w:rPr>
          <w:color w:val="000000" w:themeColor="text1"/>
          <w:sz w:val="24"/>
          <w:lang w:val="pl-PL"/>
        </w:rPr>
        <w:t xml:space="preserve">Dz.U. C, C/2025/1802, 4.4.2025, ELI: </w:t>
      </w:r>
      <w:hyperlink r:id="rId4" w:history="1">
        <w:r w:rsidR="00867DFA" w:rsidRPr="00923B65">
          <w:rPr>
            <w:rStyle w:val="Hyperlink"/>
            <w:sz w:val="24"/>
            <w:lang w:val="pl-PL"/>
          </w:rPr>
          <w:t>http://data.europa.eu/eli/C/2025/1802/oj</w:t>
        </w:r>
      </w:hyperlink>
      <w:r w:rsidR="00867DFA" w:rsidRPr="00923B65">
        <w:rPr>
          <w:color w:val="000000" w:themeColor="text1"/>
          <w:sz w:val="24"/>
          <w:lang w:val="pl-PL"/>
        </w:rPr>
        <w:t>).</w:t>
      </w:r>
    </w:p>
    <w:p w14:paraId="5F953795" w14:textId="42FB1B17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proofErr w:type="gramStart"/>
      <w:r w:rsidR="00867DFA" w:rsidRPr="00923B65">
        <w:rPr>
          <w:color w:val="000000" w:themeColor="text1"/>
          <w:sz w:val="24"/>
          <w:lang w:val="pl-PL"/>
        </w:rPr>
        <w:t>4.4.2025</w:t>
      </w:r>
      <w:proofErr w:type="gramEnd"/>
      <w:r w:rsidR="00867DFA" w:rsidRPr="00923B65">
        <w:rPr>
          <w:color w:val="000000" w:themeColor="text1"/>
          <w:sz w:val="24"/>
          <w:lang w:val="pl-PL"/>
        </w:rPr>
        <w:t xml:space="preserve">, ELI: </w:t>
      </w:r>
      <w:hyperlink r:id="rId5" w:history="1">
        <w:r w:rsidR="00867DFA" w:rsidRPr="00923B65">
          <w:rPr>
            <w:rStyle w:val="Hyperlink"/>
            <w:sz w:val="24"/>
            <w:lang w:val="pl-PL"/>
          </w:rPr>
          <w:t>http://data.europa.eu/eli/C/2025/1803/oj</w:t>
        </w:r>
      </w:hyperlink>
      <w:r w:rsidR="00867DFA" w:rsidRPr="00923B65">
        <w:rPr>
          <w:color w:val="000000" w:themeColor="text1"/>
          <w:sz w:val="24"/>
          <w:lang w:val="pl-PL"/>
        </w:rPr>
        <w:t>).</w:t>
      </w:r>
    </w:p>
    <w:p w14:paraId="7A823F98" w14:textId="364B2769" w:rsidR="00867DFA" w:rsidRPr="00923B65" w:rsidRDefault="00923B65" w:rsidP="00923B6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</w:t>
      </w:r>
      <w:proofErr w:type="gramStart"/>
      <w:r w:rsidR="00867DFA" w:rsidRPr="00923B65">
        <w:rPr>
          <w:color w:val="000000" w:themeColor="text1"/>
          <w:sz w:val="24"/>
          <w:lang w:val="pl-PL"/>
        </w:rPr>
        <w:t>4.4.2025</w:t>
      </w:r>
      <w:proofErr w:type="gramEnd"/>
      <w:r w:rsidR="00867DFA" w:rsidRPr="00923B65">
        <w:rPr>
          <w:color w:val="000000" w:themeColor="text1"/>
          <w:sz w:val="24"/>
          <w:lang w:val="pl-PL"/>
        </w:rPr>
        <w:t xml:space="preserve">, ELI: </w:t>
      </w:r>
      <w:hyperlink r:id="rId6" w:history="1">
        <w:r w:rsidR="00867DFA" w:rsidRPr="00923B65">
          <w:rPr>
            <w:rStyle w:val="Hyperlink"/>
            <w:sz w:val="24"/>
            <w:lang w:val="pl-PL"/>
          </w:rPr>
          <w:t>http://data.europa.eu/eli/C/2025/1804/oj</w:t>
        </w:r>
      </w:hyperlink>
      <w:r w:rsidR="00867DFA" w:rsidRPr="00923B65">
        <w:rPr>
          <w:color w:val="000000" w:themeColor="text1"/>
          <w:sz w:val="24"/>
          <w:lang w:val="pl-PL"/>
        </w:rPr>
        <w:t>).</w:t>
      </w:r>
    </w:p>
    <w:p w14:paraId="71CE9CB5" w14:textId="7C33A9C1" w:rsidR="00867DFA" w:rsidRPr="00923B65" w:rsidRDefault="00923B65" w:rsidP="00923B6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23B65">
        <w:rPr>
          <w:color w:val="000000" w:themeColor="text1"/>
          <w:sz w:val="24"/>
          <w:lang w:val="pl-PL"/>
        </w:rPr>
        <w:t xml:space="preserve"> </w:t>
      </w:r>
      <w:r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color w:val="000000" w:themeColor="text1"/>
          <w:sz w:val="24"/>
          <w:lang w:val="pl-PL"/>
        </w:rPr>
        <w:t>–</w:t>
      </w:r>
      <w:r w:rsidR="00867DFA" w:rsidRPr="00923B65">
        <w:rPr>
          <w:color w:val="000000" w:themeColor="text1"/>
          <w:sz w:val="24"/>
          <w:lang w:val="pl-PL"/>
        </w:rPr>
        <w:tab/>
      </w:r>
      <w:r w:rsidR="00867DFA" w:rsidRPr="00923B65">
        <w:rPr>
          <w:sz w:val="24"/>
          <w:lang w:val="pl-PL"/>
        </w:rPr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"http://data.europa.eu/eli/C/2025/2246/oj" \o "Dostęp do dokumentu poprzez identyfikator URI w systemie ELI."</w:instrText>
      </w:r>
      <w:r w:rsidR="00063CBD">
        <w:fldChar w:fldCharType="separate"/>
      </w:r>
      <w:r w:rsidR="00867DFA" w:rsidRPr="00923B65">
        <w:rPr>
          <w:rStyle w:val="Hyperlink"/>
          <w:sz w:val="24"/>
          <w:lang w:val="pl-PL"/>
        </w:rPr>
        <w:t>http://data.europa.eu/eli/C/2025/2246/oj</w:t>
      </w:r>
      <w:r w:rsidR="00063CBD">
        <w:rPr>
          <w:rStyle w:val="Hyperlink"/>
          <w:sz w:val="24"/>
          <w:lang w:val="pl-PL"/>
        </w:rPr>
        <w:fldChar w:fldCharType="end"/>
      </w:r>
      <w:r w:rsidR="00867DFA" w:rsidRPr="00923B65">
        <w:rPr>
          <w:sz w:val="24"/>
          <w:lang w:val="pl-PL"/>
        </w:rPr>
        <w:t>).</w:t>
      </w:r>
    </w:p>
    <w:p w14:paraId="1E5EBA93" w14:textId="65043D4F" w:rsidR="00867DFA" w:rsidRPr="00923B65" w:rsidRDefault="00923B65" w:rsidP="00923B6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23B65">
        <w:rPr>
          <w:sz w:val="24"/>
          <w:lang w:val="pl-PL"/>
        </w:rPr>
        <w:t xml:space="preserve"> </w:t>
      </w:r>
      <w:r w:rsidRPr="00923B65">
        <w:rPr>
          <w:sz w:val="24"/>
          <w:lang w:val="pl-PL"/>
        </w:rPr>
        <w:tab/>
      </w:r>
      <w:r w:rsidR="00867DFA" w:rsidRPr="00923B65">
        <w:rPr>
          <w:sz w:val="24"/>
          <w:lang w:val="pl-PL"/>
        </w:rPr>
        <w:t>–</w:t>
      </w:r>
      <w:r w:rsidR="00867DFA" w:rsidRPr="00923B65">
        <w:rPr>
          <w:sz w:val="24"/>
          <w:lang w:val="pl-PL"/>
        </w:rPr>
        <w:tab/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"http://data.europa.eu/eli/C/2025/2247/oj" \o "Dostęp do dokumentu poprzez identyfikator URI w systemie ELI."</w:instrText>
      </w:r>
      <w:r w:rsidR="00063CBD">
        <w:fldChar w:fldCharType="separate"/>
      </w:r>
      <w:r w:rsidR="00867DFA" w:rsidRPr="00923B65">
        <w:rPr>
          <w:rStyle w:val="Hyperlink"/>
          <w:sz w:val="24"/>
          <w:lang w:val="pl-PL"/>
        </w:rPr>
        <w:t>http://data.europa.eu/eli/C/2025/2247/oj</w:t>
      </w:r>
      <w:r w:rsidR="00063CBD">
        <w:rPr>
          <w:rStyle w:val="Hyperlink"/>
          <w:sz w:val="24"/>
          <w:lang w:val="pl-PL"/>
        </w:rPr>
        <w:fldChar w:fldCharType="end"/>
      </w:r>
      <w:r w:rsidR="00867DFA" w:rsidRPr="00923B65">
        <w:rPr>
          <w:sz w:val="24"/>
          <w:lang w:val="pl-PL"/>
        </w:rPr>
        <w:t>).</w:t>
      </w:r>
    </w:p>
    <w:p w14:paraId="332865C1" w14:textId="6EB0E4A0" w:rsidR="00867DFA" w:rsidRPr="00923B65" w:rsidRDefault="00923B65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sz w:val="24"/>
          <w:lang w:val="pl-PL"/>
        </w:rPr>
        <w:t xml:space="preserve"> </w:t>
      </w:r>
      <w:r w:rsidRPr="00923B65">
        <w:rPr>
          <w:sz w:val="24"/>
          <w:lang w:val="pl-PL"/>
        </w:rPr>
        <w:tab/>
      </w:r>
      <w:r w:rsidR="00867DFA" w:rsidRPr="00923B65">
        <w:rPr>
          <w:sz w:val="24"/>
          <w:lang w:val="pl-PL"/>
        </w:rPr>
        <w:t>–</w:t>
      </w:r>
      <w:r w:rsidR="00867DFA" w:rsidRPr="00923B65">
        <w:rPr>
          <w:sz w:val="24"/>
          <w:lang w:val="pl-PL"/>
        </w:rPr>
        <w:tab/>
        <w:t>Rezolucja Parlamentu Europejskiego z dnia 8 maja 2025 r. w sprawie projektu decyzji wykonawczej Komisji zezwalającej na wprowadzenie do obrotu na mocy rozporządzenia Parlamentu Europejskiego i Rady (WE) nr 1829/2003 produktów zawierających genetycznie zmodyfikowaną soję MON 87705 × MON 87708 × MON 89788, składających się z niej lub z niej wyprodukowanych (P10_</w:t>
      </w:r>
      <w:proofErr w:type="gramStart"/>
      <w:r w:rsidR="00867DFA" w:rsidRPr="00923B65">
        <w:rPr>
          <w:sz w:val="24"/>
          <w:lang w:val="pl-PL"/>
        </w:rPr>
        <w:t>TA(</w:t>
      </w:r>
      <w:proofErr w:type="gramEnd"/>
      <w:r w:rsidR="00867DFA" w:rsidRPr="00923B65">
        <w:rPr>
          <w:sz w:val="24"/>
          <w:lang w:val="pl-PL"/>
        </w:rPr>
        <w:t>2025)0106).</w:t>
      </w:r>
    </w:p>
  </w:footnote>
  <w:footnote w:id="6">
    <w:p w14:paraId="2FD47A7A" w14:textId="5677690C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Rozporządzenie Parlamentu Europejskiego i Rady (WE) nr 1107/2009 z dnia 21 października 2009 r. dotyczące wprowadzania do obrotu środków ochrony roślin i uchylające dyrektywy Rady 79/117/EWG i 91/414/EWG (Dz.U. L 309 z 24.11.2009, s. 1, ELI: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"http://data.europa.eu/eli/reg/2009/1107/oj" \o "Dostęp do dokumentu poprzez identyfikator URI w systemie ELI."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http://data.europa.eu/eli/reg/2009/1107/oj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).</w:t>
      </w:r>
    </w:p>
  </w:footnote>
  <w:footnote w:id="7">
    <w:p w14:paraId="056B5A3D" w14:textId="5DCB2C51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"https://www.testbiotech.org/wp-content/uploads/2024/12/Testbiotech_comment_‌maize_DP51291.pdf"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https://www.testbiotech.org/wp-content/uploads/2024/12/Testbiotech_comment_‌maize_DP51291.pdf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8">
    <w:p w14:paraId="02718751" w14:textId="35887728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Rozporządzenie wykonawcze Komisji (UE) nr 503/2013 z dnia 3 kwietnia 2013 r. w sprawie wniosków o zatwierdzenie genetycznie zmodyfikowanej żywności i paszy zgodnie z rozporządzeniem (WE) nr 1829/2003 Parlamentu Europejskiego i Rady oraz zmieniające rozporządzenia Komisji (WE) nr 641/2004 i (WE) nr 1981/2006 (Dz.U. L 157 z </w:t>
      </w:r>
      <w:proofErr w:type="gramStart"/>
      <w:r w:rsidRPr="00923B65">
        <w:rPr>
          <w:sz w:val="24"/>
          <w:lang w:val="pl-PL"/>
        </w:rPr>
        <w:t>8.6.2013</w:t>
      </w:r>
      <w:proofErr w:type="gramEnd"/>
      <w:r w:rsidRPr="00923B65">
        <w:rPr>
          <w:sz w:val="24"/>
          <w:lang w:val="pl-PL"/>
        </w:rPr>
        <w:t xml:space="preserve">, s. 1, ELI: </w:t>
      </w:r>
      <w:hyperlink r:id="rId7" w:history="1">
        <w:r w:rsidRPr="00923B65">
          <w:rPr>
            <w:rStyle w:val="Hyperlink"/>
            <w:sz w:val="24"/>
            <w:lang w:val="pl-PL"/>
          </w:rPr>
          <w:t>http://data.europa.eu/eli/reg_impl/2013/503/oj</w:t>
        </w:r>
      </w:hyperlink>
      <w:r w:rsidRPr="00923B65">
        <w:rPr>
          <w:sz w:val="24"/>
          <w:lang w:val="pl-PL"/>
        </w:rPr>
        <w:t>).</w:t>
      </w:r>
    </w:p>
  </w:footnote>
  <w:footnote w:id="9">
    <w:p w14:paraId="5860E7E5" w14:textId="3E0EA7CB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proofErr w:type="spellStart"/>
      <w:r w:rsidRPr="00923B65">
        <w:rPr>
          <w:sz w:val="24"/>
          <w:lang w:val="pl-PL"/>
        </w:rPr>
        <w:t>Trtikova</w:t>
      </w:r>
      <w:proofErr w:type="spellEnd"/>
      <w:r w:rsidRPr="00923B65">
        <w:rPr>
          <w:sz w:val="24"/>
          <w:lang w:val="pl-PL"/>
        </w:rPr>
        <w:t xml:space="preserve">, M., </w:t>
      </w:r>
      <w:proofErr w:type="spellStart"/>
      <w:r w:rsidRPr="00923B65">
        <w:rPr>
          <w:sz w:val="24"/>
          <w:lang w:val="pl-PL"/>
        </w:rPr>
        <w:t>Wikmark</w:t>
      </w:r>
      <w:proofErr w:type="spellEnd"/>
      <w:r w:rsidRPr="00923B65">
        <w:rPr>
          <w:sz w:val="24"/>
          <w:lang w:val="pl-PL"/>
        </w:rPr>
        <w:t xml:space="preserve"> O. G., </w:t>
      </w:r>
      <w:proofErr w:type="spellStart"/>
      <w:r w:rsidRPr="00923B65">
        <w:rPr>
          <w:sz w:val="24"/>
          <w:lang w:val="pl-PL"/>
        </w:rPr>
        <w:t>Zemp</w:t>
      </w:r>
      <w:proofErr w:type="spellEnd"/>
      <w:r w:rsidRPr="00923B65">
        <w:rPr>
          <w:sz w:val="24"/>
          <w:lang w:val="pl-PL"/>
        </w:rPr>
        <w:t xml:space="preserve">, N., </w:t>
      </w:r>
      <w:proofErr w:type="spellStart"/>
      <w:r w:rsidRPr="00923B65">
        <w:rPr>
          <w:sz w:val="24"/>
          <w:lang w:val="pl-PL"/>
        </w:rPr>
        <w:t>Widmer</w:t>
      </w:r>
      <w:proofErr w:type="spellEnd"/>
      <w:r w:rsidRPr="00923B65">
        <w:rPr>
          <w:sz w:val="24"/>
          <w:lang w:val="pl-PL"/>
        </w:rPr>
        <w:t xml:space="preserve">, A., </w:t>
      </w:r>
      <w:proofErr w:type="spellStart"/>
      <w:r w:rsidRPr="00923B65">
        <w:rPr>
          <w:sz w:val="24"/>
          <w:lang w:val="pl-PL"/>
        </w:rPr>
        <w:t>Hilbeck</w:t>
      </w:r>
      <w:proofErr w:type="spellEnd"/>
      <w:r w:rsidRPr="00923B65">
        <w:rPr>
          <w:sz w:val="24"/>
          <w:lang w:val="pl-PL"/>
        </w:rPr>
        <w:t xml:space="preserve">, </w:t>
      </w:r>
      <w:proofErr w:type="gramStart"/>
      <w:r w:rsidRPr="00923B65">
        <w:rPr>
          <w:sz w:val="24"/>
          <w:lang w:val="pl-PL"/>
        </w:rPr>
        <w:t>A.,</w:t>
      </w:r>
      <w:proofErr w:type="gramEnd"/>
      <w:r w:rsidRPr="00923B65">
        <w:rPr>
          <w:sz w:val="24"/>
          <w:lang w:val="pl-PL"/>
        </w:rPr>
        <w:t xml:space="preserve"> (2015) „</w:t>
      </w:r>
      <w:proofErr w:type="spellStart"/>
      <w:r w:rsidRPr="00923B65">
        <w:rPr>
          <w:sz w:val="24"/>
          <w:lang w:val="pl-PL"/>
        </w:rPr>
        <w:t>Transgene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Expression</w:t>
      </w:r>
      <w:proofErr w:type="spellEnd"/>
      <w:r w:rsidRPr="00923B65">
        <w:rPr>
          <w:sz w:val="24"/>
          <w:lang w:val="pl-PL"/>
        </w:rPr>
        <w:t xml:space="preserve"> and </w:t>
      </w:r>
      <w:proofErr w:type="spellStart"/>
      <w:r w:rsidRPr="00923B65">
        <w:rPr>
          <w:sz w:val="24"/>
          <w:lang w:val="pl-PL"/>
        </w:rPr>
        <w:t>Bt</w:t>
      </w:r>
      <w:proofErr w:type="spellEnd"/>
      <w:r w:rsidRPr="00923B65">
        <w:rPr>
          <w:sz w:val="24"/>
          <w:lang w:val="pl-PL"/>
        </w:rPr>
        <w:t xml:space="preserve"> Protein Content in </w:t>
      </w:r>
      <w:proofErr w:type="spellStart"/>
      <w:r w:rsidRPr="00923B65">
        <w:rPr>
          <w:sz w:val="24"/>
          <w:lang w:val="pl-PL"/>
        </w:rPr>
        <w:t>Transgenic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Bt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Maize</w:t>
      </w:r>
      <w:proofErr w:type="spellEnd"/>
      <w:r w:rsidRPr="00923B65">
        <w:rPr>
          <w:sz w:val="24"/>
          <w:lang w:val="pl-PL"/>
        </w:rPr>
        <w:t xml:space="preserve"> (MON810) </w:t>
      </w:r>
      <w:proofErr w:type="spellStart"/>
      <w:r w:rsidRPr="00923B65">
        <w:rPr>
          <w:sz w:val="24"/>
          <w:lang w:val="pl-PL"/>
        </w:rPr>
        <w:t>under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Optimal</w:t>
      </w:r>
      <w:proofErr w:type="spellEnd"/>
      <w:r w:rsidRPr="00923B65">
        <w:rPr>
          <w:sz w:val="24"/>
          <w:lang w:val="pl-PL"/>
        </w:rPr>
        <w:t xml:space="preserve"> and </w:t>
      </w:r>
      <w:proofErr w:type="spellStart"/>
      <w:r w:rsidRPr="00923B65">
        <w:rPr>
          <w:sz w:val="24"/>
          <w:lang w:val="pl-PL"/>
        </w:rPr>
        <w:t>Stressful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Environmental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Conditions</w:t>
      </w:r>
      <w:proofErr w:type="spellEnd"/>
      <w:r w:rsidRPr="00923B65">
        <w:rPr>
          <w:sz w:val="24"/>
          <w:lang w:val="pl-PL"/>
        </w:rPr>
        <w:t xml:space="preserve">” [Ekspresja </w:t>
      </w:r>
      <w:proofErr w:type="spellStart"/>
      <w:r w:rsidRPr="00923B65">
        <w:rPr>
          <w:sz w:val="24"/>
          <w:lang w:val="pl-PL"/>
        </w:rPr>
        <w:t>transgenu</w:t>
      </w:r>
      <w:proofErr w:type="spellEnd"/>
      <w:r w:rsidRPr="00923B65">
        <w:rPr>
          <w:sz w:val="24"/>
          <w:lang w:val="pl-PL"/>
        </w:rPr>
        <w:t xml:space="preserve"> i zawartość białka </w:t>
      </w:r>
      <w:proofErr w:type="spellStart"/>
      <w:r w:rsidRPr="00923B65">
        <w:rPr>
          <w:sz w:val="24"/>
          <w:lang w:val="pl-PL"/>
        </w:rPr>
        <w:t>Bt</w:t>
      </w:r>
      <w:proofErr w:type="spellEnd"/>
      <w:r w:rsidRPr="00923B65">
        <w:rPr>
          <w:sz w:val="24"/>
          <w:lang w:val="pl-PL"/>
        </w:rPr>
        <w:t xml:space="preserve"> w transgenicznej kukurydzy </w:t>
      </w:r>
      <w:proofErr w:type="spellStart"/>
      <w:r w:rsidRPr="00923B65">
        <w:rPr>
          <w:sz w:val="24"/>
          <w:lang w:val="pl-PL"/>
        </w:rPr>
        <w:t>Bt</w:t>
      </w:r>
      <w:proofErr w:type="spellEnd"/>
      <w:r w:rsidRPr="00923B65">
        <w:rPr>
          <w:sz w:val="24"/>
          <w:lang w:val="pl-PL"/>
        </w:rPr>
        <w:t xml:space="preserve"> (MON810) w optymalnych i ekstremalnych warunkach środowiskowych], </w:t>
      </w:r>
      <w:proofErr w:type="spellStart"/>
      <w:r w:rsidRPr="00923B65">
        <w:rPr>
          <w:sz w:val="24"/>
          <w:lang w:val="pl-PL"/>
        </w:rPr>
        <w:t>PLoS</w:t>
      </w:r>
      <w:proofErr w:type="spellEnd"/>
      <w:r w:rsidRPr="00923B65">
        <w:rPr>
          <w:sz w:val="24"/>
          <w:lang w:val="pl-PL"/>
        </w:rPr>
        <w:t xml:space="preserve"> ONE 10(4): e0123011, </w:t>
      </w:r>
      <w:hyperlink r:id="rId8" w:history="1">
        <w:r w:rsidRPr="00923B65">
          <w:rPr>
            <w:rStyle w:val="Hyperlink"/>
            <w:sz w:val="24"/>
            <w:lang w:val="pl-PL"/>
          </w:rPr>
          <w:t>https://doi.org/10.1371/journal.pone.0123011</w:t>
        </w:r>
      </w:hyperlink>
      <w:r w:rsidRPr="00923B65">
        <w:rPr>
          <w:sz w:val="24"/>
          <w:lang w:val="pl-PL"/>
        </w:rPr>
        <w:t>.</w:t>
      </w:r>
    </w:p>
  </w:footnote>
  <w:footnote w:id="10">
    <w:p w14:paraId="18AD2240" w14:textId="0916DF3D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Zob. na przykład Schulz, R., </w:t>
      </w:r>
      <w:proofErr w:type="spellStart"/>
      <w:r w:rsidRPr="00923B65">
        <w:rPr>
          <w:sz w:val="24"/>
          <w:lang w:val="pl-PL"/>
        </w:rPr>
        <w:t>Bub</w:t>
      </w:r>
      <w:proofErr w:type="spellEnd"/>
      <w:r w:rsidRPr="00923B65">
        <w:rPr>
          <w:sz w:val="24"/>
          <w:lang w:val="pl-PL"/>
        </w:rPr>
        <w:t xml:space="preserve">, S., </w:t>
      </w:r>
      <w:proofErr w:type="spellStart"/>
      <w:r w:rsidRPr="00923B65">
        <w:rPr>
          <w:sz w:val="24"/>
          <w:lang w:val="pl-PL"/>
        </w:rPr>
        <w:t>Petschick</w:t>
      </w:r>
      <w:proofErr w:type="spellEnd"/>
      <w:r w:rsidRPr="00923B65">
        <w:rPr>
          <w:sz w:val="24"/>
          <w:lang w:val="pl-PL"/>
        </w:rPr>
        <w:t xml:space="preserve">, L. L., </w:t>
      </w:r>
      <w:proofErr w:type="spellStart"/>
      <w:r w:rsidRPr="00923B65">
        <w:rPr>
          <w:sz w:val="24"/>
          <w:lang w:val="pl-PL"/>
        </w:rPr>
        <w:t>Stehle</w:t>
      </w:r>
      <w:proofErr w:type="spellEnd"/>
      <w:r w:rsidRPr="00923B65">
        <w:rPr>
          <w:sz w:val="24"/>
          <w:lang w:val="pl-PL"/>
        </w:rPr>
        <w:t xml:space="preserve">, S., Wolfram, J. (2021) „Applied </w:t>
      </w:r>
      <w:proofErr w:type="spellStart"/>
      <w:r w:rsidRPr="00923B65">
        <w:rPr>
          <w:sz w:val="24"/>
          <w:lang w:val="pl-PL"/>
        </w:rPr>
        <w:t>pesticide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toxicity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shifts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towards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plants</w:t>
      </w:r>
      <w:proofErr w:type="spellEnd"/>
      <w:r w:rsidRPr="00923B65">
        <w:rPr>
          <w:sz w:val="24"/>
          <w:lang w:val="pl-PL"/>
        </w:rPr>
        <w:t xml:space="preserve"> and </w:t>
      </w:r>
      <w:proofErr w:type="spellStart"/>
      <w:r w:rsidRPr="00923B65">
        <w:rPr>
          <w:sz w:val="24"/>
          <w:lang w:val="pl-PL"/>
        </w:rPr>
        <w:t>invertebrates</w:t>
      </w:r>
      <w:proofErr w:type="spellEnd"/>
      <w:r w:rsidRPr="00923B65">
        <w:rPr>
          <w:sz w:val="24"/>
          <w:lang w:val="pl-PL"/>
        </w:rPr>
        <w:t xml:space="preserve">, </w:t>
      </w:r>
      <w:proofErr w:type="spellStart"/>
      <w:r w:rsidRPr="00923B65">
        <w:rPr>
          <w:sz w:val="24"/>
          <w:lang w:val="pl-PL"/>
        </w:rPr>
        <w:t>even</w:t>
      </w:r>
      <w:proofErr w:type="spellEnd"/>
      <w:r w:rsidRPr="00923B65">
        <w:rPr>
          <w:sz w:val="24"/>
          <w:lang w:val="pl-PL"/>
        </w:rPr>
        <w:t xml:space="preserve"> in GM </w:t>
      </w:r>
      <w:proofErr w:type="spellStart"/>
      <w:r w:rsidRPr="00923B65">
        <w:rPr>
          <w:sz w:val="24"/>
          <w:lang w:val="pl-PL"/>
        </w:rPr>
        <w:t>crops</w:t>
      </w:r>
      <w:proofErr w:type="spellEnd"/>
      <w:r w:rsidRPr="00923B65">
        <w:rPr>
          <w:sz w:val="24"/>
          <w:lang w:val="pl-PL"/>
        </w:rPr>
        <w:t xml:space="preserve">” [Toksyczność stosowanych pestycydów przesuwa się w kierunku roślin i bezkręgowców, nawet w uprawach modyfikowanych genetycznie], Science 372(6537), s. 81–84, </w:t>
      </w:r>
      <w:r w:rsidR="00063CBD">
        <w:fldChar w:fldCharType="begin"/>
      </w:r>
      <w:r w:rsidR="00063CBD" w:rsidRPr="00063CBD">
        <w:rPr>
          <w:lang w:val="pl-PL"/>
        </w:rPr>
        <w:instrText>HYPERLINK "https://doi.org/10.1126/science.abe1148"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https://doi.org/10.1126/science.abe1148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; Bonny, S., „</w:t>
      </w:r>
      <w:proofErr w:type="spellStart"/>
      <w:r w:rsidRPr="00923B65">
        <w:rPr>
          <w:sz w:val="24"/>
          <w:lang w:val="pl-PL"/>
        </w:rPr>
        <w:t>Genetically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Modified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Herbicide</w:t>
      </w:r>
      <w:proofErr w:type="spellEnd"/>
      <w:r w:rsidRPr="00923B65">
        <w:rPr>
          <w:sz w:val="24"/>
          <w:lang w:val="pl-PL"/>
        </w:rPr>
        <w:t xml:space="preserve">-Tolerant </w:t>
      </w:r>
      <w:proofErr w:type="spellStart"/>
      <w:r w:rsidRPr="00923B65">
        <w:rPr>
          <w:sz w:val="24"/>
          <w:lang w:val="pl-PL"/>
        </w:rPr>
        <w:t>Crops</w:t>
      </w:r>
      <w:proofErr w:type="spellEnd"/>
      <w:r w:rsidRPr="00923B65">
        <w:rPr>
          <w:sz w:val="24"/>
          <w:lang w:val="pl-PL"/>
        </w:rPr>
        <w:t xml:space="preserve">, </w:t>
      </w:r>
      <w:proofErr w:type="spellStart"/>
      <w:r w:rsidRPr="00923B65">
        <w:rPr>
          <w:sz w:val="24"/>
          <w:lang w:val="pl-PL"/>
        </w:rPr>
        <w:t>Weeds</w:t>
      </w:r>
      <w:proofErr w:type="spellEnd"/>
      <w:r w:rsidRPr="00923B65">
        <w:rPr>
          <w:sz w:val="24"/>
          <w:lang w:val="pl-PL"/>
        </w:rPr>
        <w:t xml:space="preserve">, and </w:t>
      </w:r>
      <w:proofErr w:type="spellStart"/>
      <w:r w:rsidRPr="00923B65">
        <w:rPr>
          <w:sz w:val="24"/>
          <w:lang w:val="pl-PL"/>
        </w:rPr>
        <w:t>Herbicides</w:t>
      </w:r>
      <w:proofErr w:type="spellEnd"/>
      <w:r w:rsidRPr="00923B65">
        <w:rPr>
          <w:sz w:val="24"/>
          <w:lang w:val="pl-PL"/>
        </w:rPr>
        <w:t xml:space="preserve">: </w:t>
      </w:r>
      <w:proofErr w:type="spellStart"/>
      <w:r w:rsidRPr="00923B65">
        <w:rPr>
          <w:sz w:val="24"/>
          <w:lang w:val="pl-PL"/>
        </w:rPr>
        <w:t>Overview</w:t>
      </w:r>
      <w:proofErr w:type="spellEnd"/>
      <w:r w:rsidRPr="00923B65">
        <w:rPr>
          <w:sz w:val="24"/>
          <w:lang w:val="pl-PL"/>
        </w:rPr>
        <w:t xml:space="preserve"> and </w:t>
      </w:r>
      <w:proofErr w:type="spellStart"/>
      <w:r w:rsidRPr="00923B65">
        <w:rPr>
          <w:sz w:val="24"/>
          <w:lang w:val="pl-PL"/>
        </w:rPr>
        <w:t>Impact</w:t>
      </w:r>
      <w:proofErr w:type="spellEnd"/>
      <w:r w:rsidRPr="00923B65">
        <w:rPr>
          <w:sz w:val="24"/>
          <w:lang w:val="pl-PL"/>
        </w:rPr>
        <w:t xml:space="preserve">” [Uprawy zmodyfikowane genetycznie odporne na herbicydy, chwasty oraz herbicydy: przegląd i skutki], </w:t>
      </w:r>
      <w:proofErr w:type="spellStart"/>
      <w:r w:rsidRPr="00923B65">
        <w:rPr>
          <w:sz w:val="24"/>
          <w:lang w:val="pl-PL"/>
        </w:rPr>
        <w:t>Environmental</w:t>
      </w:r>
      <w:proofErr w:type="spellEnd"/>
      <w:r w:rsidRPr="00923B65">
        <w:rPr>
          <w:sz w:val="24"/>
          <w:lang w:val="pl-PL"/>
        </w:rPr>
        <w:t xml:space="preserve"> Management, styczeń 2016;57(1), s. 31–48, </w:t>
      </w:r>
      <w:r w:rsidR="00063CBD">
        <w:fldChar w:fldCharType="begin"/>
      </w:r>
      <w:r w:rsidR="00063CBD" w:rsidRPr="00063CBD">
        <w:rPr>
          <w:lang w:val="pl-PL"/>
        </w:rPr>
        <w:instrText>HYPERLINK "https://www.ncbi.nlm.nih.gov/pubmed/26296738"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https://www.ncbi.nlm.nih.gov/pubmed/26296738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; </w:t>
      </w:r>
      <w:proofErr w:type="spellStart"/>
      <w:r w:rsidRPr="00923B65">
        <w:rPr>
          <w:sz w:val="24"/>
          <w:lang w:val="pl-PL"/>
        </w:rPr>
        <w:t>Benbrook</w:t>
      </w:r>
      <w:proofErr w:type="spellEnd"/>
      <w:r w:rsidRPr="00923B65">
        <w:rPr>
          <w:sz w:val="24"/>
          <w:lang w:val="pl-PL"/>
        </w:rPr>
        <w:t>, C.M., „</w:t>
      </w:r>
      <w:proofErr w:type="spellStart"/>
      <w:r w:rsidRPr="00923B65">
        <w:rPr>
          <w:sz w:val="24"/>
          <w:lang w:val="pl-PL"/>
        </w:rPr>
        <w:t>Impacts</w:t>
      </w:r>
      <w:proofErr w:type="spellEnd"/>
      <w:r w:rsidRPr="00923B65">
        <w:rPr>
          <w:sz w:val="24"/>
          <w:lang w:val="pl-PL"/>
        </w:rPr>
        <w:t xml:space="preserve"> of </w:t>
      </w:r>
      <w:proofErr w:type="spellStart"/>
      <w:r w:rsidRPr="00923B65">
        <w:rPr>
          <w:sz w:val="24"/>
          <w:lang w:val="pl-PL"/>
        </w:rPr>
        <w:t>genetically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engineered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crops</w:t>
      </w:r>
      <w:proofErr w:type="spellEnd"/>
      <w:r w:rsidRPr="00923B65">
        <w:rPr>
          <w:sz w:val="24"/>
          <w:lang w:val="pl-PL"/>
        </w:rPr>
        <w:t xml:space="preserve"> on </w:t>
      </w:r>
      <w:proofErr w:type="spellStart"/>
      <w:r w:rsidRPr="00923B65">
        <w:rPr>
          <w:sz w:val="24"/>
          <w:lang w:val="pl-PL"/>
        </w:rPr>
        <w:t>pesticide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use</w:t>
      </w:r>
      <w:proofErr w:type="spellEnd"/>
      <w:r w:rsidRPr="00923B65">
        <w:rPr>
          <w:sz w:val="24"/>
          <w:lang w:val="pl-PL"/>
        </w:rPr>
        <w:t xml:space="preserve"> in the U.S. – the </w:t>
      </w:r>
      <w:proofErr w:type="spellStart"/>
      <w:r w:rsidRPr="00923B65">
        <w:rPr>
          <w:sz w:val="24"/>
          <w:lang w:val="pl-PL"/>
        </w:rPr>
        <w:t>first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sixteen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years</w:t>
      </w:r>
      <w:proofErr w:type="spellEnd"/>
      <w:r w:rsidRPr="00923B65">
        <w:rPr>
          <w:sz w:val="24"/>
          <w:lang w:val="pl-PL"/>
        </w:rPr>
        <w:t xml:space="preserve">” [Wpływ genetycznie modyfikowanych upraw na stosowanie pestycydów w USA – pierwsze szesnaście lat], </w:t>
      </w:r>
      <w:proofErr w:type="spellStart"/>
      <w:r w:rsidRPr="00923B65">
        <w:rPr>
          <w:sz w:val="24"/>
          <w:lang w:val="pl-PL"/>
        </w:rPr>
        <w:t>Environmental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Sciences</w:t>
      </w:r>
      <w:proofErr w:type="spellEnd"/>
      <w:r w:rsidRPr="00923B65">
        <w:rPr>
          <w:sz w:val="24"/>
          <w:lang w:val="pl-PL"/>
        </w:rPr>
        <w:t xml:space="preserve"> Europe, 28 września 2012 r., tom 24(24), </w:t>
      </w:r>
      <w:r w:rsidR="00063CBD">
        <w:fldChar w:fldCharType="begin"/>
      </w:r>
      <w:r w:rsidR="00063CBD" w:rsidRPr="00063CBD">
        <w:rPr>
          <w:lang w:val="pl-PL"/>
        </w:rPr>
        <w:instrText>HYPERLINK "https://doi.org/10.1186/2190-4715-24-24"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https://doi.org/10.1186/2190-4715-24-24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11">
    <w:p w14:paraId="4507A480" w14:textId="53AF69C7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Zob. </w:t>
      </w:r>
      <w:proofErr w:type="spellStart"/>
      <w:r w:rsidRPr="00923B65">
        <w:rPr>
          <w:sz w:val="24"/>
          <w:lang w:val="pl-PL"/>
        </w:rPr>
        <w:t>Rubio-Infante</w:t>
      </w:r>
      <w:proofErr w:type="spellEnd"/>
      <w:r w:rsidRPr="00923B65">
        <w:rPr>
          <w:sz w:val="24"/>
          <w:lang w:val="pl-PL"/>
        </w:rPr>
        <w:t>, N., Moreno-</w:t>
      </w:r>
      <w:proofErr w:type="spellStart"/>
      <w:r w:rsidRPr="00923B65">
        <w:rPr>
          <w:sz w:val="24"/>
          <w:lang w:val="pl-PL"/>
        </w:rPr>
        <w:t>Fierros</w:t>
      </w:r>
      <w:proofErr w:type="spellEnd"/>
      <w:r w:rsidRPr="00923B65">
        <w:rPr>
          <w:sz w:val="24"/>
          <w:lang w:val="pl-PL"/>
        </w:rPr>
        <w:t>, L., „</w:t>
      </w:r>
      <w:proofErr w:type="spellStart"/>
      <w:r w:rsidRPr="00923B65">
        <w:rPr>
          <w:sz w:val="24"/>
          <w:lang w:val="pl-PL"/>
        </w:rPr>
        <w:t>An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overview</w:t>
      </w:r>
      <w:proofErr w:type="spellEnd"/>
      <w:r w:rsidRPr="00923B65">
        <w:rPr>
          <w:sz w:val="24"/>
          <w:lang w:val="pl-PL"/>
        </w:rPr>
        <w:t xml:space="preserve"> of the </w:t>
      </w:r>
      <w:proofErr w:type="spellStart"/>
      <w:r w:rsidRPr="00923B65">
        <w:rPr>
          <w:sz w:val="24"/>
          <w:lang w:val="pl-PL"/>
        </w:rPr>
        <w:t>safety</w:t>
      </w:r>
      <w:proofErr w:type="spellEnd"/>
      <w:r w:rsidRPr="00923B65">
        <w:rPr>
          <w:sz w:val="24"/>
          <w:lang w:val="pl-PL"/>
        </w:rPr>
        <w:t xml:space="preserve"> and </w:t>
      </w:r>
      <w:proofErr w:type="spellStart"/>
      <w:r w:rsidRPr="00923B65">
        <w:rPr>
          <w:sz w:val="24"/>
          <w:lang w:val="pl-PL"/>
        </w:rPr>
        <w:t>biological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effects</w:t>
      </w:r>
      <w:proofErr w:type="spellEnd"/>
      <w:r w:rsidRPr="00923B65">
        <w:rPr>
          <w:sz w:val="24"/>
          <w:lang w:val="pl-PL"/>
        </w:rPr>
        <w:t xml:space="preserve"> of </w:t>
      </w:r>
      <w:proofErr w:type="spellStart"/>
      <w:r w:rsidRPr="00923B65">
        <w:rPr>
          <w:sz w:val="24"/>
          <w:lang w:val="pl-PL"/>
        </w:rPr>
        <w:t>Bacillus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thuringiensis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Cry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toxins</w:t>
      </w:r>
      <w:proofErr w:type="spellEnd"/>
      <w:r w:rsidRPr="00923B65">
        <w:rPr>
          <w:sz w:val="24"/>
          <w:lang w:val="pl-PL"/>
        </w:rPr>
        <w:t xml:space="preserve"> in </w:t>
      </w:r>
      <w:proofErr w:type="spellStart"/>
      <w:r w:rsidRPr="00923B65">
        <w:rPr>
          <w:sz w:val="24"/>
          <w:lang w:val="pl-PL"/>
        </w:rPr>
        <w:t>mammals</w:t>
      </w:r>
      <w:proofErr w:type="spellEnd"/>
      <w:r w:rsidRPr="00923B65">
        <w:rPr>
          <w:sz w:val="24"/>
          <w:lang w:val="pl-PL"/>
        </w:rPr>
        <w:t xml:space="preserve">” [Przegląd bezpieczeństwa i skutków biologicznych toksyn </w:t>
      </w:r>
      <w:proofErr w:type="spellStart"/>
      <w:r w:rsidRPr="00923B65">
        <w:rPr>
          <w:sz w:val="24"/>
          <w:lang w:val="pl-PL"/>
        </w:rPr>
        <w:t>Cry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Bacillus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thuringiensis</w:t>
      </w:r>
      <w:proofErr w:type="spellEnd"/>
      <w:r w:rsidRPr="00923B65">
        <w:rPr>
          <w:sz w:val="24"/>
          <w:lang w:val="pl-PL"/>
        </w:rPr>
        <w:t xml:space="preserve"> u ssaków], </w:t>
      </w:r>
      <w:proofErr w:type="spellStart"/>
      <w:r w:rsidRPr="00923B65">
        <w:rPr>
          <w:sz w:val="24"/>
          <w:lang w:val="pl-PL"/>
        </w:rPr>
        <w:t>Journal</w:t>
      </w:r>
      <w:proofErr w:type="spellEnd"/>
      <w:r w:rsidRPr="00923B65">
        <w:rPr>
          <w:sz w:val="24"/>
          <w:lang w:val="pl-PL"/>
        </w:rPr>
        <w:t xml:space="preserve"> of Applied </w:t>
      </w:r>
      <w:proofErr w:type="spellStart"/>
      <w:r w:rsidRPr="00923B65">
        <w:rPr>
          <w:sz w:val="24"/>
          <w:lang w:val="pl-PL"/>
        </w:rPr>
        <w:t>Toxicology</w:t>
      </w:r>
      <w:proofErr w:type="spellEnd"/>
      <w:r w:rsidRPr="00923B65">
        <w:rPr>
          <w:sz w:val="24"/>
          <w:lang w:val="pl-PL"/>
        </w:rPr>
        <w:t xml:space="preserve">, maj 2016 r., 36(5), s. 630–648, </w:t>
      </w:r>
      <w:r w:rsidR="00063CBD">
        <w:fldChar w:fldCharType="begin"/>
      </w:r>
      <w:r w:rsidR="00063CBD" w:rsidRPr="00063CBD">
        <w:rPr>
          <w:lang w:val="pl-PL"/>
        </w:rPr>
        <w:instrText>HYPERLINK "https://onlinelibrary.wiley.com/doi/full/10.1002/jat.3252"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https://onlinelibrary.wiley.com/doi/full/10.1002/jat.3252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12">
    <w:p w14:paraId="513EA5A1" w14:textId="21BD0922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T. </w:t>
      </w:r>
      <w:proofErr w:type="spellStart"/>
      <w:r w:rsidRPr="00923B65">
        <w:rPr>
          <w:sz w:val="24"/>
          <w:lang w:val="pl-PL"/>
        </w:rPr>
        <w:t>Bøhn</w:t>
      </w:r>
      <w:proofErr w:type="spellEnd"/>
      <w:r w:rsidRPr="00923B65">
        <w:rPr>
          <w:sz w:val="24"/>
          <w:lang w:val="pl-PL"/>
        </w:rPr>
        <w:t xml:space="preserve">, C. </w:t>
      </w:r>
      <w:proofErr w:type="spellStart"/>
      <w:r w:rsidRPr="00923B65">
        <w:rPr>
          <w:sz w:val="24"/>
          <w:lang w:val="pl-PL"/>
        </w:rPr>
        <w:t>Macagnan</w:t>
      </w:r>
      <w:proofErr w:type="spellEnd"/>
      <w:r w:rsidRPr="00923B65">
        <w:rPr>
          <w:sz w:val="24"/>
          <w:lang w:val="pl-PL"/>
        </w:rPr>
        <w:t xml:space="preserve"> Rover, P. R. </w:t>
      </w:r>
      <w:proofErr w:type="spellStart"/>
      <w:r w:rsidRPr="00923B65">
        <w:rPr>
          <w:sz w:val="24"/>
          <w:lang w:val="pl-PL"/>
        </w:rPr>
        <w:t>Semenchuk</w:t>
      </w:r>
      <w:proofErr w:type="spellEnd"/>
      <w:r w:rsidRPr="00923B65">
        <w:rPr>
          <w:sz w:val="24"/>
          <w:lang w:val="pl-PL"/>
        </w:rPr>
        <w:t>, „</w:t>
      </w:r>
      <w:proofErr w:type="spellStart"/>
      <w:r w:rsidRPr="00923B65">
        <w:rPr>
          <w:i/>
          <w:sz w:val="24"/>
          <w:lang w:val="pl-PL"/>
        </w:rPr>
        <w:t>Daphnia</w:t>
      </w:r>
      <w:proofErr w:type="spellEnd"/>
      <w:r w:rsidRPr="00923B65">
        <w:rPr>
          <w:i/>
          <w:sz w:val="24"/>
          <w:lang w:val="pl-PL"/>
        </w:rPr>
        <w:t xml:space="preserve"> </w:t>
      </w:r>
      <w:proofErr w:type="spellStart"/>
      <w:r w:rsidRPr="00923B65">
        <w:rPr>
          <w:i/>
          <w:sz w:val="24"/>
          <w:lang w:val="pl-PL"/>
        </w:rPr>
        <w:t>magna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negatively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affected</w:t>
      </w:r>
      <w:proofErr w:type="spellEnd"/>
      <w:r w:rsidRPr="00923B65">
        <w:rPr>
          <w:sz w:val="24"/>
          <w:lang w:val="pl-PL"/>
        </w:rPr>
        <w:t xml:space="preserve"> by </w:t>
      </w:r>
      <w:proofErr w:type="spellStart"/>
      <w:r w:rsidRPr="00923B65">
        <w:rPr>
          <w:sz w:val="24"/>
          <w:lang w:val="pl-PL"/>
        </w:rPr>
        <w:t>chronic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exposure</w:t>
      </w:r>
      <w:proofErr w:type="spellEnd"/>
      <w:r w:rsidRPr="00923B65">
        <w:rPr>
          <w:sz w:val="24"/>
          <w:lang w:val="pl-PL"/>
        </w:rPr>
        <w:t xml:space="preserve"> to </w:t>
      </w:r>
      <w:proofErr w:type="spellStart"/>
      <w:r w:rsidRPr="00923B65">
        <w:rPr>
          <w:sz w:val="24"/>
          <w:lang w:val="pl-PL"/>
        </w:rPr>
        <w:t>purified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Cry-toxins</w:t>
      </w:r>
      <w:proofErr w:type="spellEnd"/>
      <w:r w:rsidRPr="00923B65">
        <w:rPr>
          <w:sz w:val="24"/>
          <w:lang w:val="pl-PL"/>
        </w:rPr>
        <w:t xml:space="preserve">” (Negatywny wpływ na </w:t>
      </w:r>
      <w:proofErr w:type="spellStart"/>
      <w:r w:rsidRPr="00923B65">
        <w:rPr>
          <w:i/>
          <w:sz w:val="24"/>
          <w:lang w:val="pl-PL"/>
        </w:rPr>
        <w:t>daphnia</w:t>
      </w:r>
      <w:proofErr w:type="spellEnd"/>
      <w:r w:rsidRPr="00923B65">
        <w:rPr>
          <w:i/>
          <w:sz w:val="24"/>
          <w:lang w:val="pl-PL"/>
        </w:rPr>
        <w:t xml:space="preserve"> </w:t>
      </w:r>
      <w:proofErr w:type="spellStart"/>
      <w:r w:rsidRPr="00923B65">
        <w:rPr>
          <w:i/>
          <w:sz w:val="24"/>
          <w:lang w:val="pl-PL"/>
        </w:rPr>
        <w:t>magna</w:t>
      </w:r>
      <w:proofErr w:type="spellEnd"/>
      <w:r w:rsidRPr="00923B65">
        <w:rPr>
          <w:i/>
          <w:sz w:val="24"/>
          <w:lang w:val="pl-PL"/>
        </w:rPr>
        <w:t xml:space="preserve"> </w:t>
      </w:r>
      <w:r w:rsidRPr="00923B65">
        <w:rPr>
          <w:sz w:val="24"/>
          <w:lang w:val="pl-PL"/>
        </w:rPr>
        <w:t xml:space="preserve">chronicznego narażenia na oczyszczone toksyny </w:t>
      </w:r>
      <w:proofErr w:type="spellStart"/>
      <w:r w:rsidRPr="00923B65">
        <w:rPr>
          <w:sz w:val="24"/>
          <w:lang w:val="pl-PL"/>
        </w:rPr>
        <w:t>Cry</w:t>
      </w:r>
      <w:proofErr w:type="spellEnd"/>
      <w:r w:rsidRPr="00923B65">
        <w:rPr>
          <w:sz w:val="24"/>
          <w:lang w:val="pl-PL"/>
        </w:rPr>
        <w:t xml:space="preserve">), Food and </w:t>
      </w:r>
      <w:proofErr w:type="spellStart"/>
      <w:r w:rsidRPr="00923B65">
        <w:rPr>
          <w:sz w:val="24"/>
          <w:lang w:val="pl-PL"/>
        </w:rPr>
        <w:t>Chemical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Toxicology</w:t>
      </w:r>
      <w:proofErr w:type="spellEnd"/>
      <w:r w:rsidRPr="00923B65">
        <w:rPr>
          <w:sz w:val="24"/>
          <w:lang w:val="pl-PL"/>
        </w:rPr>
        <w:t xml:space="preserve">, maj 2016, tom 91, s. 130-140, </w:t>
      </w:r>
      <w:r w:rsidR="00063CBD">
        <w:fldChar w:fldCharType="begin"/>
      </w:r>
      <w:r w:rsidR="00063CBD" w:rsidRPr="00063CBD">
        <w:rPr>
          <w:lang w:val="pl-PL"/>
        </w:rPr>
        <w:instrText>HYPERLINK "https://doi.org/10.1016/j.fct.2016.03.009"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https://doi.org/10.1016/j.fct.2016.03.009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13">
    <w:p w14:paraId="6B64F73D" w14:textId="41DBDB2B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M. </w:t>
      </w:r>
      <w:proofErr w:type="spellStart"/>
      <w:r w:rsidRPr="00923B65">
        <w:rPr>
          <w:sz w:val="24"/>
          <w:lang w:val="pl-PL"/>
        </w:rPr>
        <w:t>Trtikova</w:t>
      </w:r>
      <w:proofErr w:type="spellEnd"/>
      <w:r w:rsidRPr="00923B65">
        <w:rPr>
          <w:sz w:val="24"/>
          <w:lang w:val="pl-PL"/>
        </w:rPr>
        <w:t xml:space="preserve">, A. </w:t>
      </w:r>
      <w:proofErr w:type="spellStart"/>
      <w:r w:rsidRPr="00923B65">
        <w:rPr>
          <w:sz w:val="24"/>
          <w:lang w:val="pl-PL"/>
        </w:rPr>
        <w:t>Lohn</w:t>
      </w:r>
      <w:proofErr w:type="spellEnd"/>
      <w:r w:rsidRPr="00923B65">
        <w:rPr>
          <w:sz w:val="24"/>
          <w:lang w:val="pl-PL"/>
        </w:rPr>
        <w:t xml:space="preserve">, R. </w:t>
      </w:r>
      <w:proofErr w:type="spellStart"/>
      <w:r w:rsidRPr="00923B65">
        <w:rPr>
          <w:sz w:val="24"/>
          <w:lang w:val="pl-PL"/>
        </w:rPr>
        <w:t>Binimelis</w:t>
      </w:r>
      <w:proofErr w:type="spellEnd"/>
      <w:r w:rsidRPr="00923B65">
        <w:rPr>
          <w:sz w:val="24"/>
          <w:lang w:val="pl-PL"/>
        </w:rPr>
        <w:t xml:space="preserve">, I. </w:t>
      </w:r>
      <w:proofErr w:type="spellStart"/>
      <w:r w:rsidRPr="00923B65">
        <w:rPr>
          <w:sz w:val="24"/>
          <w:lang w:val="pl-PL"/>
        </w:rPr>
        <w:t>Chapela</w:t>
      </w:r>
      <w:proofErr w:type="spellEnd"/>
      <w:r w:rsidRPr="00923B65">
        <w:rPr>
          <w:sz w:val="24"/>
          <w:lang w:val="pl-PL"/>
        </w:rPr>
        <w:t xml:space="preserve">, B. </w:t>
      </w:r>
      <w:proofErr w:type="spellStart"/>
      <w:r w:rsidRPr="00923B65">
        <w:rPr>
          <w:sz w:val="24"/>
          <w:lang w:val="pl-PL"/>
        </w:rPr>
        <w:t>Oehen</w:t>
      </w:r>
      <w:proofErr w:type="spellEnd"/>
      <w:r w:rsidRPr="00923B65">
        <w:rPr>
          <w:sz w:val="24"/>
          <w:lang w:val="pl-PL"/>
        </w:rPr>
        <w:t xml:space="preserve">, N. </w:t>
      </w:r>
      <w:proofErr w:type="spellStart"/>
      <w:r w:rsidRPr="00923B65">
        <w:rPr>
          <w:sz w:val="24"/>
          <w:lang w:val="pl-PL"/>
        </w:rPr>
        <w:t>Zemp</w:t>
      </w:r>
      <w:proofErr w:type="spellEnd"/>
      <w:r w:rsidRPr="00923B65">
        <w:rPr>
          <w:sz w:val="24"/>
          <w:lang w:val="pl-PL"/>
        </w:rPr>
        <w:t xml:space="preserve">, A. </w:t>
      </w:r>
      <w:proofErr w:type="spellStart"/>
      <w:r w:rsidRPr="00923B65">
        <w:rPr>
          <w:sz w:val="24"/>
          <w:lang w:val="pl-PL"/>
        </w:rPr>
        <w:t>Widmer</w:t>
      </w:r>
      <w:proofErr w:type="spellEnd"/>
      <w:r w:rsidRPr="00923B65">
        <w:rPr>
          <w:sz w:val="24"/>
          <w:lang w:val="pl-PL"/>
        </w:rPr>
        <w:t xml:space="preserve">, A. </w:t>
      </w:r>
      <w:proofErr w:type="spellStart"/>
      <w:proofErr w:type="gramStart"/>
      <w:r w:rsidRPr="00923B65">
        <w:rPr>
          <w:sz w:val="24"/>
          <w:lang w:val="pl-PL"/>
        </w:rPr>
        <w:t>Hilbeck</w:t>
      </w:r>
      <w:proofErr w:type="spellEnd"/>
      <w:r w:rsidRPr="00923B65">
        <w:rPr>
          <w:sz w:val="24"/>
          <w:lang w:val="pl-PL"/>
        </w:rPr>
        <w:t>,</w:t>
      </w:r>
      <w:proofErr w:type="gramEnd"/>
      <w:r w:rsidRPr="00923B65">
        <w:rPr>
          <w:sz w:val="24"/>
          <w:lang w:val="pl-PL"/>
        </w:rPr>
        <w:t xml:space="preserve"> (2017), „</w:t>
      </w:r>
      <w:proofErr w:type="spellStart"/>
      <w:r w:rsidRPr="00923B65">
        <w:rPr>
          <w:sz w:val="24"/>
          <w:lang w:val="pl-PL"/>
        </w:rPr>
        <w:t>Teosinte</w:t>
      </w:r>
      <w:proofErr w:type="spellEnd"/>
      <w:r w:rsidRPr="00923B65">
        <w:rPr>
          <w:sz w:val="24"/>
          <w:lang w:val="pl-PL"/>
        </w:rPr>
        <w:t xml:space="preserve"> in Europe – </w:t>
      </w:r>
      <w:proofErr w:type="spellStart"/>
      <w:r w:rsidRPr="00923B65">
        <w:rPr>
          <w:sz w:val="24"/>
          <w:lang w:val="pl-PL"/>
        </w:rPr>
        <w:t>Searching</w:t>
      </w:r>
      <w:proofErr w:type="spellEnd"/>
      <w:r w:rsidRPr="00923B65">
        <w:rPr>
          <w:sz w:val="24"/>
          <w:lang w:val="pl-PL"/>
        </w:rPr>
        <w:t xml:space="preserve"> for the </w:t>
      </w:r>
      <w:proofErr w:type="spellStart"/>
      <w:r w:rsidRPr="00923B65">
        <w:rPr>
          <w:sz w:val="24"/>
          <w:lang w:val="pl-PL"/>
        </w:rPr>
        <w:t>Origin</w:t>
      </w:r>
      <w:proofErr w:type="spellEnd"/>
      <w:r w:rsidRPr="00923B65">
        <w:rPr>
          <w:sz w:val="24"/>
          <w:lang w:val="pl-PL"/>
        </w:rPr>
        <w:t xml:space="preserve"> of a </w:t>
      </w:r>
      <w:proofErr w:type="spellStart"/>
      <w:r w:rsidRPr="00923B65">
        <w:rPr>
          <w:sz w:val="24"/>
          <w:lang w:val="pl-PL"/>
        </w:rPr>
        <w:t>Novel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Weed</w:t>
      </w:r>
      <w:proofErr w:type="spellEnd"/>
      <w:r w:rsidRPr="00923B65">
        <w:rPr>
          <w:sz w:val="24"/>
          <w:lang w:val="pl-PL"/>
        </w:rPr>
        <w:t>” (</w:t>
      </w:r>
      <w:proofErr w:type="spellStart"/>
      <w:r w:rsidRPr="00923B65">
        <w:rPr>
          <w:sz w:val="24"/>
          <w:lang w:val="pl-PL"/>
        </w:rPr>
        <w:t>Teosinte</w:t>
      </w:r>
      <w:proofErr w:type="spellEnd"/>
      <w:r w:rsidRPr="00923B65">
        <w:rPr>
          <w:sz w:val="24"/>
          <w:lang w:val="pl-PL"/>
        </w:rPr>
        <w:t xml:space="preserve"> w Europie - w poszukiwaniu źródeł nowego chwastu), </w:t>
      </w:r>
      <w:proofErr w:type="spellStart"/>
      <w:r w:rsidRPr="00923B65">
        <w:rPr>
          <w:sz w:val="24"/>
          <w:lang w:val="pl-PL"/>
        </w:rPr>
        <w:t>Scientific</w:t>
      </w:r>
      <w:proofErr w:type="spellEnd"/>
      <w:r w:rsidRPr="00923B65">
        <w:rPr>
          <w:sz w:val="24"/>
          <w:lang w:val="pl-PL"/>
        </w:rPr>
        <w:t xml:space="preserve"> </w:t>
      </w:r>
      <w:proofErr w:type="spellStart"/>
      <w:r w:rsidRPr="00923B65">
        <w:rPr>
          <w:sz w:val="24"/>
          <w:lang w:val="pl-PL"/>
        </w:rPr>
        <w:t>Reports</w:t>
      </w:r>
      <w:proofErr w:type="spellEnd"/>
      <w:r w:rsidRPr="00923B65">
        <w:rPr>
          <w:sz w:val="24"/>
          <w:lang w:val="pl-PL"/>
        </w:rPr>
        <w:t xml:space="preserve">, 7:1560, </w:t>
      </w:r>
      <w:hyperlink r:id="rId9" w:history="1">
        <w:r w:rsidRPr="00923B65">
          <w:rPr>
            <w:rStyle w:val="Hyperlink"/>
            <w:sz w:val="24"/>
            <w:lang w:val="pl-PL"/>
          </w:rPr>
          <w:t>https://doi.org/10.1038/s41598-017-01478-w</w:t>
        </w:r>
      </w:hyperlink>
      <w:r w:rsidRPr="00923B65">
        <w:rPr>
          <w:sz w:val="24"/>
          <w:lang w:val="pl-PL"/>
        </w:rPr>
        <w:t>.</w:t>
      </w:r>
    </w:p>
  </w:footnote>
  <w:footnote w:id="14">
    <w:p w14:paraId="1B6DD2A1" w14:textId="3C11B5B3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Strategiczny dialog na temat przyszłości rolnictwa UE – wspólna perspektywa rolnictwa i żywności w Europie, wrzesień 2024, </w:t>
      </w:r>
      <w:r w:rsidR="00063CBD">
        <w:fldChar w:fldCharType="begin"/>
      </w:r>
      <w:r w:rsidR="00063CBD" w:rsidRPr="00063CBD">
        <w:rPr>
          <w:lang w:val="pl-PL"/>
        </w:rPr>
        <w:instrText>HYPERLINK "https://agriculture.ec.europa.eu/document/download/171329ff-0f50-4fa5-946f-aea11032172e_en?filename=strategic-dialogue-report-2024_en.pdf"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https://agriculture.ec.europa.eu/document/download/171329ff-0f50-4fa5-946f-aea11032172e_en?filename=strategic-dialogue-report-2024_en.pdf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15">
    <w:p w14:paraId="5F361A84" w14:textId="45AABE52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"https://www.ohchr.org/en/documents/thematic-reports/ahrc3448-report-special-rapporteur-right-food"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https://www.ohchr.org/en/documents/thematic-reports/ahrc3448-report-special-rapporteur-right-food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16">
    <w:p w14:paraId="39A4245A" w14:textId="198324F1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"https://www.un.org/sustainabledevelopment/health/"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https://www.un.org/sustainabledevelopment/health/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17">
    <w:p w14:paraId="691367D6" w14:textId="74506F9A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"https://ec.europa.eu/commission/presscorner/detail/pl/ip_22_7834"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https://ec.europa.eu/commission/presscorner/detail/en/ip_22_7834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18">
    <w:p w14:paraId="28836019" w14:textId="76ADD4B3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"https://commission.europa.eu/document/2c64e540-c07a-4376-a1da-368d289f4afe_en"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https://commission.europa.eu/document/2c64e540-c07a-4376-a1da-368d289f4afe_en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19">
    <w:p w14:paraId="530A7360" w14:textId="0E862AB9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</w:p>
  </w:footnote>
  <w:footnote w:id="20">
    <w:p w14:paraId="52F910FA" w14:textId="49635F1C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"https://food.ec.europa.eu/document/download/ee1a5aed-5303-4c32-bb59-813143a1df47_en?filename=sc_modif-genet_20250613_sum.pdf"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https://food.ec.europa.eu/document/download/ee1a5aed-5303-4c32-bb59-813143a1df47_en?filename=sc_modif-genet_20250613_sum.pdf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21">
    <w:p w14:paraId="380D1E43" w14:textId="52EA91E2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>Rozporządzenie (WE) nr 178/2002 Parlamentu Europejskiego i Rady z 28 stycznia 2002 r. ustanawiające ogólne zasady i wymagania prawa żywnościowego, powołujące Europejski Urząd ds. Bezpieczeństwa Żywności oraz ustanawiające procedury w zakresie bezpieczeństwa żywności (Dz.U. L 31 z </w:t>
      </w:r>
      <w:proofErr w:type="gramStart"/>
      <w:r w:rsidRPr="00923B65">
        <w:rPr>
          <w:sz w:val="24"/>
          <w:lang w:val="pl-PL"/>
        </w:rPr>
        <w:t>1.2.2002</w:t>
      </w:r>
      <w:proofErr w:type="gramEnd"/>
      <w:r w:rsidRPr="00923B65">
        <w:rPr>
          <w:sz w:val="24"/>
          <w:lang w:val="pl-PL"/>
        </w:rPr>
        <w:t xml:space="preserve">, s. 1, ELI: http://data.europa.eu/eli/reg/2002/178/oj). </w:t>
      </w:r>
      <w:r w:rsidR="00063CBD">
        <w:fldChar w:fldCharType="begin"/>
      </w:r>
      <w:r w:rsidR="00063CBD" w:rsidRPr="00063CBD">
        <w:rPr>
          <w:lang w:val="pl-PL"/>
        </w:rPr>
        <w:instrText>HYPERLINK "http://data.europa.eu/eli/reg/2002/178/oj"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http://data.europa.eu/eli/reg/2002/178/oj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).</w:t>
      </w:r>
    </w:p>
  </w:footnote>
  <w:footnote w:id="22">
    <w:p w14:paraId="6A4EC934" w14:textId="648015B3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Zgodnie z załącznikiem do komunikatu Komisji z 14 października 2020 r. pt. „Strategia w zakresie chemikaliów na rzecz </w:t>
      </w:r>
      <w:proofErr w:type="spellStart"/>
      <w:r w:rsidRPr="00923B65">
        <w:rPr>
          <w:sz w:val="24"/>
          <w:lang w:val="pl-PL"/>
        </w:rPr>
        <w:t>zrównoważoności</w:t>
      </w:r>
      <w:proofErr w:type="spellEnd"/>
      <w:r w:rsidRPr="00923B65">
        <w:rPr>
          <w:sz w:val="24"/>
          <w:lang w:val="pl-PL"/>
        </w:rPr>
        <w:t xml:space="preserve">”, </w:t>
      </w:r>
      <w:proofErr w:type="gramStart"/>
      <w:r w:rsidRPr="00923B65">
        <w:rPr>
          <w:sz w:val="24"/>
          <w:lang w:val="pl-PL"/>
        </w:rPr>
        <w:t>COM(</w:t>
      </w:r>
      <w:proofErr w:type="gramEnd"/>
      <w:r w:rsidRPr="00923B65">
        <w:rPr>
          <w:sz w:val="24"/>
          <w:lang w:val="pl-PL"/>
        </w:rPr>
        <w:t xml:space="preserve">2020)0667, </w:t>
      </w:r>
      <w:r w:rsidR="00063CBD">
        <w:fldChar w:fldCharType="begin"/>
      </w:r>
      <w:r w:rsidR="00063CBD" w:rsidRPr="00063CBD">
        <w:rPr>
          <w:lang w:val="pl-PL"/>
        </w:rPr>
        <w:instrText>HYPERLINK "https://eur-lex.europa.eu/legal-content/PL/TXT/?uri=CELEX:52020DC0667" \l "document2"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https://eur-lex.europa.eu/legal-content/EN/TXT/?uri=COM%3A2020%3A667%3AFIN#document2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>.</w:t>
      </w:r>
    </w:p>
  </w:footnote>
  <w:footnote w:id="23">
    <w:p w14:paraId="6B89BA10" w14:textId="5CE6D056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="00063CBD">
        <w:fldChar w:fldCharType="begin"/>
      </w:r>
      <w:r w:rsidR="00063CBD" w:rsidRPr="00063CBD">
        <w:rPr>
          <w:lang w:val="pl-PL"/>
        </w:rPr>
        <w:instrText>HYPERLINK "https://tillymetz.lu/wp-content/uploads/2020/09/Co-signed-letter-MEP-Metz.pdf"</w:instrText>
      </w:r>
      <w:r w:rsidR="00063CBD">
        <w:fldChar w:fldCharType="separate"/>
      </w:r>
      <w:r w:rsidRPr="00923B65">
        <w:rPr>
          <w:rStyle w:val="Hyperlink"/>
          <w:sz w:val="24"/>
          <w:lang w:val="pl-PL"/>
        </w:rPr>
        <w:t>https://tillymetz.lu/wp-content/uploads/2020/09/Co-signed-letter-MEP-Metz.pdf</w:t>
      </w:r>
      <w:r w:rsidR="00063CBD">
        <w:rPr>
          <w:rStyle w:val="Hyperlink"/>
          <w:sz w:val="24"/>
          <w:lang w:val="pl-PL"/>
        </w:rPr>
        <w:fldChar w:fldCharType="end"/>
      </w:r>
      <w:r w:rsidRPr="00923B65">
        <w:rPr>
          <w:sz w:val="24"/>
          <w:lang w:val="pl-PL"/>
        </w:rPr>
        <w:t xml:space="preserve">. </w:t>
      </w:r>
    </w:p>
  </w:footnote>
  <w:footnote w:id="24">
    <w:p w14:paraId="1DB3E06A" w14:textId="5190F889" w:rsidR="00867DFA" w:rsidRPr="00923B65" w:rsidRDefault="00867DFA" w:rsidP="00923B65">
      <w:pPr>
        <w:pStyle w:val="FootnoteText"/>
        <w:ind w:left="567" w:hanging="567"/>
        <w:rPr>
          <w:sz w:val="24"/>
          <w:lang w:val="pl-PL"/>
        </w:rPr>
      </w:pPr>
      <w:r w:rsidRPr="00923B65">
        <w:rPr>
          <w:rStyle w:val="FootnoteReference"/>
          <w:sz w:val="24"/>
          <w:lang w:val="pl-PL"/>
        </w:rPr>
        <w:footnoteRef/>
      </w:r>
      <w:r w:rsidR="00923B65" w:rsidRPr="00923B65">
        <w:rPr>
          <w:sz w:val="24"/>
          <w:lang w:val="pl-PL"/>
        </w:rPr>
        <w:t xml:space="preserve"> </w:t>
      </w:r>
      <w:r w:rsidR="00923B65" w:rsidRPr="00923B65">
        <w:rPr>
          <w:sz w:val="24"/>
          <w:lang w:val="pl-PL"/>
        </w:rPr>
        <w:tab/>
      </w:r>
      <w:r w:rsidRPr="00923B65">
        <w:rPr>
          <w:sz w:val="24"/>
          <w:lang w:val="pl-PL"/>
        </w:rPr>
        <w:t xml:space="preserve">Rezolucja Parlamentu Europejskiego z dnia 15 stycznia 2020 r. w sprawie Europejskiego Zielonego Ładu (Dz.U. C 270 z </w:t>
      </w:r>
      <w:proofErr w:type="gramStart"/>
      <w:r w:rsidRPr="00923B65">
        <w:rPr>
          <w:sz w:val="24"/>
          <w:lang w:val="pl-PL"/>
        </w:rPr>
        <w:t>7.7.2021</w:t>
      </w:r>
      <w:proofErr w:type="gramEnd"/>
      <w:r w:rsidRPr="00923B65">
        <w:rPr>
          <w:sz w:val="24"/>
          <w:lang w:val="pl-PL"/>
        </w:rPr>
        <w:t>, s.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4C314" w14:textId="77777777" w:rsidR="00064002" w:rsidRPr="00923B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B7C1" w14:textId="77777777" w:rsidR="00064002" w:rsidRPr="00923B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D998" w14:textId="77777777" w:rsidR="00064002" w:rsidRPr="00923B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2954919">
    <w:abstractNumId w:val="9"/>
  </w:num>
  <w:num w:numId="2" w16cid:durableId="1420636400">
    <w:abstractNumId w:val="9"/>
  </w:num>
  <w:num w:numId="3" w16cid:durableId="1896231080">
    <w:abstractNumId w:val="7"/>
  </w:num>
  <w:num w:numId="4" w16cid:durableId="273564962">
    <w:abstractNumId w:val="7"/>
  </w:num>
  <w:num w:numId="5" w16cid:durableId="1491828305">
    <w:abstractNumId w:val="6"/>
  </w:num>
  <w:num w:numId="6" w16cid:durableId="1610356267">
    <w:abstractNumId w:val="6"/>
  </w:num>
  <w:num w:numId="7" w16cid:durableId="1518542584">
    <w:abstractNumId w:val="5"/>
  </w:num>
  <w:num w:numId="8" w16cid:durableId="1565022405">
    <w:abstractNumId w:val="5"/>
  </w:num>
  <w:num w:numId="9" w16cid:durableId="1490170724">
    <w:abstractNumId w:val="4"/>
  </w:num>
  <w:num w:numId="10" w16cid:durableId="478153222">
    <w:abstractNumId w:val="4"/>
  </w:num>
  <w:num w:numId="11" w16cid:durableId="1847985936">
    <w:abstractNumId w:val="8"/>
  </w:num>
  <w:num w:numId="12" w16cid:durableId="163277529">
    <w:abstractNumId w:val="8"/>
  </w:num>
  <w:num w:numId="13" w16cid:durableId="953632349">
    <w:abstractNumId w:val="3"/>
  </w:num>
  <w:num w:numId="14" w16cid:durableId="196238101">
    <w:abstractNumId w:val="3"/>
  </w:num>
  <w:num w:numId="15" w16cid:durableId="807823826">
    <w:abstractNumId w:val="2"/>
  </w:num>
  <w:num w:numId="16" w16cid:durableId="1886984779">
    <w:abstractNumId w:val="2"/>
  </w:num>
  <w:num w:numId="17" w16cid:durableId="728773870">
    <w:abstractNumId w:val="1"/>
  </w:num>
  <w:num w:numId="18" w16cid:durableId="657731177">
    <w:abstractNumId w:val="1"/>
  </w:num>
  <w:num w:numId="19" w16cid:durableId="1805850740">
    <w:abstractNumId w:val="0"/>
  </w:num>
  <w:num w:numId="20" w16cid:durableId="531964201">
    <w:abstractNumId w:val="0"/>
  </w:num>
  <w:num w:numId="21" w16cid:durableId="1742941477">
    <w:abstractNumId w:val="9"/>
  </w:num>
  <w:num w:numId="22" w16cid:durableId="1081752417">
    <w:abstractNumId w:val="7"/>
  </w:num>
  <w:num w:numId="23" w16cid:durableId="1621107045">
    <w:abstractNumId w:val="6"/>
  </w:num>
  <w:num w:numId="24" w16cid:durableId="309288591">
    <w:abstractNumId w:val="5"/>
  </w:num>
  <w:num w:numId="25" w16cid:durableId="1279216238">
    <w:abstractNumId w:val="4"/>
  </w:num>
  <w:num w:numId="26" w16cid:durableId="1816607793">
    <w:abstractNumId w:val="8"/>
  </w:num>
  <w:num w:numId="27" w16cid:durableId="525873450">
    <w:abstractNumId w:val="3"/>
  </w:num>
  <w:num w:numId="28" w16cid:durableId="1717387517">
    <w:abstractNumId w:val="2"/>
  </w:num>
  <w:num w:numId="29" w16cid:durableId="1874804223">
    <w:abstractNumId w:val="1"/>
  </w:num>
  <w:num w:numId="30" w16cid:durableId="315034929">
    <w:abstractNumId w:val="0"/>
  </w:num>
  <w:num w:numId="31" w16cid:durableId="1042482003">
    <w:abstractNumId w:val="9"/>
  </w:num>
  <w:num w:numId="32" w16cid:durableId="1843012282">
    <w:abstractNumId w:val="7"/>
  </w:num>
  <w:num w:numId="33" w16cid:durableId="488442319">
    <w:abstractNumId w:val="6"/>
  </w:num>
  <w:num w:numId="34" w16cid:durableId="193884123">
    <w:abstractNumId w:val="5"/>
  </w:num>
  <w:num w:numId="35" w16cid:durableId="605507447">
    <w:abstractNumId w:val="4"/>
  </w:num>
  <w:num w:numId="36" w16cid:durableId="2032994191">
    <w:abstractNumId w:val="8"/>
  </w:num>
  <w:num w:numId="37" w16cid:durableId="1680616574">
    <w:abstractNumId w:val="3"/>
  </w:num>
  <w:num w:numId="38" w16cid:durableId="677118498">
    <w:abstractNumId w:val="2"/>
  </w:num>
  <w:num w:numId="39" w16cid:durableId="1023241163">
    <w:abstractNumId w:val="1"/>
  </w:num>
  <w:num w:numId="40" w16cid:durableId="1424767427">
    <w:abstractNumId w:val="0"/>
  </w:num>
  <w:num w:numId="41" w16cid:durableId="856623666">
    <w:abstractNumId w:val="10"/>
  </w:num>
  <w:num w:numId="42" w16cid:durableId="1286735723">
    <w:abstractNumId w:val="10"/>
  </w:num>
  <w:num w:numId="43" w16cid:durableId="1201278957">
    <w:abstractNumId w:val="10"/>
  </w:num>
  <w:num w:numId="44" w16cid:durableId="1220020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7/2025"/>
    <w:docVar w:name="dvlangue" w:val="PL"/>
    <w:docVar w:name="dvnumam" w:val="0"/>
    <w:docVar w:name="dvpe" w:val="775.588"/>
    <w:docVar w:name="dvtitre" w:val="Rezolucja Parlamentu Europejskiego z dnia  2025 r. w sprawie projektu decyzji wykonawczej Komisji zezwalającej na wprowadzenie do obrotu, na mocy rozporządzenia (WE) nr 1829/2003 Parlamentu Europejskiego i Rady, produktów zawierających genetycznie zmodyfikowaną kukurydzę DP51291, składających się z niej lub z niej wyprodukowanych(D108064/03 – 2025/2807(RSP))"/>
  </w:docVars>
  <w:rsids>
    <w:rsidRoot w:val="00DC7E93"/>
    <w:rsid w:val="00002272"/>
    <w:rsid w:val="00063CB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23C"/>
    <w:rsid w:val="00865F67"/>
    <w:rsid w:val="00867DFA"/>
    <w:rsid w:val="00881A7B"/>
    <w:rsid w:val="008840E5"/>
    <w:rsid w:val="00887B3E"/>
    <w:rsid w:val="008C2AC6"/>
    <w:rsid w:val="00923B6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E93"/>
    <w:rsid w:val="00E365E1"/>
    <w:rsid w:val="00E6085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9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47A99"/>
  <w15:chartTrackingRefBased/>
  <w15:docId w15:val="{0013DE79-4BFD-4130-812E-54AE544D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7DFA"/>
    <w:pPr>
      <w:spacing w:before="480" w:after="240"/>
    </w:pPr>
  </w:style>
  <w:style w:type="paragraph" w:customStyle="1" w:styleId="NormalHanging12a">
    <w:name w:val="NormalHanging12a"/>
    <w:basedOn w:val="Normal"/>
    <w:rsid w:val="00867DFA"/>
    <w:pPr>
      <w:spacing w:after="240"/>
      <w:ind w:left="567" w:hanging="567"/>
    </w:pPr>
  </w:style>
  <w:style w:type="paragraph" w:customStyle="1" w:styleId="NormalBold">
    <w:name w:val="NormalBold"/>
    <w:basedOn w:val="Normal"/>
    <w:rsid w:val="00867DFA"/>
    <w:rPr>
      <w:b/>
    </w:rPr>
  </w:style>
  <w:style w:type="character" w:styleId="Hyperlink">
    <w:name w:val="Hyperlink"/>
    <w:basedOn w:val="DefaultParagraphFont"/>
    <w:uiPriority w:val="99"/>
    <w:rsid w:val="00867DFA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867D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1/journal.pone.0123011" TargetMode="External"/><Relationship Id="rId3" Type="http://schemas.openxmlformats.org/officeDocument/2006/relationships/hyperlink" Target="http://data.europa.eu/eli/C/2025/1801/oj" TargetMode="External"/><Relationship Id="rId7" Type="http://schemas.openxmlformats.org/officeDocument/2006/relationships/hyperlink" Target="https://eur-lex.europa.eu/legal-content/PL/TXT/?uri=CELEX:32013R0503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reg/2011/182/oj" TargetMode="External"/><Relationship Id="rId6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802/oj" TargetMode="External"/><Relationship Id="rId9" Type="http://schemas.openxmlformats.org/officeDocument/2006/relationships/hyperlink" Target="https://doi.org/10.1038/s41598-017-01478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2334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2025-10-08T11:30:00Z</dcterms:created>
  <dcterms:modified xsi:type="dcterms:W3CDTF">2025-10-08T11:30:00Z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B10-0407/2025</vt:lpwstr>
  </property>
  <property fmtid="{D5CDD505-2E9C-101B-9397-08002B2CF9AE}" pid="4" name="&lt;Type&gt;">
    <vt:lpwstr>RR</vt:lpwstr>
  </property>
</Properties>
</file>