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1981" w14:paraId="1E41C5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7D9BC0" w14:textId="1644BB64" w:rsidR="00751A4A" w:rsidRPr="00D61981" w:rsidRDefault="002A0925" w:rsidP="0010095E">
            <w:pPr>
              <w:pStyle w:val="EPName"/>
            </w:pPr>
            <w:r w:rsidRPr="00D61981">
              <w:t xml:space="preserve">Parlamento </w:t>
            </w:r>
            <w:proofErr w:type="gramStart"/>
            <w:r w:rsidRPr="00D61981">
              <w:t>Europeu</w:t>
            </w:r>
            <w:proofErr w:type="gramEnd"/>
          </w:p>
          <w:p w14:paraId="0FCCBF63" w14:textId="77777777" w:rsidR="00751A4A" w:rsidRPr="00D619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1981">
              <w:t>2024</w:t>
            </w:r>
            <w:r w:rsidR="00817416" w:rsidRPr="00D61981">
              <w:t>-202</w:t>
            </w:r>
            <w:r w:rsidRPr="00D61981">
              <w:t>9</w:t>
            </w:r>
          </w:p>
        </w:tc>
        <w:tc>
          <w:tcPr>
            <w:tcW w:w="2268" w:type="dxa"/>
            <w:shd w:val="clear" w:color="auto" w:fill="auto"/>
          </w:tcPr>
          <w:p w14:paraId="3CD6FA01" w14:textId="77777777" w:rsidR="00751A4A" w:rsidRPr="00D61981" w:rsidRDefault="00187494" w:rsidP="0010095E">
            <w:pPr>
              <w:pStyle w:val="EPLogo"/>
            </w:pPr>
            <w:r w:rsidRPr="00D61981">
              <w:rPr>
                <w:noProof/>
                <w:lang w:eastAsia="ja-JP"/>
              </w:rPr>
              <w:drawing>
                <wp:inline distT="0" distB="0" distL="0" distR="0" wp14:anchorId="60883632" wp14:editId="6494152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3B7CCE" w14:textId="77777777" w:rsidR="00D058B8" w:rsidRPr="00D61981" w:rsidRDefault="00D058B8" w:rsidP="004C5D52">
      <w:pPr>
        <w:pStyle w:val="LineTop"/>
      </w:pPr>
    </w:p>
    <w:p w14:paraId="712FD681" w14:textId="50E3835E" w:rsidR="00680577" w:rsidRPr="00D61981" w:rsidRDefault="002A0925" w:rsidP="00680577">
      <w:pPr>
        <w:pStyle w:val="EPBodyTA1"/>
      </w:pPr>
      <w:r w:rsidRPr="00D61981">
        <w:t>TEXTOS APROVADOS</w:t>
      </w:r>
    </w:p>
    <w:p w14:paraId="534513BD" w14:textId="77777777" w:rsidR="00D058B8" w:rsidRPr="00D61981" w:rsidRDefault="00D058B8" w:rsidP="00D058B8">
      <w:pPr>
        <w:pStyle w:val="LineBottom"/>
      </w:pPr>
    </w:p>
    <w:p w14:paraId="779F2B7D" w14:textId="394FC1C9" w:rsidR="002A0925" w:rsidRPr="00D61981" w:rsidRDefault="002A0925" w:rsidP="002A0925">
      <w:pPr>
        <w:pStyle w:val="ATHeading1"/>
      </w:pPr>
      <w:bookmarkStart w:id="0" w:name="TANumber"/>
      <w:r w:rsidRPr="00D61981">
        <w:t>P10_</w:t>
      </w:r>
      <w:proofErr w:type="gramStart"/>
      <w:r w:rsidRPr="00D61981">
        <w:t>TA(</w:t>
      </w:r>
      <w:proofErr w:type="gramEnd"/>
      <w:r w:rsidRPr="00D61981">
        <w:t>2025)0</w:t>
      </w:r>
      <w:bookmarkEnd w:id="0"/>
      <w:r w:rsidR="00B356E6" w:rsidRPr="00D61981">
        <w:t>222</w:t>
      </w:r>
    </w:p>
    <w:p w14:paraId="54ABFBB9" w14:textId="29ED7948" w:rsidR="002A0925" w:rsidRPr="00D61981" w:rsidRDefault="00AC2E2D" w:rsidP="002A0925">
      <w:pPr>
        <w:pStyle w:val="ATHeading2"/>
      </w:pPr>
      <w:bookmarkStart w:id="1" w:name="title"/>
      <w:r w:rsidRPr="00D61981">
        <w:t>M</w:t>
      </w:r>
      <w:r w:rsidR="002A0925" w:rsidRPr="00D61981">
        <w:t>ilho geneticamente modificado DP51291</w:t>
      </w:r>
      <w:bookmarkEnd w:id="1"/>
    </w:p>
    <w:p w14:paraId="3FD8E489" w14:textId="77777777" w:rsidR="002A0925" w:rsidRPr="00D61981" w:rsidRDefault="002A0925" w:rsidP="002A0925">
      <w:pPr>
        <w:rPr>
          <w:i/>
          <w:vanish/>
        </w:rPr>
      </w:pPr>
      <w:r w:rsidRPr="00D61981">
        <w:rPr>
          <w:i/>
        </w:rPr>
        <w:fldChar w:fldCharType="begin"/>
      </w:r>
      <w:r w:rsidRPr="00D61981">
        <w:rPr>
          <w:i/>
        </w:rPr>
        <w:instrText xml:space="preserve"> TC"(</w:instrText>
      </w:r>
      <w:bookmarkStart w:id="2" w:name="DocNumber"/>
      <w:r w:rsidRPr="00D61981">
        <w:rPr>
          <w:i/>
        </w:rPr>
        <w:instrText>B10-0407/2025</w:instrText>
      </w:r>
      <w:bookmarkEnd w:id="2"/>
      <w:r w:rsidRPr="00D61981">
        <w:rPr>
          <w:i/>
        </w:rPr>
        <w:instrText xml:space="preserve">)"\l3 \n&gt; \* MERGEFORMAT </w:instrText>
      </w:r>
      <w:r w:rsidRPr="00D61981">
        <w:rPr>
          <w:i/>
        </w:rPr>
        <w:fldChar w:fldCharType="end"/>
      </w:r>
    </w:p>
    <w:p w14:paraId="3F262451" w14:textId="77777777" w:rsidR="002A0925" w:rsidRPr="00D61981" w:rsidRDefault="002A0925" w:rsidP="002A0925">
      <w:pPr>
        <w:rPr>
          <w:vanish/>
        </w:rPr>
      </w:pPr>
      <w:bookmarkStart w:id="3" w:name="PE"/>
      <w:r w:rsidRPr="00D61981">
        <w:rPr>
          <w:vanish/>
        </w:rPr>
        <w:t>PE775.588</w:t>
      </w:r>
      <w:bookmarkEnd w:id="3"/>
    </w:p>
    <w:p w14:paraId="49211E51" w14:textId="268E292B" w:rsidR="002A0925" w:rsidRPr="00D61981" w:rsidRDefault="002A0925" w:rsidP="002A0925">
      <w:pPr>
        <w:pStyle w:val="ATHeading3"/>
      </w:pPr>
      <w:bookmarkStart w:id="4" w:name="Sujet"/>
      <w:r w:rsidRPr="00D61981">
        <w:t xml:space="preserve">Resolução do Parlamento Europeu, de </w:t>
      </w:r>
      <w:r w:rsidR="00AC2E2D" w:rsidRPr="00D61981">
        <w:t>8</w:t>
      </w:r>
      <w:r w:rsidRPr="00D61981">
        <w:t xml:space="preserve"> de </w:t>
      </w:r>
      <w:r w:rsidR="00AC2E2D" w:rsidRPr="00D61981">
        <w:t>outubro</w:t>
      </w:r>
      <w:r w:rsidRPr="00D61981">
        <w:t xml:space="preserve"> de 2025, sobre </w:t>
      </w:r>
      <w:r w:rsidR="00AC2E2D" w:rsidRPr="00D61981">
        <w:t>a D</w:t>
      </w:r>
      <w:r w:rsidRPr="00D61981">
        <w:t xml:space="preserve">ecisão de </w:t>
      </w:r>
      <w:r w:rsidR="00AC2E2D" w:rsidRPr="00D61981">
        <w:t>E</w:t>
      </w:r>
      <w:r w:rsidRPr="00D61981">
        <w:t xml:space="preserve">xecução </w:t>
      </w:r>
      <w:r w:rsidR="00AC2E2D" w:rsidRPr="00D61981">
        <w:t xml:space="preserve">(UE) 2025/1898 </w:t>
      </w:r>
      <w:r w:rsidRPr="00D61981">
        <w:t>da Comissão</w:t>
      </w:r>
      <w:r w:rsidR="00AC2E2D" w:rsidRPr="00D61981">
        <w:t>,</w:t>
      </w:r>
      <w:r w:rsidRPr="00D61981">
        <w:t xml:space="preserve"> </w:t>
      </w:r>
      <w:r w:rsidR="00AC2E2D" w:rsidRPr="00D61981">
        <w:t xml:space="preserve">de 22 de setembro de 2025, </w:t>
      </w:r>
      <w:r w:rsidRPr="00D61981">
        <w:t>que autoriza a colocação no mercado de produtos que contenham, sejam constituídos por ou sejam produzidos a partir de milho geneticamente modificado DP51291 nos termos do Regulamento (CE) n.º 1829/2003 do Parlamento Europeu e do Conselho</w:t>
      </w:r>
      <w:bookmarkEnd w:id="4"/>
      <w:r w:rsidRPr="00D61981">
        <w:t xml:space="preserve"> </w:t>
      </w:r>
      <w:bookmarkStart w:id="5" w:name="References"/>
      <w:r w:rsidRPr="00D61981">
        <w:t>(2025/2807(RSP))</w:t>
      </w:r>
      <w:bookmarkEnd w:id="5"/>
    </w:p>
    <w:p w14:paraId="35E160AE" w14:textId="77777777" w:rsidR="00582999" w:rsidRPr="00D61981" w:rsidRDefault="00582999" w:rsidP="00582999">
      <w:pPr>
        <w:pStyle w:val="EPComma"/>
        <w:jc w:val="both"/>
      </w:pPr>
      <w:bookmarkStart w:id="6" w:name="TextBodyBegin"/>
      <w:bookmarkEnd w:id="6"/>
      <w:r w:rsidRPr="00D61981">
        <w:rPr>
          <w:i/>
          <w:iCs/>
        </w:rPr>
        <w:t>O Parlamento Europeu</w:t>
      </w:r>
      <w:r w:rsidRPr="00D61981">
        <w:t>,</w:t>
      </w:r>
    </w:p>
    <w:p w14:paraId="2246BDC4" w14:textId="49E6A9B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–</w:t>
      </w:r>
      <w:r w:rsidRPr="00D61981">
        <w:tab/>
        <w:t xml:space="preserve">Tendo em conta </w:t>
      </w:r>
      <w:r w:rsidR="00AC2E2D" w:rsidRPr="00D61981">
        <w:t>a</w:t>
      </w:r>
      <w:r w:rsidRPr="00D61981">
        <w:t xml:space="preserve"> </w:t>
      </w:r>
      <w:r w:rsidR="00AC2E2D" w:rsidRPr="00D61981">
        <w:t>Decisão de Execução (UE) 2025/1898 da Comissão, de 22 de setembro de 2025,</w:t>
      </w:r>
      <w:r w:rsidRPr="00D61981">
        <w:t xml:space="preserve"> que autoriza a colocação no mercado de produtos que contenham, sejam constituídos por ou sejam produzidos a partir de milho geneticamente modificado DP51291 nos termos do Regulamento (CE) n.º 1829/2003 do Parlamento Europeu e do Conselho</w:t>
      </w:r>
      <w:r w:rsidR="001E4AD8" w:rsidRPr="00D61981">
        <w:rPr>
          <w:rStyle w:val="FootnoteReference"/>
        </w:rPr>
        <w:footnoteReference w:id="1"/>
      </w:r>
      <w:r w:rsidRPr="00D61981">
        <w:t>,</w:t>
      </w:r>
    </w:p>
    <w:p w14:paraId="0EEAD7C8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–</w:t>
      </w:r>
      <w:r w:rsidRPr="00D61981">
        <w:tab/>
        <w:t>Tendo em conta o Regulamento (CE) n.º 1829/2003 do Parlamento Europeu e do Conselho, de 22 de setembro de 2003, relativo a géneros alimentícios e alimentos para animais geneticamente modificados</w:t>
      </w:r>
      <w:r w:rsidRPr="00D61981">
        <w:rPr>
          <w:rStyle w:val="FootnoteReference"/>
          <w:szCs w:val="24"/>
        </w:rPr>
        <w:footnoteReference w:id="2"/>
      </w:r>
      <w:r w:rsidRPr="00D61981">
        <w:t>, nomeadamente o artigo 7.º, n.º 3, e o artigo 19.º, n.º 3,</w:t>
      </w:r>
    </w:p>
    <w:p w14:paraId="6264C362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–</w:t>
      </w:r>
      <w:r w:rsidRPr="00D61981">
        <w:tab/>
        <w:t>Tendo em conta a votação do Comité Permanente dos Vegetais, Animais e Alimentos para Consumo Humano e Animal a que se refere o artigo 35.º do Regulamento (CE) n.º 1829/2003, realizada em 13 de junho de 2025, no âmbito da qual não foi emitido nenhum parecer, bem como a votação do Comité de Recurso realizada em 15 de julho de 2025, no âmbito da qual também não foi emitido nenhum parecer,</w:t>
      </w:r>
    </w:p>
    <w:p w14:paraId="4EA87B7D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–</w:t>
      </w:r>
      <w:r w:rsidRPr="00D61981">
        <w:tab/>
        <w:t>Tendo em conta o artigo 11.º do Regulamento (UE) n.º 182/2011 do Parlamento Europeu e do Conselho, de 16 de fevereiro de 2011, que estabelece as regras e os princípios gerais relativos aos mecanismos de controlo pelos Estados</w:t>
      </w:r>
      <w:r w:rsidRPr="00D61981">
        <w:noBreakHyphen/>
        <w:t>Membros do exercício das competências de execução pela Comissão</w:t>
      </w:r>
      <w:r w:rsidRPr="00D61981">
        <w:rPr>
          <w:rStyle w:val="FootnoteReference"/>
          <w:szCs w:val="24"/>
        </w:rPr>
        <w:footnoteReference w:id="3"/>
      </w:r>
      <w:r w:rsidRPr="00D61981">
        <w:t>,</w:t>
      </w:r>
    </w:p>
    <w:p w14:paraId="3096520A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lastRenderedPageBreak/>
        <w:t>–</w:t>
      </w:r>
      <w:r w:rsidRPr="00D61981">
        <w:tab/>
        <w:t>Tendo em conta o parecer adotado pela Autoridade Europeia para a Segurança dos Alimentos (EFSA) em 2 de outubro de 2024 e publicado em 11 de novembro de 2024</w:t>
      </w:r>
      <w:r w:rsidRPr="00D61981">
        <w:rPr>
          <w:rStyle w:val="FootnoteReference"/>
          <w:szCs w:val="24"/>
        </w:rPr>
        <w:footnoteReference w:id="4"/>
      </w:r>
      <w:r w:rsidRPr="00D61981">
        <w:t>,</w:t>
      </w:r>
    </w:p>
    <w:p w14:paraId="11D60521" w14:textId="77777777" w:rsidR="00582999" w:rsidRPr="00D61981" w:rsidRDefault="00582999" w:rsidP="00582999">
      <w:pPr>
        <w:pStyle w:val="NormalHanging12a"/>
        <w:widowControl/>
        <w:rPr>
          <w:szCs w:val="24"/>
          <w:shd w:val="clear" w:color="auto" w:fill="FFFFFF"/>
        </w:rPr>
      </w:pPr>
      <w:r w:rsidRPr="00D61981">
        <w:t>–</w:t>
      </w:r>
      <w:r w:rsidRPr="00D61981">
        <w:tab/>
      </w:r>
      <w:r w:rsidRPr="00D61981">
        <w:rPr>
          <w:shd w:val="clear" w:color="auto" w:fill="FFFFFF"/>
        </w:rPr>
        <w:t>Tendo em conta as suas anteriores resoluções em que se opôs à autorização de organismos geneticamente modificados (OGM)</w:t>
      </w:r>
      <w:r w:rsidRPr="00D61981">
        <w:rPr>
          <w:rStyle w:val="FootnoteReference"/>
          <w:szCs w:val="24"/>
          <w:shd w:val="clear" w:color="auto" w:fill="FFFFFF"/>
        </w:rPr>
        <w:footnoteReference w:id="5"/>
      </w:r>
      <w:r w:rsidRPr="00D61981">
        <w:rPr>
          <w:shd w:val="clear" w:color="auto" w:fill="FFFFFF"/>
        </w:rPr>
        <w:t>,</w:t>
      </w:r>
    </w:p>
    <w:p w14:paraId="5A8F7F01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lastRenderedPageBreak/>
        <w:t>–</w:t>
      </w:r>
      <w:r w:rsidRPr="00D61981">
        <w:tab/>
        <w:t xml:space="preserve">Tendo em conta o artigo 115.º, </w:t>
      </w:r>
      <w:proofErr w:type="spellStart"/>
      <w:proofErr w:type="gramStart"/>
      <w:r w:rsidRPr="00D61981">
        <w:t>n.</w:t>
      </w:r>
      <w:r w:rsidRPr="00D61981">
        <w:rPr>
          <w:vertAlign w:val="superscript"/>
        </w:rPr>
        <w:t>os</w:t>
      </w:r>
      <w:proofErr w:type="spellEnd"/>
      <w:proofErr w:type="gramEnd"/>
      <w:r w:rsidRPr="00D61981">
        <w:t xml:space="preserve"> 2 e 3, do seu Regimento,</w:t>
      </w:r>
    </w:p>
    <w:p w14:paraId="4E083629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–</w:t>
      </w:r>
      <w:r w:rsidRPr="00D61981">
        <w:tab/>
        <w:t>Tendo em conta a proposta de resolução da Comissão do Ambiente, do Clima e da Segurança Alimentar,</w:t>
      </w:r>
    </w:p>
    <w:p w14:paraId="2C1292D8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A.</w:t>
      </w:r>
      <w:r w:rsidRPr="00D61981">
        <w:tab/>
        <w:t xml:space="preserve">Considerando que, em 27 de janeiro de 2023, a empresa </w:t>
      </w:r>
      <w:proofErr w:type="spellStart"/>
      <w:r w:rsidRPr="00D61981">
        <w:t>Corteva</w:t>
      </w:r>
      <w:proofErr w:type="spellEnd"/>
      <w:r w:rsidRPr="00D61981">
        <w:t xml:space="preserve"> </w:t>
      </w:r>
      <w:proofErr w:type="spellStart"/>
      <w:r w:rsidRPr="00D61981">
        <w:t>Agriscience</w:t>
      </w:r>
      <w:proofErr w:type="spellEnd"/>
      <w:r w:rsidRPr="00D61981">
        <w:t xml:space="preserve"> </w:t>
      </w:r>
      <w:proofErr w:type="spellStart"/>
      <w:r w:rsidRPr="00D61981">
        <w:t>Belgium</w:t>
      </w:r>
      <w:proofErr w:type="spellEnd"/>
      <w:r w:rsidRPr="00D61981">
        <w:t xml:space="preserve"> B.V., com sede na Bélgica, agindo em nome da empresa </w:t>
      </w:r>
      <w:proofErr w:type="spellStart"/>
      <w:r w:rsidRPr="00D61981">
        <w:t>Corteva</w:t>
      </w:r>
      <w:proofErr w:type="spellEnd"/>
      <w:r w:rsidRPr="00D61981">
        <w:t xml:space="preserve"> </w:t>
      </w:r>
      <w:proofErr w:type="spellStart"/>
      <w:r w:rsidRPr="00D61981">
        <w:t>Agriscience</w:t>
      </w:r>
      <w:proofErr w:type="spellEnd"/>
      <w:r w:rsidRPr="00D61981">
        <w:t xml:space="preserve"> LLC, com sede nos Estados Unidos, apresentou um pedido à autoridade nacional competente dos Países Baixos para a colocação no mercado de géneros alimentícios, ingredientes alimentares e alimentos para animais que contenham, sejam constituídos por ou sejam produzidos a partir de milho geneticamente modificado DP51291 (a seguir «milho GM»);</w:t>
      </w:r>
    </w:p>
    <w:p w14:paraId="5F983B0A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B.</w:t>
      </w:r>
      <w:r w:rsidRPr="00D61981">
        <w:tab/>
        <w:t xml:space="preserve">Considerando que o milho GM produz a toxina IPD072Aa, que atua contra o crisomelídeo do sistema radicular do milho, a proteína </w:t>
      </w:r>
      <w:proofErr w:type="spellStart"/>
      <w:r w:rsidRPr="00D61981">
        <w:t>fosfinotricina</w:t>
      </w:r>
      <w:proofErr w:type="spellEnd"/>
      <w:r w:rsidRPr="00D61981">
        <w:t xml:space="preserve"> </w:t>
      </w:r>
      <w:proofErr w:type="spellStart"/>
      <w:r w:rsidRPr="00D61981">
        <w:t>acetiltransferase</w:t>
      </w:r>
      <w:proofErr w:type="spellEnd"/>
      <w:r w:rsidRPr="00D61981">
        <w:t xml:space="preserve"> </w:t>
      </w:r>
      <w:r w:rsidRPr="00D61981">
        <w:lastRenderedPageBreak/>
        <w:t xml:space="preserve">(PAT), que confere tolerância aos herbicidas que contêm </w:t>
      </w:r>
      <w:proofErr w:type="spellStart"/>
      <w:r w:rsidRPr="00D61981">
        <w:t>glufosinato</w:t>
      </w:r>
      <w:proofErr w:type="spellEnd"/>
      <w:r w:rsidRPr="00D61981">
        <w:t>, e a proteína PMI como marcador de seleção;</w:t>
      </w:r>
    </w:p>
    <w:p w14:paraId="6E1DCEEA" w14:textId="55D8CB1D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C.</w:t>
      </w:r>
      <w:r w:rsidRPr="00D61981">
        <w:tab/>
        <w:t xml:space="preserve">Considerando que o </w:t>
      </w:r>
      <w:proofErr w:type="spellStart"/>
      <w:r w:rsidRPr="00D61981">
        <w:t>glufosinato</w:t>
      </w:r>
      <w:proofErr w:type="spellEnd"/>
      <w:r w:rsidRPr="00D61981">
        <w:t>, considerado um herbicida complementar, está classificado como substância tóxica para a reprodução na categoria 1B e, por conseguinte, cumpre os «critérios de exclusão» estabelecidos no Regulamento (CE) n.º 1107/2009 do Parlamento Europeu e do Conselho</w:t>
      </w:r>
      <w:r w:rsidRPr="00D61981">
        <w:rPr>
          <w:rStyle w:val="FootnoteReference"/>
          <w:szCs w:val="24"/>
        </w:rPr>
        <w:footnoteReference w:id="6"/>
      </w:r>
      <w:r w:rsidR="006B67FC" w:rsidRPr="00D61981">
        <w:t>; considerando que</w:t>
      </w:r>
      <w:r w:rsidRPr="00D61981">
        <w:t xml:space="preserve"> a aprovação do </w:t>
      </w:r>
      <w:proofErr w:type="spellStart"/>
      <w:r w:rsidRPr="00D61981">
        <w:t>glufosinato</w:t>
      </w:r>
      <w:proofErr w:type="spellEnd"/>
      <w:r w:rsidRPr="00D61981">
        <w:t xml:space="preserve"> para efeitos de utilização na União expirou em 31 de julho de 2018;</w:t>
      </w:r>
    </w:p>
    <w:p w14:paraId="0897D083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D.</w:t>
      </w:r>
      <w:r w:rsidRPr="00D61981">
        <w:tab/>
        <w:t xml:space="preserve">Considerando que a IPD072Aa é uma toxina inseticida produzida pela bactéria </w:t>
      </w:r>
      <w:r w:rsidRPr="00D61981">
        <w:rPr>
          <w:i/>
          <w:iCs/>
        </w:rPr>
        <w:t xml:space="preserve">Pseudomonas </w:t>
      </w:r>
      <w:proofErr w:type="spellStart"/>
      <w:r w:rsidRPr="00D61981">
        <w:rPr>
          <w:i/>
          <w:iCs/>
        </w:rPr>
        <w:t>chlororaphis</w:t>
      </w:r>
      <w:proofErr w:type="spellEnd"/>
      <w:r w:rsidRPr="00D61981">
        <w:t xml:space="preserve"> que foi manipulada para atuar contra o crisomelídeo do sistema radicular do milho; </w:t>
      </w:r>
    </w:p>
    <w:p w14:paraId="4326DB7A" w14:textId="77777777" w:rsidR="00582999" w:rsidRPr="00D61981" w:rsidRDefault="00582999" w:rsidP="00582999">
      <w:pPr>
        <w:pStyle w:val="NormalHanging12a"/>
        <w:widowControl/>
        <w:rPr>
          <w:b/>
          <w:i/>
          <w:iCs/>
          <w:szCs w:val="24"/>
        </w:rPr>
      </w:pPr>
      <w:r w:rsidRPr="00D61981">
        <w:rPr>
          <w:b/>
          <w:i/>
        </w:rPr>
        <w:t>Manipulação genética complexa</w:t>
      </w:r>
    </w:p>
    <w:p w14:paraId="44BE9F67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E.</w:t>
      </w:r>
      <w:r w:rsidRPr="00D61981">
        <w:tab/>
        <w:t xml:space="preserve">Considerando que o milho DP51291 foi desenvolvido através de um processo complexo de manipulação genética em várias etapas que envolveu a criação de uma «plataforma de aterragem» genómica, seguida de um </w:t>
      </w:r>
      <w:proofErr w:type="spellStart"/>
      <w:r w:rsidRPr="00D61981">
        <w:t>cobombardeamento</w:t>
      </w:r>
      <w:proofErr w:type="spellEnd"/>
      <w:r w:rsidRPr="00D61981">
        <w:t xml:space="preserve"> de </w:t>
      </w:r>
      <w:proofErr w:type="spellStart"/>
      <w:r w:rsidRPr="00D61981">
        <w:t>microprojéteis</w:t>
      </w:r>
      <w:proofErr w:type="spellEnd"/>
      <w:r w:rsidRPr="00D61981">
        <w:t xml:space="preserve"> utilizando cinco plasmídeos e ulterior inserção de cassetes de expressão mediada pela bactéria </w:t>
      </w:r>
      <w:proofErr w:type="spellStart"/>
      <w:r w:rsidRPr="00D61981">
        <w:rPr>
          <w:i/>
          <w:iCs/>
        </w:rPr>
        <w:t>agrobacterium</w:t>
      </w:r>
      <w:proofErr w:type="spellEnd"/>
      <w:r w:rsidRPr="00D61981">
        <w:rPr>
          <w:i/>
          <w:iCs/>
        </w:rPr>
        <w:t xml:space="preserve"> </w:t>
      </w:r>
      <w:proofErr w:type="spellStart"/>
      <w:r w:rsidRPr="00D61981">
        <w:rPr>
          <w:i/>
          <w:iCs/>
        </w:rPr>
        <w:t>tumefaciens</w:t>
      </w:r>
      <w:proofErr w:type="spellEnd"/>
      <w:r w:rsidRPr="00D61981">
        <w:t xml:space="preserve"> na plataforma de aterragem;</w:t>
      </w:r>
    </w:p>
    <w:p w14:paraId="5FF60237" w14:textId="78F50274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F.</w:t>
      </w:r>
      <w:r w:rsidRPr="00D61981">
        <w:tab/>
        <w:t>Considerando que, de acordo com uma análise bioinformática, este processo de modificação genética resultou na supressão de 113 pares de bases de ADN genómico de milho e na criação de várias grelhas de leitura aberta (ORF), o que é indicativo de potenciais perturbações genómicas decorrentes do processo de transformação</w:t>
      </w:r>
      <w:r w:rsidR="006B67FC" w:rsidRPr="00D61981">
        <w:t>; considerando que</w:t>
      </w:r>
      <w:r w:rsidRPr="00D61981">
        <w:t xml:space="preserve"> cinco destas ORF apresentavam uma identidade de sequência de alérgenos conhecidos superior a 35 %, o que excede o limiar comummente utilizado nas avaliações de </w:t>
      </w:r>
      <w:proofErr w:type="spellStart"/>
      <w:r w:rsidRPr="00D61981">
        <w:t>alergenicidade</w:t>
      </w:r>
      <w:proofErr w:type="spellEnd"/>
      <w:r w:rsidRPr="00D61981">
        <w:rPr>
          <w:rStyle w:val="FootnoteReference"/>
          <w:szCs w:val="24"/>
        </w:rPr>
        <w:footnoteReference w:id="7"/>
      </w:r>
      <w:r w:rsidRPr="00D61981">
        <w:t xml:space="preserve">; </w:t>
      </w:r>
    </w:p>
    <w:p w14:paraId="68030DCB" w14:textId="77777777" w:rsidR="00582999" w:rsidRPr="00D61981" w:rsidRDefault="00582999" w:rsidP="00582999">
      <w:pPr>
        <w:pStyle w:val="NormalHanging12a"/>
        <w:widowControl/>
        <w:rPr>
          <w:b/>
          <w:i/>
          <w:iCs/>
          <w:szCs w:val="24"/>
        </w:rPr>
      </w:pPr>
      <w:r w:rsidRPr="00D61981">
        <w:rPr>
          <w:b/>
          <w:i/>
        </w:rPr>
        <w:t>Falta de dados sobre práticas agrícolas e fatores ambientais</w:t>
      </w:r>
    </w:p>
    <w:p w14:paraId="58350301" w14:textId="6A6C240F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G.</w:t>
      </w:r>
      <w:r w:rsidRPr="00D61981">
        <w:tab/>
        <w:t>Considerando que o Regulamento de Execução (UE) n.º 503/2013 da Comissão</w:t>
      </w:r>
      <w:r w:rsidRPr="00D61981">
        <w:rPr>
          <w:rStyle w:val="FootnoteReference"/>
          <w:szCs w:val="24"/>
        </w:rPr>
        <w:footnoteReference w:id="8"/>
      </w:r>
      <w:r w:rsidRPr="00D61981">
        <w:t xml:space="preserve"> exige que se avalie se as práticas agrícolas previstas influenciam a expressão dos parâmetros estudados</w:t>
      </w:r>
      <w:r w:rsidR="006B67FC" w:rsidRPr="00D61981">
        <w:t>; considerando que</w:t>
      </w:r>
      <w:r w:rsidRPr="00D61981">
        <w:t>, de acordo com o referido regulamento de execução, este aspeto é especialmente relevante no que respeita às plantas tolerantes a herbicidas;</w:t>
      </w:r>
    </w:p>
    <w:p w14:paraId="04C12A8A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lastRenderedPageBreak/>
        <w:t>H.</w:t>
      </w:r>
      <w:r w:rsidRPr="00D61981">
        <w:tab/>
        <w:t>Considerando que existem fatores de perturbação ambiental, como secas ou temperaturas extremas, que podem induzir padrões inesperados de expressão genética em sequências de ADN recentemente inseridas</w:t>
      </w:r>
      <w:r w:rsidRPr="00D61981">
        <w:rPr>
          <w:rStyle w:val="FootnoteReference"/>
          <w:szCs w:val="24"/>
        </w:rPr>
        <w:footnoteReference w:id="9"/>
      </w:r>
      <w:r w:rsidRPr="00D61981">
        <w:t xml:space="preserve">; </w:t>
      </w:r>
    </w:p>
    <w:p w14:paraId="01899633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I.</w:t>
      </w:r>
      <w:r w:rsidRPr="00D61981">
        <w:tab/>
        <w:t>Considerando que os ensaios de campo utilizados para sustentar a análise da composição e do fenótipo do milho GM foram realizados durante uma única estação vegetativa (2021) nos Estados Unidos e no Canadá em condições meteorológicas que não representam devidamente a diversidade de regiões de cultivo do milho, mormente em países como o Brasil;</w:t>
      </w:r>
    </w:p>
    <w:p w14:paraId="1653E07F" w14:textId="51B04078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J.</w:t>
      </w:r>
      <w:r w:rsidRPr="00D61981">
        <w:tab/>
        <w:t>Considerando que se registaram fenómenos meteorológicos extremos em alguns locais de ensaio</w:t>
      </w:r>
      <w:r w:rsidR="006B67FC" w:rsidRPr="00D61981">
        <w:t>; considerando que</w:t>
      </w:r>
      <w:r w:rsidRPr="00D61981">
        <w:t xml:space="preserve"> não se realizaram estudos específicos para avaliar as condições futuras que serão influenciadas pelas atuais alterações climáticas;</w:t>
      </w:r>
    </w:p>
    <w:p w14:paraId="2AD823EF" w14:textId="71A62072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K.</w:t>
      </w:r>
      <w:r w:rsidRPr="00D61981">
        <w:tab/>
        <w:t xml:space="preserve">Considerando que se aplicou </w:t>
      </w:r>
      <w:proofErr w:type="spellStart"/>
      <w:r w:rsidRPr="00D61981">
        <w:t>glufosinato</w:t>
      </w:r>
      <w:proofErr w:type="spellEnd"/>
      <w:r w:rsidRPr="00D61981">
        <w:t xml:space="preserve"> apenas uma vez durante os ensaios de campo, de acordo com as recomendações de dosagem da EFSA</w:t>
      </w:r>
      <w:r w:rsidR="006B67FC" w:rsidRPr="00D61981">
        <w:t>; considerando que</w:t>
      </w:r>
      <w:r w:rsidRPr="00D61981">
        <w:t>, não obstante, nas práticas agrícolas reais, é frequente a taxa e frequência de aplicação de herbicidas variarem consideravelmente entre regiões e a sua utilização pode ser mais intensiva ou repetida, o que significa que os dados dos ensaios de campo podem não refletir devidamente toda a variedade de condições ambientais e agrícolas em que o milho GM é suscetível de ser cultivado ou importado;</w:t>
      </w:r>
    </w:p>
    <w:p w14:paraId="40E744DB" w14:textId="77777777" w:rsidR="00582999" w:rsidRPr="00D61981" w:rsidRDefault="00582999" w:rsidP="00582999">
      <w:pPr>
        <w:pStyle w:val="NormalHanging12a"/>
        <w:widowControl/>
        <w:rPr>
          <w:b/>
          <w:i/>
          <w:iCs/>
          <w:szCs w:val="24"/>
        </w:rPr>
      </w:pPr>
      <w:r w:rsidRPr="00D61981">
        <w:rPr>
          <w:b/>
          <w:i/>
        </w:rPr>
        <w:t xml:space="preserve">Avaliação insuficiente do </w:t>
      </w:r>
      <w:proofErr w:type="spellStart"/>
      <w:r w:rsidRPr="00D61981">
        <w:rPr>
          <w:b/>
          <w:i/>
        </w:rPr>
        <w:t>glufosinato</w:t>
      </w:r>
      <w:proofErr w:type="spellEnd"/>
      <w:r w:rsidRPr="00D61981">
        <w:rPr>
          <w:b/>
          <w:i/>
        </w:rPr>
        <w:t xml:space="preserve"> </w:t>
      </w:r>
    </w:p>
    <w:p w14:paraId="03494A29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L.</w:t>
      </w:r>
      <w:r w:rsidRPr="00D61981">
        <w:tab/>
        <w:t xml:space="preserve">Considerando que o </w:t>
      </w:r>
      <w:proofErr w:type="spellStart"/>
      <w:r w:rsidRPr="00D61981">
        <w:t>glufosinato</w:t>
      </w:r>
      <w:proofErr w:type="spellEnd"/>
      <w:r w:rsidRPr="00D61981">
        <w:t xml:space="preserve"> está associado a riscos importantes para a biodiversidade, a toxicidade e a saúde dos ecossistemas a longo prazo;</w:t>
      </w:r>
    </w:p>
    <w:p w14:paraId="2DAEB25B" w14:textId="0D37A1FD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M.</w:t>
      </w:r>
      <w:r w:rsidRPr="00D61981">
        <w:tab/>
        <w:t>Considerando que a grande maioria das culturas GM foi geneticamente modificada para ser tolerante a um ou mais herbicidas complementares que podem ser utilizados ao longo de todo o cultivo da cultura GM sem originar a sua morte, como aconteceria com uma cultura que não tolera herbicidas</w:t>
      </w:r>
      <w:r w:rsidR="006B67FC" w:rsidRPr="00D61981">
        <w:t>; considerando que</w:t>
      </w:r>
      <w:r w:rsidRPr="00D61981">
        <w:t xml:space="preserve"> vários estudos demonstram que as culturas GM tolerantes a herbicidas resultam numa maior utilização de herbicidas </w:t>
      </w:r>
      <w:r w:rsidRPr="00D61981">
        <w:lastRenderedPageBreak/>
        <w:t>complementares, muito por causa do aparecimento de ervas daninhas tolerantes a herbicidas</w:t>
      </w:r>
      <w:r w:rsidRPr="00D61981">
        <w:rPr>
          <w:rStyle w:val="FootnoteReference"/>
          <w:szCs w:val="24"/>
        </w:rPr>
        <w:footnoteReference w:id="10"/>
      </w:r>
      <w:r w:rsidRPr="00D61981">
        <w:t>;</w:t>
      </w:r>
    </w:p>
    <w:p w14:paraId="21FD0E07" w14:textId="2A4E2208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N.</w:t>
      </w:r>
      <w:r w:rsidRPr="00D61981">
        <w:tab/>
        <w:t>Considerando que as culturas GM tolerantes a herbicidas prendem os agricultores a um sistema de gestão de ervas daninhas que depende, em grande parte ou totalmente, de herbicidas, e isso acontece porque é cobrado um suplemento pelas sementes GM que só se justifica se os agricultores que compram essas sementes também recorrerem à pulverização com herbicidas complementares</w:t>
      </w:r>
      <w:r w:rsidR="006B67FC" w:rsidRPr="00D61981">
        <w:t>; considerando que</w:t>
      </w:r>
      <w:r w:rsidRPr="00D61981">
        <w:t xml:space="preserve"> uma maior dependência de herbicidas complementares nas explorações dedicadas a culturas GM acelera o aparecimento e a propagação de ervas daninhas resistentes a esses herbicidas, o que desencadeia a necessidade de uma utilização ainda maior de herbicidas, conhecida como «círculo vicioso dos herbicidas»;</w:t>
      </w:r>
    </w:p>
    <w:p w14:paraId="040FD92B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O.</w:t>
      </w:r>
      <w:r w:rsidRPr="00D61981">
        <w:tab/>
        <w:t>Considerando que os efeitos adversos decorrentes da dependência excessiva de herbicidas deteriorarão ainda mais a saúde dos solos, a qualidade da água e a biodiversidade à superfície do solo e no subsolo e conduzirão a um aumento da exposição humana e animal, potencialmente também através do aumento dos resíduos de herbicidas nos géneros alimentícios e nos alimentos para animais;</w:t>
      </w:r>
    </w:p>
    <w:p w14:paraId="6F0B0A0E" w14:textId="4C94F8C2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P.</w:t>
      </w:r>
      <w:r w:rsidRPr="00D61981">
        <w:tab/>
        <w:t>Considerando que se entende que a avaliação dos resíduos de herbicidas e metabolitos encontrados nas plantas GM não se enquadra na esfera de competências do Painel dos Organismos Geneticamente Modificados da EFSA (</w:t>
      </w:r>
      <w:r w:rsidR="006B67FC" w:rsidRPr="00D61981">
        <w:t>«</w:t>
      </w:r>
      <w:r w:rsidRPr="00D61981">
        <w:t>Painel dos OGM da EFSA</w:t>
      </w:r>
      <w:r w:rsidR="006B67FC" w:rsidRPr="00D61981">
        <w:t>»</w:t>
      </w:r>
      <w:r w:rsidRPr="00D61981">
        <w:t>) e que, por conseguinte, não é realizada no âmbito do processo de autorização dos OGM;</w:t>
      </w:r>
    </w:p>
    <w:p w14:paraId="158DA736" w14:textId="77777777" w:rsidR="00582999" w:rsidRPr="00D61981" w:rsidRDefault="00582999" w:rsidP="00582999">
      <w:pPr>
        <w:pStyle w:val="NormalHanging12a"/>
        <w:widowControl/>
        <w:rPr>
          <w:b/>
          <w:i/>
          <w:iCs/>
          <w:szCs w:val="24"/>
        </w:rPr>
      </w:pPr>
      <w:r w:rsidRPr="00D61981">
        <w:rPr>
          <w:b/>
          <w:i/>
        </w:rPr>
        <w:t>Questões pendentes relativas à toxina IPD072Aa</w:t>
      </w:r>
    </w:p>
    <w:p w14:paraId="76547A49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Q.</w:t>
      </w:r>
      <w:r w:rsidRPr="00D61981">
        <w:tab/>
        <w:t>Considerando que o Regulamento de Execução (UE) n.º 503/2013 exige que se leve a cabo uma avaliação toxicológica para demonstrar que os efeitos intencionais de uma modificação genética não têm efeitos adversos na saúde humana e animal;</w:t>
      </w:r>
    </w:p>
    <w:p w14:paraId="21E44127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R.</w:t>
      </w:r>
      <w:r w:rsidRPr="00D61981">
        <w:tab/>
        <w:t>Considerando que a IPD072Aa é uma proteína nova, o que significa que a sua utilização na agricultura e a sua introdução na cadeia alimentar não podem basear</w:t>
      </w:r>
      <w:r w:rsidRPr="00D61981">
        <w:noBreakHyphen/>
        <w:t xml:space="preserve">se totalmente na experiência adquirida no passado; </w:t>
      </w:r>
    </w:p>
    <w:p w14:paraId="4CA427BE" w14:textId="127C4C73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S.</w:t>
      </w:r>
      <w:r w:rsidRPr="00D61981">
        <w:tab/>
        <w:t xml:space="preserve">Considerando que, malgrado as diferenças, as semelhanças observadas entre as toxinas IPD072Aa e </w:t>
      </w:r>
      <w:proofErr w:type="spellStart"/>
      <w:r w:rsidRPr="00D61981">
        <w:t>Bt</w:t>
      </w:r>
      <w:proofErr w:type="spellEnd"/>
      <w:r w:rsidRPr="00D61981">
        <w:t xml:space="preserve"> evidenciam a necessidade de se efetuar uma ponderação cuidada durante o processo de avaliação dos riscos</w:t>
      </w:r>
      <w:r w:rsidR="006B67FC" w:rsidRPr="00D61981">
        <w:t>; considerando que</w:t>
      </w:r>
      <w:r w:rsidRPr="00D61981">
        <w:t xml:space="preserve"> vários estudos indicaram que as toxinas </w:t>
      </w:r>
      <w:proofErr w:type="spellStart"/>
      <w:r w:rsidRPr="00D61981">
        <w:t>Bt</w:t>
      </w:r>
      <w:proofErr w:type="spellEnd"/>
      <w:r w:rsidRPr="00D61981">
        <w:t xml:space="preserve"> podem ter efeitos secundários relacionados com o sistema imunitário e </w:t>
      </w:r>
      <w:r w:rsidRPr="00D61981">
        <w:lastRenderedPageBreak/>
        <w:t>podem inclusivamente ter potenciais propriedades adjuvantes</w:t>
      </w:r>
      <w:r w:rsidRPr="00D61981">
        <w:rPr>
          <w:rStyle w:val="FootnoteReference"/>
          <w:szCs w:val="24"/>
        </w:rPr>
        <w:footnoteReference w:id="11"/>
      </w:r>
      <w:r w:rsidRPr="00D61981">
        <w:t xml:space="preserve">, o que significa que podem aumentar a </w:t>
      </w:r>
      <w:proofErr w:type="spellStart"/>
      <w:r w:rsidRPr="00D61981">
        <w:t>alergenicidade</w:t>
      </w:r>
      <w:proofErr w:type="spellEnd"/>
      <w:r w:rsidRPr="00D61981">
        <w:t xml:space="preserve"> de outras proteínas com que entram em contacto;</w:t>
      </w:r>
    </w:p>
    <w:p w14:paraId="5095952A" w14:textId="458D8C74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T.</w:t>
      </w:r>
      <w:r w:rsidRPr="00D61981">
        <w:tab/>
        <w:t xml:space="preserve">Considerando que um estudo científico concluiu que a toxicidade das toxinas </w:t>
      </w:r>
      <w:proofErr w:type="spellStart"/>
      <w:r w:rsidRPr="00D61981">
        <w:t>Bt</w:t>
      </w:r>
      <w:proofErr w:type="spellEnd"/>
      <w:r w:rsidRPr="00D61981">
        <w:t xml:space="preserve"> também pode aumentar através da interação com resíduos da pulverização com herbicidas e que são necessários mais estudos sobre os efeitos combinados de eventos «cumulativos» (culturas GM que foram modificadas para serem tolerantes a herbicidas e produzirem inseticidas sob a forma de toxinas </w:t>
      </w:r>
      <w:proofErr w:type="spellStart"/>
      <w:r w:rsidRPr="00D61981">
        <w:t>Bt</w:t>
      </w:r>
      <w:proofErr w:type="spellEnd"/>
      <w:r w:rsidRPr="00D61981">
        <w:t>)</w:t>
      </w:r>
      <w:r w:rsidRPr="00D61981">
        <w:rPr>
          <w:rStyle w:val="FootnoteReference"/>
          <w:szCs w:val="24"/>
        </w:rPr>
        <w:footnoteReference w:id="12"/>
      </w:r>
      <w:r w:rsidR="006B67FC" w:rsidRPr="00D61981">
        <w:t>; considerando que</w:t>
      </w:r>
      <w:r w:rsidRPr="00D61981">
        <w:t xml:space="preserve"> se entende, no entanto, que a avaliação da interação potencial dos resíduos de herbicidas e dos seus metabolitos com toxinas </w:t>
      </w:r>
      <w:proofErr w:type="spellStart"/>
      <w:r w:rsidRPr="00D61981">
        <w:t>Bt</w:t>
      </w:r>
      <w:proofErr w:type="spellEnd"/>
      <w:r w:rsidRPr="00D61981">
        <w:t xml:space="preserve"> não é da competência do Painel dos OGM da EFSA, pelo que não é realizada no âmbito da avaliação dos riscos;</w:t>
      </w:r>
    </w:p>
    <w:p w14:paraId="158850BD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U.</w:t>
      </w:r>
      <w:r w:rsidRPr="00D61981">
        <w:tab/>
        <w:t>Considerando que a avaliação da toxicidade da toxina IPD072Aa não tem em conta os potenciais efeitos sinérgicos ou cumulativos resultantes de interações com metabolitos vegetais ou resíduos de herbicidas;</w:t>
      </w:r>
    </w:p>
    <w:p w14:paraId="298E2C64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V.</w:t>
      </w:r>
      <w:r w:rsidRPr="00D61981">
        <w:tab/>
        <w:t>Considerando que não foram fornecidos dados sobre a acumulação de IPD072Aa nas cadeias alimentares, sobre a sua disseminação no ambiente, particularmente pelas águas residuais e pelo estrume no solo e nos ecossistemas aquáticos, nem sobre os seus efeitos em organismos não visados;</w:t>
      </w:r>
    </w:p>
    <w:p w14:paraId="4E49C7FA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W.</w:t>
      </w:r>
      <w:r w:rsidRPr="00D61981">
        <w:tab/>
        <w:t xml:space="preserve">Considerando que a possibilidade de transferência de genes para espécies selvagens aparentadas, como o teosinto, registada em Espanha e em França, suscita preocupações quanto à persistência do </w:t>
      </w:r>
      <w:proofErr w:type="spellStart"/>
      <w:r w:rsidRPr="00D61981">
        <w:t>transgene</w:t>
      </w:r>
      <w:proofErr w:type="spellEnd"/>
      <w:r w:rsidRPr="00D61981">
        <w:t xml:space="preserve"> no ambiente e às suas possíveis consequências ecológicas</w:t>
      </w:r>
      <w:r w:rsidRPr="00D61981">
        <w:rPr>
          <w:rStyle w:val="FootnoteReference"/>
          <w:szCs w:val="24"/>
        </w:rPr>
        <w:footnoteReference w:id="13"/>
      </w:r>
      <w:r w:rsidRPr="00D61981">
        <w:t>;</w:t>
      </w:r>
    </w:p>
    <w:p w14:paraId="7F899EE1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X.</w:t>
      </w:r>
      <w:r w:rsidRPr="00D61981">
        <w:tab/>
        <w:t xml:space="preserve">Considerando que os requisitos de monitorização estabelecidos no Regulamento de Execução (UE) n.º 503/2013 não são suficientemente aplicados e não existe uma verificação independente dos dados apresentados pela </w:t>
      </w:r>
      <w:proofErr w:type="spellStart"/>
      <w:r w:rsidRPr="00D61981">
        <w:t>Corteva</w:t>
      </w:r>
      <w:proofErr w:type="spellEnd"/>
      <w:r w:rsidRPr="00D61981">
        <w:t xml:space="preserve"> </w:t>
      </w:r>
      <w:proofErr w:type="spellStart"/>
      <w:r w:rsidRPr="00D61981">
        <w:t>Agriscience</w:t>
      </w:r>
      <w:proofErr w:type="spellEnd"/>
      <w:r w:rsidRPr="00D61981">
        <w:t xml:space="preserve"> LLC;</w:t>
      </w:r>
    </w:p>
    <w:p w14:paraId="5DA10E81" w14:textId="77777777" w:rsidR="00582999" w:rsidRPr="00D61981" w:rsidRDefault="00582999" w:rsidP="00582999">
      <w:pPr>
        <w:pStyle w:val="NormalHanging12a"/>
        <w:widowControl/>
        <w:ind w:left="0" w:firstLine="0"/>
        <w:rPr>
          <w:b/>
          <w:i/>
          <w:iCs/>
          <w:szCs w:val="24"/>
        </w:rPr>
      </w:pPr>
      <w:r w:rsidRPr="00D61981">
        <w:rPr>
          <w:b/>
          <w:i/>
        </w:rPr>
        <w:t>Assegurar condições de concorrência equitativas à escala mundial e respeitar as obrigações internacionais da União</w:t>
      </w:r>
    </w:p>
    <w:p w14:paraId="06B652F1" w14:textId="00AB7E2A" w:rsidR="00582999" w:rsidRPr="00D61981" w:rsidRDefault="00582999" w:rsidP="00582999">
      <w:pPr>
        <w:pStyle w:val="NormalHanging12a"/>
        <w:widowControl/>
        <w:rPr>
          <w:b/>
          <w:szCs w:val="24"/>
        </w:rPr>
      </w:pPr>
      <w:r w:rsidRPr="00D61981">
        <w:t>Y.</w:t>
      </w:r>
      <w:r w:rsidRPr="00D61981">
        <w:rPr>
          <w:b/>
        </w:rPr>
        <w:tab/>
      </w:r>
      <w:r w:rsidRPr="00D61981">
        <w:t>Considerando que não é permitido cultivar milho GM na União</w:t>
      </w:r>
      <w:r w:rsidR="006B67FC" w:rsidRPr="00D61981">
        <w:t>; considerando que</w:t>
      </w:r>
      <w:r w:rsidRPr="00D61981">
        <w:t xml:space="preserve"> a aprovação </w:t>
      </w:r>
      <w:r w:rsidR="007175FB" w:rsidRPr="00D61981">
        <w:t>da Decisão de Execução (UE) 2025/1898 da Comissão</w:t>
      </w:r>
      <w:r w:rsidRPr="00D61981">
        <w:t xml:space="preserve"> permitiria importar para a União produtos que não cumprem as normas respeitadas pelos agricultores da União, o que os deixaria numa situação de desvantagem concorrencial;</w:t>
      </w:r>
    </w:p>
    <w:p w14:paraId="1B98A67E" w14:textId="4E13BF1D" w:rsidR="00582999" w:rsidRPr="00D61981" w:rsidRDefault="00582999" w:rsidP="00582999">
      <w:pPr>
        <w:pStyle w:val="NormalHanging12a"/>
        <w:widowControl/>
        <w:rPr>
          <w:b/>
          <w:szCs w:val="24"/>
        </w:rPr>
      </w:pPr>
      <w:r w:rsidRPr="00D61981">
        <w:lastRenderedPageBreak/>
        <w:t>Z.</w:t>
      </w:r>
      <w:r w:rsidRPr="00D61981">
        <w:tab/>
        <w:t>Considerando que, nas conclusões do Diálogo Estratégico sobre o Futuro da Agricultura na UE</w:t>
      </w:r>
      <w:r w:rsidRPr="00D61981">
        <w:rPr>
          <w:rStyle w:val="FootnoteReference"/>
          <w:szCs w:val="24"/>
        </w:rPr>
        <w:footnoteReference w:id="14"/>
      </w:r>
      <w:r w:rsidRPr="00D61981">
        <w:t>, se pede à Comissão que reavalie a sua abordagem em relação ao acesso ao mercado das importações e exportações de produtos agroalimentares tendo em conta o problema das divergências entre as normas da União e as dos seus parceiros comerciais</w:t>
      </w:r>
      <w:r w:rsidR="006B67FC" w:rsidRPr="00D61981">
        <w:t>; considerando que</w:t>
      </w:r>
      <w:r w:rsidRPr="00D61981">
        <w:t>, durante as manifestações de 2023 e 2024, uma das principais reivindicações dos agricultores foi o estabelecimento de relações comerciais mais justas à escala mundial e consentâneas com os objetivos relativos a um ambiente saudável;</w:t>
      </w:r>
    </w:p>
    <w:p w14:paraId="4A37F96D" w14:textId="66979BAB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AA.</w:t>
      </w:r>
      <w:r w:rsidRPr="00D61981">
        <w:tab/>
        <w:t>Considerando que um relatório de 2017 do relator especial das Nações Unidas sobre o direito à alimentação concluiu que, especialmente nos países em desenvolvimento, os pesticidas perigosos têm efeitos catastróficos na saúde</w:t>
      </w:r>
      <w:r w:rsidRPr="00D61981">
        <w:rPr>
          <w:rStyle w:val="FootnoteReference"/>
          <w:szCs w:val="24"/>
        </w:rPr>
        <w:footnoteReference w:id="15"/>
      </w:r>
      <w:r w:rsidR="006B67FC" w:rsidRPr="00D61981">
        <w:t>; considerando que</w:t>
      </w:r>
      <w:r w:rsidRPr="00D61981">
        <w:t xml:space="preserve"> o Objetivo de Desenvolvimento Sustentável (doravante «ODS») 3.9 das Nações Unidas visa reduzir substancialmente, até 2030, o número de mortes e doenças devido a produtos químicos perigosos, contaminação e poluição do ar, da água e do solo</w:t>
      </w:r>
      <w:r w:rsidRPr="00D61981">
        <w:rPr>
          <w:rStyle w:val="FootnoteReference"/>
          <w:szCs w:val="24"/>
        </w:rPr>
        <w:footnoteReference w:id="16"/>
      </w:r>
      <w:r w:rsidRPr="00D61981">
        <w:t>;</w:t>
      </w:r>
    </w:p>
    <w:p w14:paraId="6068B9A4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AB.</w:t>
      </w:r>
      <w:r w:rsidRPr="00D61981">
        <w:tab/>
        <w:t>Considerando que o Quadro Mundial para a Biodiversidade de Kunming</w:t>
      </w:r>
      <w:r w:rsidRPr="00D61981">
        <w:noBreakHyphen/>
        <w:t>Montreal, adotado na COP15 da Convenção das Nações Unidas sobre a Diversidade Biológica (a seguir «CDB das Nações Unidas») em dezembro de 2022, inclui um objetivo global de reduzir o risco de pesticidas em, pelo menos, 50 % até 2030</w:t>
      </w:r>
      <w:r w:rsidRPr="00D61981">
        <w:rPr>
          <w:rStyle w:val="FootnoteReference"/>
          <w:szCs w:val="24"/>
        </w:rPr>
        <w:footnoteReference w:id="17"/>
      </w:r>
      <w:r w:rsidRPr="00D61981">
        <w:t>;</w:t>
      </w:r>
    </w:p>
    <w:p w14:paraId="2CA6A9C3" w14:textId="613BD625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AC.</w:t>
      </w:r>
      <w:r w:rsidRPr="00D61981">
        <w:tab/>
        <w:t>Considerando que o Regulamento (CE) n.º 1829/2003 determina que os géneros alimentícios ou os alimentos para animais GM não podem ter efeitos nocivos para a saúde humana, a saúde animal ou o ambiente e que a Comissão, ao elaborar a sua decisão, deve ter em conta todas as disposições aplicáveis da legislação da União e outros fatores legítimos relevantes para a matéria em apreço</w:t>
      </w:r>
      <w:r w:rsidR="006B67FC" w:rsidRPr="00D61981">
        <w:t>; considerando que</w:t>
      </w:r>
      <w:r w:rsidRPr="00D61981">
        <w:t xml:space="preserve"> esses fatores legítimos devem incluir as obrigações da União no âmbito dos ODS das Nações Unidas e da CDB das Nações Unidas;</w:t>
      </w:r>
    </w:p>
    <w:p w14:paraId="10CB67DF" w14:textId="77777777" w:rsidR="00582999" w:rsidRPr="00D61981" w:rsidRDefault="00582999" w:rsidP="00582999">
      <w:pPr>
        <w:pStyle w:val="NormalHanging12a"/>
        <w:widowControl/>
        <w:rPr>
          <w:b/>
          <w:i/>
          <w:iCs/>
          <w:szCs w:val="24"/>
        </w:rPr>
      </w:pPr>
      <w:r w:rsidRPr="00D61981">
        <w:rPr>
          <w:b/>
          <w:i/>
        </w:rPr>
        <w:t>Reduzir a dependência de alimentos para animais importados</w:t>
      </w:r>
    </w:p>
    <w:p w14:paraId="665C9B2B" w14:textId="4F93404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AD.</w:t>
      </w:r>
      <w:r w:rsidRPr="00D61981">
        <w:tab/>
        <w:t>Considerando que um dos ensinamentos da crise da COVID</w:t>
      </w:r>
      <w:r w:rsidRPr="00D61981">
        <w:noBreakHyphen/>
        <w:t>19 e da guerra ainda em curso na Ucrânia é a necessidade de a União pôr termo à dependência de alguns materiais essenciais</w:t>
      </w:r>
      <w:r w:rsidR="006B67FC" w:rsidRPr="00D61981">
        <w:t>; considerando que</w:t>
      </w:r>
      <w:r w:rsidRPr="00D61981">
        <w:t xml:space="preserve">, na carta de missão endereçada ao comissário </w:t>
      </w:r>
      <w:proofErr w:type="spellStart"/>
      <w:r w:rsidRPr="00D61981">
        <w:t>Christophe</w:t>
      </w:r>
      <w:proofErr w:type="spellEnd"/>
      <w:r w:rsidRPr="00D61981">
        <w:t xml:space="preserve"> </w:t>
      </w:r>
      <w:proofErr w:type="spellStart"/>
      <w:r w:rsidRPr="00D61981">
        <w:t>Hansen</w:t>
      </w:r>
      <w:proofErr w:type="spellEnd"/>
      <w:r w:rsidRPr="00D61981">
        <w:t xml:space="preserve">, a presidente da Comissão, </w:t>
      </w:r>
      <w:proofErr w:type="spellStart"/>
      <w:r w:rsidRPr="00D61981">
        <w:t>Ursula</w:t>
      </w:r>
      <w:proofErr w:type="spellEnd"/>
      <w:r w:rsidRPr="00D61981">
        <w:t xml:space="preserve"> von der </w:t>
      </w:r>
      <w:proofErr w:type="spellStart"/>
      <w:r w:rsidRPr="00D61981">
        <w:t>Leyen</w:t>
      </w:r>
      <w:proofErr w:type="spellEnd"/>
      <w:r w:rsidRPr="00D61981">
        <w:t>, lhe solicita que estude formas de reduzir as importações de produtos essenciais</w:t>
      </w:r>
      <w:r w:rsidRPr="00D61981">
        <w:rPr>
          <w:rStyle w:val="FootnoteReference"/>
          <w:szCs w:val="24"/>
        </w:rPr>
        <w:footnoteReference w:id="18"/>
      </w:r>
      <w:r w:rsidRPr="00D61981">
        <w:t>;</w:t>
      </w:r>
    </w:p>
    <w:p w14:paraId="09B9B391" w14:textId="77777777" w:rsidR="00582999" w:rsidRPr="00D61981" w:rsidRDefault="00582999" w:rsidP="00582999">
      <w:pPr>
        <w:pStyle w:val="NormalHanging12a"/>
        <w:widowControl/>
        <w:rPr>
          <w:b/>
          <w:i/>
          <w:iCs/>
          <w:szCs w:val="24"/>
        </w:rPr>
      </w:pPr>
      <w:r w:rsidRPr="00D61981">
        <w:rPr>
          <w:b/>
          <w:i/>
        </w:rPr>
        <w:t>Processo de decisão não democrático</w:t>
      </w:r>
    </w:p>
    <w:p w14:paraId="342A6737" w14:textId="5F15C0C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lastRenderedPageBreak/>
        <w:t>AE.</w:t>
      </w:r>
      <w:r w:rsidRPr="00D61981">
        <w:tab/>
        <w:t>Considerando que, na sua 8.ª legislatura, o Parlamento aprovou um total de 36 resoluções que se opunham à colocação no mercado de OGM destinados à alimentação humana e animal (33 resoluções) e ao cultivo de OGM na União (três resoluções)</w:t>
      </w:r>
      <w:r w:rsidR="006B67FC" w:rsidRPr="00D61981">
        <w:t>; considerando que</w:t>
      </w:r>
      <w:r w:rsidRPr="00D61981">
        <w:t>, na sua 9.ª legislatura, o Parlamento aprovou 38 resoluções que se opunham à colocação no mercado de OGM e, já na atual 10.ª legislatura, aprovou mais 11 resoluções que se opunham à colocação no mercado de OGM;</w:t>
      </w:r>
    </w:p>
    <w:p w14:paraId="59C682E5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AF.</w:t>
      </w:r>
      <w:r w:rsidRPr="00D61981">
        <w:tab/>
        <w:t>Considerando que, apesar de reconhecer a existência de lacunas democráticas, bem como a falta de apoio dos Estados</w:t>
      </w:r>
      <w:r w:rsidRPr="00D61981">
        <w:noBreakHyphen/>
        <w:t>Membros e as objeções do Parlamento, a Comissão continua a autorizar OGM;</w:t>
      </w:r>
    </w:p>
    <w:p w14:paraId="2F9863D5" w14:textId="77777777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AG.</w:t>
      </w:r>
      <w:r w:rsidRPr="00D61981">
        <w:tab/>
        <w:t>Considerando que não é necessário alterar a legislação para que a Comissão possa decidir não autorizar OGM quando não existe uma maioria qualificada de Estados</w:t>
      </w:r>
      <w:r w:rsidRPr="00D61981">
        <w:noBreakHyphen/>
        <w:t>Membros a favor no Comité de Recurso</w:t>
      </w:r>
      <w:r w:rsidRPr="00D61981">
        <w:rPr>
          <w:rStyle w:val="FootnoteReference"/>
          <w:szCs w:val="24"/>
        </w:rPr>
        <w:footnoteReference w:id="19"/>
      </w:r>
      <w:r w:rsidRPr="00D61981">
        <w:t>;</w:t>
      </w:r>
    </w:p>
    <w:p w14:paraId="043AB7A7" w14:textId="48526A7A" w:rsidR="00582999" w:rsidRPr="00D61981" w:rsidRDefault="00582999" w:rsidP="00582999">
      <w:pPr>
        <w:pStyle w:val="NormalHanging12a"/>
        <w:widowControl/>
        <w:rPr>
          <w:szCs w:val="24"/>
        </w:rPr>
      </w:pPr>
      <w:r w:rsidRPr="00D61981">
        <w:t>AH.</w:t>
      </w:r>
      <w:r w:rsidRPr="00D61981">
        <w:tab/>
        <w:t>Considerando que não resultou nenhum parecer da votação de 13 de junho de 2025 do Comité Permanente dos Vegetais, Animais e Alimentos para Consumo Humano e Animal a que se refere o artigo 35.º do Regulamento (CE) n.º 1829/2003, o que significa que a autorização não teve o apoio de uma maioria qualificada de Estados</w:t>
      </w:r>
      <w:r w:rsidRPr="00D61981">
        <w:noBreakHyphen/>
        <w:t>Membros</w:t>
      </w:r>
      <w:r w:rsidRPr="00D61981">
        <w:rPr>
          <w:rStyle w:val="FootnoteReference"/>
          <w:szCs w:val="24"/>
        </w:rPr>
        <w:footnoteReference w:id="20"/>
      </w:r>
      <w:r w:rsidR="006B67FC" w:rsidRPr="00D61981">
        <w:t>; considerando que</w:t>
      </w:r>
      <w:r w:rsidRPr="00D61981">
        <w:rPr>
          <w:shd w:val="clear" w:color="auto" w:fill="FFFFFF"/>
        </w:rPr>
        <w:t xml:space="preserve"> da votação de 15 de julho de 2025 do Comité de Recurso também não resultou nenhum parecer;</w:t>
      </w:r>
    </w:p>
    <w:p w14:paraId="5BA429E7" w14:textId="1CCBA848" w:rsidR="00582999" w:rsidRPr="00D61981" w:rsidRDefault="00582999" w:rsidP="00582999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D61981">
        <w:rPr>
          <w:b w:val="0"/>
        </w:rPr>
        <w:t>1.</w:t>
      </w:r>
      <w:r w:rsidRPr="00D61981">
        <w:rPr>
          <w:b w:val="0"/>
        </w:rPr>
        <w:tab/>
        <w:t xml:space="preserve">Considera que </w:t>
      </w:r>
      <w:r w:rsidR="00B04635" w:rsidRPr="00D61981">
        <w:rPr>
          <w:b w:val="0"/>
        </w:rPr>
        <w:t xml:space="preserve">a </w:t>
      </w:r>
      <w:r w:rsidR="00B04635" w:rsidRPr="00D61981">
        <w:rPr>
          <w:b w:val="0"/>
          <w:bCs/>
        </w:rPr>
        <w:t>Decisão de Execução (UE) 2025/1898 da Comissão</w:t>
      </w:r>
      <w:r w:rsidRPr="00D61981">
        <w:rPr>
          <w:b w:val="0"/>
        </w:rPr>
        <w:t xml:space="preserve"> excede as competências de execução previstas no Regulamento (CE) n.º 1829/2003;</w:t>
      </w:r>
    </w:p>
    <w:p w14:paraId="43E87183" w14:textId="4C03A374" w:rsidR="00582999" w:rsidRPr="00D61981" w:rsidRDefault="00582999" w:rsidP="00582999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D61981">
        <w:rPr>
          <w:b w:val="0"/>
        </w:rPr>
        <w:t>2.</w:t>
      </w:r>
      <w:r w:rsidRPr="00D61981">
        <w:rPr>
          <w:b w:val="0"/>
        </w:rPr>
        <w:tab/>
        <w:t xml:space="preserve">Considera que </w:t>
      </w:r>
      <w:r w:rsidR="00B04635" w:rsidRPr="00D61981">
        <w:rPr>
          <w:b w:val="0"/>
        </w:rPr>
        <w:t xml:space="preserve">a </w:t>
      </w:r>
      <w:r w:rsidR="00B04635" w:rsidRPr="00D61981">
        <w:rPr>
          <w:b w:val="0"/>
          <w:bCs/>
        </w:rPr>
        <w:t>Decisão de Execução (UE) 2025/1898 da Comissão</w:t>
      </w:r>
      <w:r w:rsidRPr="00D61981">
        <w:rPr>
          <w:b w:val="0"/>
        </w:rPr>
        <w:t xml:space="preserve"> não está em conformidade com o direito da União, na medida em que não é compatível com o objetivo do Regulamento (CE) n.º 1829/2003, o qual, de acordo com os princípios gerais estabelecidos no Regulamento (CE) n.º 178/2002 do Parlamento Europeu e do Conselho</w:t>
      </w:r>
      <w:r w:rsidRPr="00D61981">
        <w:rPr>
          <w:rStyle w:val="FootnoteReference"/>
          <w:b w:val="0"/>
          <w:szCs w:val="24"/>
        </w:rPr>
        <w:footnoteReference w:id="21"/>
      </w:r>
      <w:r w:rsidRPr="00D61981">
        <w:rPr>
          <w:b w:val="0"/>
        </w:rPr>
        <w:t>, consiste em estabelecer uma base para garantir um nível elevado de proteção da vida e da saúde humanas, da saúde e do bem</w:t>
      </w:r>
      <w:r w:rsidRPr="00D61981">
        <w:rPr>
          <w:b w:val="0"/>
        </w:rPr>
        <w:noBreakHyphen/>
        <w:t>estar dos animais, do ambiente e dos interesses dos consumidores no que diz respeito aos géneros alimentícios e alimentos para animais GM e, do mesmo passo, assegurar o funcionamento eficaz do mercado interno;</w:t>
      </w:r>
    </w:p>
    <w:p w14:paraId="47578C53" w14:textId="6D97B38D" w:rsidR="00582999" w:rsidRPr="00D61981" w:rsidRDefault="00582999" w:rsidP="00582999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D61981">
        <w:rPr>
          <w:b w:val="0"/>
        </w:rPr>
        <w:t>3.</w:t>
      </w:r>
      <w:r w:rsidRPr="00D61981">
        <w:rPr>
          <w:b w:val="0"/>
        </w:rPr>
        <w:tab/>
        <w:t xml:space="preserve">Solicita à Comissão que </w:t>
      </w:r>
      <w:r w:rsidR="00C85A7D" w:rsidRPr="00D61981">
        <w:rPr>
          <w:b w:val="0"/>
        </w:rPr>
        <w:t xml:space="preserve">revogue a sua </w:t>
      </w:r>
      <w:r w:rsidR="00C85A7D" w:rsidRPr="00D61981">
        <w:rPr>
          <w:b w:val="0"/>
          <w:bCs/>
        </w:rPr>
        <w:t>Decisão de Execução (UE) 2025/1898</w:t>
      </w:r>
      <w:r w:rsidRPr="00D61981">
        <w:rPr>
          <w:b w:val="0"/>
        </w:rPr>
        <w:t xml:space="preserve"> e que apresente um novo projeto ao comité;</w:t>
      </w:r>
    </w:p>
    <w:p w14:paraId="04AF2EE9" w14:textId="77777777" w:rsidR="00582999" w:rsidRPr="00D61981" w:rsidRDefault="00582999" w:rsidP="00582999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D61981">
        <w:rPr>
          <w:b w:val="0"/>
        </w:rPr>
        <w:lastRenderedPageBreak/>
        <w:t>4.</w:t>
      </w:r>
      <w:r w:rsidRPr="00D61981">
        <w:rPr>
          <w:b w:val="0"/>
        </w:rPr>
        <w:tab/>
        <w:t>Insta a Comissão a assegurar a convergência de normas entre a União e os seus parceiros nas negociações de acordos de comércio livre, a fim de garantir a conformidade com as normas de segurança da União;</w:t>
      </w:r>
    </w:p>
    <w:p w14:paraId="4FA7638E" w14:textId="77777777" w:rsidR="00582999" w:rsidRPr="00D61981" w:rsidRDefault="00582999" w:rsidP="00582999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D61981">
        <w:rPr>
          <w:b w:val="0"/>
        </w:rPr>
        <w:t>5.</w:t>
      </w:r>
      <w:r w:rsidRPr="00D61981">
        <w:rPr>
          <w:b w:val="0"/>
        </w:rPr>
        <w:tab/>
        <w:t>Exorta a Comissão a não autorizar milho GM devido aos riscos acrescidos para a biodiversidade, a segurança alimentar e a saúde dos trabalhadores, em consonância com a abordagem «Uma Só Saúde»;</w:t>
      </w:r>
    </w:p>
    <w:p w14:paraId="63A3204A" w14:textId="77777777" w:rsidR="00582999" w:rsidRPr="00D61981" w:rsidRDefault="00582999" w:rsidP="00582999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D61981">
        <w:rPr>
          <w:b w:val="0"/>
        </w:rPr>
        <w:t>6.</w:t>
      </w:r>
      <w:r w:rsidRPr="00D61981">
        <w:rPr>
          <w:b w:val="0"/>
        </w:rPr>
        <w:tab/>
        <w:t>Espera que a Comissão cumpra, com caráter de urgência, o compromisso assumido</w:t>
      </w:r>
      <w:r w:rsidRPr="00D61981">
        <w:rPr>
          <w:rStyle w:val="FootnoteReference"/>
          <w:b w:val="0"/>
          <w:szCs w:val="24"/>
        </w:rPr>
        <w:footnoteReference w:id="22"/>
      </w:r>
      <w:r w:rsidRPr="00D61981">
        <w:rPr>
          <w:b w:val="0"/>
        </w:rPr>
        <w:t xml:space="preserve"> de apresentar uma proposta para garantir que os produtos químicos perigosos proibidos na União Europeia não sejam produzidos para exportação;</w:t>
      </w:r>
    </w:p>
    <w:p w14:paraId="041AB1B2" w14:textId="77777777" w:rsidR="00582999" w:rsidRPr="00D61981" w:rsidRDefault="00582999" w:rsidP="00582999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D61981">
        <w:rPr>
          <w:b w:val="0"/>
        </w:rPr>
        <w:t>7.</w:t>
      </w:r>
      <w:r w:rsidRPr="00D61981">
        <w:rPr>
          <w:b w:val="0"/>
        </w:rPr>
        <w:tab/>
        <w:t>Congratula</w:t>
      </w:r>
      <w:r w:rsidRPr="00D61981">
        <w:rPr>
          <w:b w:val="0"/>
        </w:rPr>
        <w:noBreakHyphen/>
        <w:t>se por a Comissão ter finalmente reconhecido, numa carta de 11 de setembro de 2020 dirigida aos deputados, a necessidade de ter em conta a sustentabilidade nas decisões de autorização de OGM</w:t>
      </w:r>
      <w:r w:rsidRPr="00D61981">
        <w:rPr>
          <w:rStyle w:val="FootnoteReference"/>
          <w:b w:val="0"/>
          <w:szCs w:val="24"/>
        </w:rPr>
        <w:footnoteReference w:id="23"/>
      </w:r>
      <w:r w:rsidRPr="00D61981">
        <w:rPr>
          <w:b w:val="0"/>
        </w:rPr>
        <w:t>; manifesta, no entanto, profunda deceção por, desde então, a Comissão ter continuado a autorizar a importação de OGM para a União, apesar das objeções levantadas pelo Parlamento e do voto contra da maioria dos Estados</w:t>
      </w:r>
      <w:r w:rsidRPr="00D61981">
        <w:rPr>
          <w:b w:val="0"/>
        </w:rPr>
        <w:noBreakHyphen/>
        <w:t>Membros;</w:t>
      </w:r>
    </w:p>
    <w:p w14:paraId="0F1FA1FB" w14:textId="77777777" w:rsidR="00582999" w:rsidRPr="00D61981" w:rsidRDefault="00582999" w:rsidP="00582999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D61981">
        <w:rPr>
          <w:b w:val="0"/>
        </w:rPr>
        <w:t>8.</w:t>
      </w:r>
      <w:r w:rsidRPr="00D61981">
        <w:rPr>
          <w:b w:val="0"/>
        </w:rPr>
        <w:tab/>
        <w:t>Exorta novamente a Comissão a ter em conta as obrigações que incumbem à União por força de acordos internacionais, como o Acordo de Paris sobre as alterações climáticas, a CDB e os ODS das Nações Unidas; reitera o seu apelo no sentido de os projetos de atos de execução serem acompanhados de uma exposição de motivos que explique como asseguram o respeito do princípio de «não prejudicar»</w:t>
      </w:r>
      <w:r w:rsidRPr="00D61981">
        <w:rPr>
          <w:rStyle w:val="FootnoteReference"/>
          <w:b w:val="0"/>
          <w:szCs w:val="24"/>
        </w:rPr>
        <w:footnoteReference w:id="24"/>
      </w:r>
      <w:r w:rsidRPr="00D61981">
        <w:rPr>
          <w:b w:val="0"/>
        </w:rPr>
        <w:t>;</w:t>
      </w:r>
    </w:p>
    <w:p w14:paraId="4B95C305" w14:textId="473AC991" w:rsidR="005B3600" w:rsidRPr="00D61981" w:rsidRDefault="00582999" w:rsidP="005B3600">
      <w:pPr>
        <w:pStyle w:val="NormalBold"/>
        <w:widowControl/>
        <w:spacing w:after="240"/>
        <w:ind w:left="567" w:hanging="567"/>
      </w:pPr>
      <w:r w:rsidRPr="00D61981">
        <w:rPr>
          <w:b w:val="0"/>
        </w:rPr>
        <w:t>9.</w:t>
      </w:r>
      <w:r w:rsidRPr="00D61981">
        <w:rPr>
          <w:b w:val="0"/>
        </w:rPr>
        <w:tab/>
        <w:t>Encarrega a sua Presidente de transmitir a presente resolução ao Conselho, à Comissão e aos governos e parlamentos dos Estados</w:t>
      </w:r>
      <w:r w:rsidRPr="00D61981">
        <w:rPr>
          <w:b w:val="0"/>
        </w:rPr>
        <w:noBreakHyphen/>
        <w:t>Membros.</w:t>
      </w:r>
    </w:p>
    <w:p w14:paraId="2C0D04AB" w14:textId="33786E9E" w:rsidR="00E365E1" w:rsidRPr="00D61981" w:rsidRDefault="00E365E1" w:rsidP="002A0925"/>
    <w:sectPr w:rsidR="00E365E1" w:rsidRPr="00D61981" w:rsidSect="005B36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41E99" w14:textId="77777777" w:rsidR="002A0925" w:rsidRPr="005B3600" w:rsidRDefault="002A0925">
      <w:r w:rsidRPr="005B3600">
        <w:separator/>
      </w:r>
    </w:p>
  </w:endnote>
  <w:endnote w:type="continuationSeparator" w:id="0">
    <w:p w14:paraId="42F7BEF3" w14:textId="77777777" w:rsidR="002A0925" w:rsidRPr="005B3600" w:rsidRDefault="002A0925">
      <w:r w:rsidRPr="005B36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D6343" w14:textId="77777777" w:rsidR="00064002" w:rsidRPr="005B36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3DBBE" w14:textId="77777777" w:rsidR="00064002" w:rsidRPr="005B36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78E35" w14:textId="77777777" w:rsidR="00064002" w:rsidRPr="005B36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A832D" w14:textId="77777777" w:rsidR="002A0925" w:rsidRPr="005B3600" w:rsidRDefault="002A0925">
      <w:r w:rsidRPr="005B3600">
        <w:separator/>
      </w:r>
    </w:p>
  </w:footnote>
  <w:footnote w:type="continuationSeparator" w:id="0">
    <w:p w14:paraId="63188604" w14:textId="77777777" w:rsidR="002A0925" w:rsidRPr="005B3600" w:rsidRDefault="002A0925">
      <w:r w:rsidRPr="005B3600">
        <w:continuationSeparator/>
      </w:r>
    </w:p>
  </w:footnote>
  <w:footnote w:id="1">
    <w:p w14:paraId="5953BD4E" w14:textId="7FE75670" w:rsidR="001E4AD8" w:rsidRPr="00B356E6" w:rsidRDefault="001E4AD8" w:rsidP="00B356E6">
      <w:pPr>
        <w:pStyle w:val="FootnoteText"/>
        <w:ind w:left="567" w:hanging="567"/>
        <w:rPr>
          <w:sz w:val="24"/>
          <w:szCs w:val="24"/>
          <w:lang w:val="fi-FI"/>
        </w:rPr>
      </w:pPr>
      <w:r w:rsidRPr="00B356E6">
        <w:rPr>
          <w:rStyle w:val="FootnoteReference"/>
          <w:sz w:val="24"/>
          <w:szCs w:val="24"/>
        </w:rPr>
        <w:footnoteRef/>
      </w:r>
      <w:r w:rsidRPr="00B356E6">
        <w:rPr>
          <w:sz w:val="24"/>
          <w:szCs w:val="24"/>
          <w:lang w:val="fi-FI"/>
        </w:rPr>
        <w:t xml:space="preserve"> </w:t>
      </w:r>
      <w:r w:rsidRPr="00B356E6">
        <w:rPr>
          <w:sz w:val="24"/>
          <w:szCs w:val="24"/>
          <w:lang w:val="fi-FI"/>
        </w:rPr>
        <w:tab/>
        <w:t>JO L</w:t>
      </w:r>
      <w:r>
        <w:rPr>
          <w:sz w:val="24"/>
          <w:szCs w:val="24"/>
          <w:lang w:val="fi-FI"/>
        </w:rPr>
        <w:t>,</w:t>
      </w:r>
      <w:r w:rsidRPr="00B356E6">
        <w:rPr>
          <w:sz w:val="24"/>
          <w:szCs w:val="24"/>
          <w:lang w:val="fi-FI"/>
        </w:rPr>
        <w:t xml:space="preserve"> 2025/1898, 23.9.2025, ELI: http://data.europa.eu/eli/dec_impl/2025/1898/oj</w:t>
      </w:r>
      <w:r>
        <w:rPr>
          <w:sz w:val="24"/>
          <w:szCs w:val="24"/>
          <w:lang w:val="fi-FI"/>
        </w:rPr>
        <w:t>.</w:t>
      </w:r>
    </w:p>
  </w:footnote>
  <w:footnote w:id="2">
    <w:p w14:paraId="5A510F17" w14:textId="3667F24B" w:rsidR="00582999" w:rsidRPr="00B356E6" w:rsidRDefault="00582999" w:rsidP="005B3600">
      <w:pPr>
        <w:pStyle w:val="FootnoteText"/>
        <w:ind w:left="567" w:hanging="567"/>
        <w:rPr>
          <w:b/>
          <w:bCs/>
          <w:sz w:val="24"/>
          <w:szCs w:val="24"/>
          <w:lang w:val="da-DK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B356E6">
        <w:rPr>
          <w:sz w:val="24"/>
          <w:szCs w:val="24"/>
          <w:lang w:val="da-DK"/>
        </w:rPr>
        <w:t xml:space="preserve"> </w:t>
      </w:r>
      <w:r w:rsidR="005B3600" w:rsidRPr="00B356E6">
        <w:rPr>
          <w:sz w:val="24"/>
          <w:szCs w:val="24"/>
          <w:lang w:val="da-DK"/>
        </w:rPr>
        <w:tab/>
      </w:r>
      <w:r w:rsidRPr="00B356E6">
        <w:rPr>
          <w:sz w:val="24"/>
          <w:szCs w:val="24"/>
          <w:lang w:val="da-DK"/>
        </w:rPr>
        <w:t>JO L 268 de 18.10.2003, p. 1, ELI: </w:t>
      </w:r>
      <w:hyperlink r:id="rId1" w:history="1">
        <w:r w:rsidRPr="00B356E6">
          <w:rPr>
            <w:rStyle w:val="Hyperlink"/>
            <w:sz w:val="24"/>
            <w:szCs w:val="24"/>
            <w:lang w:val="da-DK"/>
          </w:rPr>
          <w:t>http://data.europa.eu/eli/reg/2003/1829/oj</w:t>
        </w:r>
      </w:hyperlink>
      <w:r w:rsidRPr="00B356E6">
        <w:rPr>
          <w:sz w:val="24"/>
          <w:szCs w:val="24"/>
          <w:u w:val="single"/>
          <w:lang w:val="da-DK"/>
        </w:rPr>
        <w:t>.</w:t>
      </w:r>
    </w:p>
  </w:footnote>
  <w:footnote w:id="3">
    <w:p w14:paraId="72BCCB1B" w14:textId="21B35AA7" w:rsidR="00582999" w:rsidRPr="00B356E6" w:rsidRDefault="00582999" w:rsidP="005B3600">
      <w:pPr>
        <w:pStyle w:val="FootnoteText"/>
        <w:ind w:left="567" w:hanging="567"/>
        <w:rPr>
          <w:sz w:val="24"/>
          <w:szCs w:val="24"/>
          <w:lang w:val="da-DK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B356E6">
        <w:rPr>
          <w:sz w:val="24"/>
          <w:szCs w:val="24"/>
          <w:lang w:val="da-DK"/>
        </w:rPr>
        <w:t xml:space="preserve"> </w:t>
      </w:r>
      <w:r w:rsidR="005B3600" w:rsidRPr="00B356E6">
        <w:rPr>
          <w:sz w:val="24"/>
          <w:szCs w:val="24"/>
          <w:lang w:val="da-DK"/>
        </w:rPr>
        <w:tab/>
      </w:r>
      <w:r w:rsidRPr="00B356E6">
        <w:rPr>
          <w:sz w:val="24"/>
          <w:szCs w:val="24"/>
          <w:lang w:val="da-DK"/>
        </w:rPr>
        <w:t xml:space="preserve">JO L 55 de 28.2.2011, p. 13, ELI: </w:t>
      </w:r>
      <w:hyperlink r:id="rId2" w:history="1">
        <w:r w:rsidRPr="00B356E6">
          <w:rPr>
            <w:rStyle w:val="Hyperlink"/>
            <w:sz w:val="24"/>
            <w:szCs w:val="24"/>
            <w:lang w:val="da-DK"/>
          </w:rPr>
          <w:t>http://data.europa.eu/eli/reg/2011/182/oj</w:t>
        </w:r>
      </w:hyperlink>
      <w:r w:rsidRPr="00B356E6">
        <w:rPr>
          <w:sz w:val="24"/>
          <w:szCs w:val="24"/>
          <w:lang w:val="da-DK"/>
        </w:rPr>
        <w:t>.</w:t>
      </w:r>
    </w:p>
  </w:footnote>
  <w:footnote w:id="4">
    <w:p w14:paraId="4FC8BE46" w14:textId="1C5CF218" w:rsidR="00582999" w:rsidRPr="00D61981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unotenzeichen"/>
          <w:sz w:val="24"/>
          <w:szCs w:val="24"/>
          <w:lang w:val="pt-PT"/>
        </w:rPr>
        <w:footnoteRef/>
      </w:r>
      <w:r w:rsidR="005B3600" w:rsidRPr="00D61981">
        <w:rPr>
          <w:sz w:val="24"/>
          <w:szCs w:val="24"/>
          <w:lang w:val="pt-PT"/>
        </w:rPr>
        <w:t xml:space="preserve"> </w:t>
      </w:r>
      <w:r w:rsidR="005B3600" w:rsidRPr="00D61981">
        <w:rPr>
          <w:sz w:val="24"/>
          <w:szCs w:val="24"/>
          <w:lang w:val="pt-PT"/>
        </w:rPr>
        <w:tab/>
      </w:r>
      <w:r w:rsidRPr="00D61981">
        <w:rPr>
          <w:sz w:val="24"/>
          <w:szCs w:val="24"/>
          <w:lang w:val="pt-PT"/>
        </w:rPr>
        <w:t>Parecer científico do painel dos organismos geneticamente modificados da EFSA intitulado «</w:t>
      </w:r>
      <w:proofErr w:type="spellStart"/>
      <w:r w:rsidRPr="00D61981">
        <w:rPr>
          <w:sz w:val="24"/>
          <w:szCs w:val="24"/>
          <w:lang w:val="pt-PT"/>
        </w:rPr>
        <w:t>Assessment</w:t>
      </w:r>
      <w:proofErr w:type="spellEnd"/>
      <w:r w:rsidRPr="00D61981">
        <w:rPr>
          <w:sz w:val="24"/>
          <w:szCs w:val="24"/>
          <w:lang w:val="pt-PT"/>
        </w:rPr>
        <w:t xml:space="preserve"> </w:t>
      </w:r>
      <w:proofErr w:type="spellStart"/>
      <w:r w:rsidRPr="00D61981">
        <w:rPr>
          <w:sz w:val="24"/>
          <w:szCs w:val="24"/>
          <w:lang w:val="pt-PT"/>
        </w:rPr>
        <w:t>of</w:t>
      </w:r>
      <w:proofErr w:type="spellEnd"/>
      <w:r w:rsidRPr="00D61981">
        <w:rPr>
          <w:sz w:val="24"/>
          <w:szCs w:val="24"/>
          <w:lang w:val="pt-PT"/>
        </w:rPr>
        <w:t xml:space="preserve"> </w:t>
      </w:r>
      <w:proofErr w:type="spellStart"/>
      <w:r w:rsidRPr="00D61981">
        <w:rPr>
          <w:sz w:val="24"/>
          <w:szCs w:val="24"/>
          <w:lang w:val="pt-PT"/>
        </w:rPr>
        <w:t>genetically</w:t>
      </w:r>
      <w:proofErr w:type="spellEnd"/>
      <w:r w:rsidRPr="00D61981">
        <w:rPr>
          <w:sz w:val="24"/>
          <w:szCs w:val="24"/>
          <w:lang w:val="pt-PT"/>
        </w:rPr>
        <w:t xml:space="preserve"> </w:t>
      </w:r>
      <w:proofErr w:type="spellStart"/>
      <w:r w:rsidRPr="00D61981">
        <w:rPr>
          <w:sz w:val="24"/>
          <w:szCs w:val="24"/>
          <w:lang w:val="pt-PT"/>
        </w:rPr>
        <w:t>modified</w:t>
      </w:r>
      <w:proofErr w:type="spellEnd"/>
      <w:r w:rsidRPr="00D61981">
        <w:rPr>
          <w:sz w:val="24"/>
          <w:szCs w:val="24"/>
          <w:lang w:val="pt-PT"/>
        </w:rPr>
        <w:t xml:space="preserve"> </w:t>
      </w:r>
      <w:proofErr w:type="spellStart"/>
      <w:r w:rsidRPr="00D61981">
        <w:rPr>
          <w:sz w:val="24"/>
          <w:szCs w:val="24"/>
          <w:lang w:val="pt-PT"/>
        </w:rPr>
        <w:t>maize</w:t>
      </w:r>
      <w:proofErr w:type="spellEnd"/>
      <w:r w:rsidRPr="00D61981">
        <w:rPr>
          <w:sz w:val="24"/>
          <w:szCs w:val="24"/>
          <w:lang w:val="pt-PT"/>
        </w:rPr>
        <w:t xml:space="preserve"> DP51291 (</w:t>
      </w:r>
      <w:proofErr w:type="spellStart"/>
      <w:r w:rsidRPr="00D61981">
        <w:rPr>
          <w:sz w:val="24"/>
          <w:szCs w:val="24"/>
          <w:lang w:val="pt-PT"/>
        </w:rPr>
        <w:t>application</w:t>
      </w:r>
      <w:proofErr w:type="spellEnd"/>
      <w:r w:rsidRPr="00D61981">
        <w:rPr>
          <w:sz w:val="24"/>
          <w:szCs w:val="24"/>
          <w:lang w:val="pt-PT"/>
        </w:rPr>
        <w:t xml:space="preserve"> GMFF</w:t>
      </w:r>
      <w:r w:rsidRPr="00D61981">
        <w:rPr>
          <w:sz w:val="24"/>
          <w:szCs w:val="24"/>
          <w:lang w:val="pt-PT"/>
        </w:rPr>
        <w:noBreakHyphen/>
        <w:t>2021</w:t>
      </w:r>
      <w:r w:rsidRPr="00D61981">
        <w:rPr>
          <w:sz w:val="24"/>
          <w:szCs w:val="24"/>
          <w:lang w:val="pt-PT"/>
        </w:rPr>
        <w:noBreakHyphen/>
        <w:t>0071)» [Avaliação do milho geneticamente modificado DP51291 (pedido GMFF</w:t>
      </w:r>
      <w:r w:rsidRPr="00D61981">
        <w:rPr>
          <w:sz w:val="24"/>
          <w:szCs w:val="24"/>
          <w:lang w:val="pt-PT"/>
        </w:rPr>
        <w:noBreakHyphen/>
        <w:t>2021</w:t>
      </w:r>
      <w:r w:rsidRPr="00D61981">
        <w:rPr>
          <w:sz w:val="24"/>
          <w:szCs w:val="24"/>
          <w:lang w:val="pt-PT"/>
        </w:rPr>
        <w:noBreakHyphen/>
        <w:t xml:space="preserve">0071)], </w:t>
      </w:r>
      <w:r w:rsidRPr="00D61981">
        <w:rPr>
          <w:i/>
          <w:iCs/>
          <w:sz w:val="24"/>
          <w:szCs w:val="24"/>
          <w:lang w:val="pt-PT"/>
        </w:rPr>
        <w:t xml:space="preserve">EFSA </w:t>
      </w:r>
      <w:proofErr w:type="spellStart"/>
      <w:r w:rsidRPr="00D61981">
        <w:rPr>
          <w:i/>
          <w:iCs/>
          <w:sz w:val="24"/>
          <w:szCs w:val="24"/>
          <w:lang w:val="pt-PT"/>
        </w:rPr>
        <w:t>Journal</w:t>
      </w:r>
      <w:proofErr w:type="spellEnd"/>
      <w:r w:rsidRPr="00D61981">
        <w:rPr>
          <w:sz w:val="24"/>
          <w:szCs w:val="24"/>
          <w:lang w:val="pt-PT"/>
        </w:rPr>
        <w:t xml:space="preserve">, vol. 22, n.º 11, artigo 9059, 2024, </w:t>
      </w:r>
      <w:hyperlink r:id="rId3" w:history="1">
        <w:r w:rsidRPr="00D61981">
          <w:rPr>
            <w:rStyle w:val="Hyperlink"/>
            <w:sz w:val="24"/>
            <w:szCs w:val="24"/>
            <w:lang w:val="pt-PT"/>
          </w:rPr>
          <w:t>https://doi.org/10.2903/j.efsa.2024.9059</w:t>
        </w:r>
      </w:hyperlink>
      <w:r w:rsidRPr="00D61981">
        <w:rPr>
          <w:sz w:val="24"/>
          <w:szCs w:val="24"/>
          <w:lang w:val="pt-PT"/>
        </w:rPr>
        <w:t xml:space="preserve">. </w:t>
      </w:r>
    </w:p>
  </w:footnote>
  <w:footnote w:id="5">
    <w:p w14:paraId="633859D2" w14:textId="0F6E716E" w:rsidR="00582999" w:rsidRPr="001E4AD8" w:rsidRDefault="00582999" w:rsidP="005B3600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r w:rsidRPr="001E4AD8">
        <w:rPr>
          <w:sz w:val="24"/>
          <w:szCs w:val="24"/>
          <w:lang w:val="pt-PT"/>
        </w:rPr>
        <w:t>Na sua 8.ª legislatura, o Parlamento aprovou 36 resoluções e, na 9.ª legislatura, 38 resoluções em que se opôs à autorização de OGM.</w:t>
      </w:r>
      <w:r w:rsidRPr="001E4AD8">
        <w:rPr>
          <w:color w:val="000000" w:themeColor="text1"/>
          <w:sz w:val="24"/>
          <w:szCs w:val="24"/>
          <w:lang w:val="pt-PT"/>
        </w:rPr>
        <w:t xml:space="preserve"> Além disso, na sua 10.ª legislatura, o Parlamento aprovou as seguintes resoluções:</w:t>
      </w:r>
    </w:p>
    <w:p w14:paraId="03DAB7B1" w14:textId="1B02425C" w:rsidR="00582999" w:rsidRPr="001E4AD8" w:rsidRDefault="005B3600" w:rsidP="005B3600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pt-PT"/>
        </w:rPr>
      </w:pPr>
      <w:r w:rsidRPr="001E4AD8">
        <w:rPr>
          <w:color w:val="000000" w:themeColor="text1"/>
          <w:sz w:val="24"/>
          <w:szCs w:val="24"/>
          <w:lang w:val="pt-PT"/>
        </w:rPr>
        <w:t xml:space="preserve"> </w:t>
      </w:r>
      <w:r w:rsidRPr="001E4AD8">
        <w:rPr>
          <w:color w:val="000000" w:themeColor="text1"/>
          <w:sz w:val="24"/>
          <w:szCs w:val="24"/>
          <w:lang w:val="pt-PT"/>
        </w:rPr>
        <w:tab/>
      </w:r>
      <w:r w:rsidR="00582999" w:rsidRPr="001E4AD8">
        <w:rPr>
          <w:color w:val="000000" w:themeColor="text1"/>
          <w:sz w:val="24"/>
          <w:szCs w:val="24"/>
          <w:lang w:val="pt-PT"/>
        </w:rPr>
        <w:t>–</w:t>
      </w:r>
      <w:r w:rsidR="00582999" w:rsidRPr="001E4AD8">
        <w:rPr>
          <w:color w:val="000000" w:themeColor="text1"/>
          <w:sz w:val="24"/>
          <w:szCs w:val="24"/>
          <w:lang w:val="pt-PT"/>
        </w:rPr>
        <w:tab/>
        <w:t xml:space="preserve">Resolução do Parlamento Europeu, de 26 de novembro de 2024, sobre a Decisão de Execução (UE) 2024/2628 da Comissão que renova a autorização de colocação no mercado de produtos que contenham, sejam constituídos por ou produzidos a partir de milho geneticamente modificado MON 89034 × 1507 × NK603, nos termos do Regulamento (CE) n.º 1829/2003 do Parlamento Europeu e do Conselho (JO C, C/2025/1797, 4.4.2025, ELI: </w:t>
      </w:r>
      <w:hyperlink r:id="rId4" w:history="1">
        <w:r w:rsidR="00582999" w:rsidRPr="001E4AD8">
          <w:rPr>
            <w:rStyle w:val="Hyperlink"/>
            <w:sz w:val="24"/>
            <w:szCs w:val="24"/>
            <w:lang w:val="pt-PT"/>
          </w:rPr>
          <w:t>http://data.europa.eu/eli/C/2025/1797/oj</w:t>
        </w:r>
      </w:hyperlink>
      <w:r w:rsidR="00582999" w:rsidRPr="001E4AD8">
        <w:rPr>
          <w:color w:val="000000" w:themeColor="text1"/>
          <w:sz w:val="24"/>
          <w:szCs w:val="24"/>
          <w:lang w:val="pt-PT"/>
        </w:rPr>
        <w:t>).</w:t>
      </w:r>
    </w:p>
    <w:p w14:paraId="78C5B213" w14:textId="40B87C25" w:rsidR="00582999" w:rsidRPr="001E4AD8" w:rsidRDefault="005B3600" w:rsidP="005B3600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pt-PT"/>
        </w:rPr>
      </w:pPr>
      <w:r w:rsidRPr="001E4AD8">
        <w:rPr>
          <w:color w:val="000000" w:themeColor="text1"/>
          <w:sz w:val="24"/>
          <w:szCs w:val="24"/>
          <w:lang w:val="pt-PT"/>
        </w:rPr>
        <w:t xml:space="preserve"> </w:t>
      </w:r>
      <w:r w:rsidRPr="001E4AD8">
        <w:rPr>
          <w:color w:val="000000" w:themeColor="text1"/>
          <w:sz w:val="24"/>
          <w:szCs w:val="24"/>
          <w:lang w:val="pt-PT"/>
        </w:rPr>
        <w:tab/>
      </w:r>
      <w:r w:rsidR="00582999" w:rsidRPr="001E4AD8">
        <w:rPr>
          <w:color w:val="000000" w:themeColor="text1"/>
          <w:sz w:val="24"/>
          <w:szCs w:val="24"/>
          <w:lang w:val="pt-PT"/>
        </w:rPr>
        <w:t>–</w:t>
      </w:r>
      <w:r w:rsidR="00582999" w:rsidRPr="001E4AD8">
        <w:rPr>
          <w:color w:val="000000" w:themeColor="text1"/>
          <w:sz w:val="24"/>
          <w:szCs w:val="24"/>
          <w:lang w:val="pt-PT"/>
        </w:rPr>
        <w:tab/>
        <w:t xml:space="preserve">Resolução do Parlamento Europeu, de 26 de novembro de 2024, sobre a Decisão de Execução da Comissão (UE) 2024/2627 que autoriza a colocação no mercado de produtos que contenham, sejam constituídos por, ou produzidos a partir de algodão geneticamente modificado COT102 nos termos do Regulamento (CE) n.º 1829/2003 do Parlamento Europeu e do Conselho (JO C, C/2025/1798, 4.4.2025, ELI: </w:t>
      </w:r>
      <w:hyperlink r:id="rId5" w:history="1">
        <w:r w:rsidR="00582999" w:rsidRPr="001E4AD8">
          <w:rPr>
            <w:rStyle w:val="Hyperlink"/>
            <w:sz w:val="24"/>
            <w:szCs w:val="24"/>
            <w:lang w:val="pt-PT"/>
          </w:rPr>
          <w:t>http://data.europa.eu/eli/C/2025/1798/oj</w:t>
        </w:r>
      </w:hyperlink>
      <w:r w:rsidR="00582999" w:rsidRPr="001E4AD8">
        <w:rPr>
          <w:color w:val="000000" w:themeColor="text1"/>
          <w:sz w:val="24"/>
          <w:szCs w:val="24"/>
          <w:lang w:val="pt-PT"/>
        </w:rPr>
        <w:t>).</w:t>
      </w:r>
    </w:p>
    <w:p w14:paraId="534D8C9F" w14:textId="007F5E2E" w:rsidR="00582999" w:rsidRPr="001E4AD8" w:rsidRDefault="005B3600" w:rsidP="005B3600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pt-PT"/>
        </w:rPr>
      </w:pPr>
      <w:r w:rsidRPr="001E4AD8">
        <w:rPr>
          <w:color w:val="000000" w:themeColor="text1"/>
          <w:sz w:val="24"/>
          <w:szCs w:val="24"/>
          <w:lang w:val="pt-PT"/>
        </w:rPr>
        <w:t xml:space="preserve"> </w:t>
      </w:r>
      <w:r w:rsidRPr="001E4AD8">
        <w:rPr>
          <w:color w:val="000000" w:themeColor="text1"/>
          <w:sz w:val="24"/>
          <w:szCs w:val="24"/>
          <w:lang w:val="pt-PT"/>
        </w:rPr>
        <w:tab/>
      </w:r>
      <w:r w:rsidR="00582999" w:rsidRPr="001E4AD8">
        <w:rPr>
          <w:color w:val="000000" w:themeColor="text1"/>
          <w:sz w:val="24"/>
          <w:szCs w:val="24"/>
          <w:lang w:val="pt-PT"/>
        </w:rPr>
        <w:t>–</w:t>
      </w:r>
      <w:r w:rsidR="00582999" w:rsidRPr="001E4AD8">
        <w:rPr>
          <w:color w:val="000000" w:themeColor="text1"/>
          <w:sz w:val="24"/>
          <w:szCs w:val="24"/>
          <w:lang w:val="pt-PT"/>
        </w:rPr>
        <w:tab/>
        <w:t xml:space="preserve">Resolução do Parlamento Europeu, de 26 de novembro de 2024, sobre a Decisão de Execução da Comissão (UE) 2024/2629 que renova a autorização de colocação no mercado de produtos que contenham, sejam constituídos por ou sejam produzidos a partir de milho geneticamente modificado MON 89034 × 1507 × MON 88017 × 59122 e oito das suas </w:t>
      </w:r>
      <w:proofErr w:type="spellStart"/>
      <w:r w:rsidR="00582999" w:rsidRPr="001E4AD8">
        <w:rPr>
          <w:color w:val="000000" w:themeColor="text1"/>
          <w:sz w:val="24"/>
          <w:szCs w:val="24"/>
          <w:lang w:val="pt-PT"/>
        </w:rPr>
        <w:t>subcombinações</w:t>
      </w:r>
      <w:proofErr w:type="spellEnd"/>
      <w:r w:rsidR="00582999" w:rsidRPr="001E4AD8">
        <w:rPr>
          <w:color w:val="000000" w:themeColor="text1"/>
          <w:sz w:val="24"/>
          <w:szCs w:val="24"/>
          <w:lang w:val="pt-PT"/>
        </w:rPr>
        <w:t xml:space="preserve">, nos termos do Regulamento (CE) n.º 1829/2003 do Parlamento Europeu e do Conselho (JO C, C/2025/1799, 4.4.2025, ELI: </w:t>
      </w:r>
      <w:hyperlink r:id="rId6" w:history="1">
        <w:r w:rsidR="00582999" w:rsidRPr="001E4AD8">
          <w:rPr>
            <w:rStyle w:val="Hyperlink"/>
            <w:sz w:val="24"/>
            <w:szCs w:val="24"/>
            <w:lang w:val="pt-PT"/>
          </w:rPr>
          <w:t>http://data.europa.eu/eli/C/2025/1799/oj</w:t>
        </w:r>
      </w:hyperlink>
      <w:r w:rsidR="00582999" w:rsidRPr="001E4AD8">
        <w:rPr>
          <w:color w:val="000000" w:themeColor="text1"/>
          <w:sz w:val="24"/>
          <w:szCs w:val="24"/>
          <w:lang w:val="pt-PT"/>
        </w:rPr>
        <w:t>).</w:t>
      </w:r>
    </w:p>
    <w:p w14:paraId="61188434" w14:textId="314CA9CF" w:rsidR="00582999" w:rsidRPr="001E4AD8" w:rsidRDefault="005B3600" w:rsidP="005B3600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pt-PT"/>
        </w:rPr>
      </w:pPr>
      <w:r w:rsidRPr="001E4AD8">
        <w:rPr>
          <w:color w:val="000000" w:themeColor="text1"/>
          <w:sz w:val="24"/>
          <w:szCs w:val="24"/>
          <w:lang w:val="pt-PT"/>
        </w:rPr>
        <w:t xml:space="preserve"> </w:t>
      </w:r>
      <w:r w:rsidRPr="001E4AD8">
        <w:rPr>
          <w:color w:val="000000" w:themeColor="text1"/>
          <w:sz w:val="24"/>
          <w:szCs w:val="24"/>
          <w:lang w:val="pt-PT"/>
        </w:rPr>
        <w:tab/>
      </w:r>
      <w:r w:rsidR="00582999" w:rsidRPr="001E4AD8">
        <w:rPr>
          <w:color w:val="000000" w:themeColor="text1"/>
          <w:sz w:val="24"/>
          <w:szCs w:val="24"/>
          <w:lang w:val="pt-PT"/>
        </w:rPr>
        <w:t>–</w:t>
      </w:r>
      <w:r w:rsidR="00582999" w:rsidRPr="001E4AD8">
        <w:rPr>
          <w:color w:val="000000" w:themeColor="text1"/>
          <w:sz w:val="24"/>
          <w:szCs w:val="24"/>
          <w:lang w:val="pt-PT"/>
        </w:rPr>
        <w:tab/>
        <w:t xml:space="preserve">Resolução do Parlamento Europeu, de 26 de novembro de 2024, sobre a Decisão de Execução (UE) 2024/1828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modificado, nos termos do Regulamento (CE) n.º 1829/2003 do Parlamento Europeu e do Conselho, e que revoga a Decisão de Execução (UE) 2017/1207 da Comissão (JO C, C/2025/1800, 4.4.2025, ELI: </w:t>
      </w:r>
      <w:hyperlink r:id="rId7" w:history="1">
        <w:r w:rsidR="00582999" w:rsidRPr="001E4AD8">
          <w:rPr>
            <w:rStyle w:val="Hyperlink"/>
            <w:sz w:val="24"/>
            <w:szCs w:val="24"/>
            <w:lang w:val="pt-PT"/>
          </w:rPr>
          <w:t>http://data.europa.eu/eli/C/2025/1800/oj</w:t>
        </w:r>
      </w:hyperlink>
      <w:r w:rsidR="00582999" w:rsidRPr="001E4AD8">
        <w:rPr>
          <w:color w:val="000000" w:themeColor="text1"/>
          <w:sz w:val="24"/>
          <w:szCs w:val="24"/>
          <w:lang w:val="pt-PT"/>
        </w:rPr>
        <w:t>).</w:t>
      </w:r>
    </w:p>
    <w:p w14:paraId="0494B3EF" w14:textId="651B2C49" w:rsidR="00582999" w:rsidRPr="001E4AD8" w:rsidRDefault="005B3600" w:rsidP="005B3600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pt-PT"/>
        </w:rPr>
      </w:pPr>
      <w:r w:rsidRPr="001E4AD8">
        <w:rPr>
          <w:color w:val="000000" w:themeColor="text1"/>
          <w:sz w:val="24"/>
          <w:szCs w:val="24"/>
          <w:lang w:val="pt-PT"/>
        </w:rPr>
        <w:t xml:space="preserve"> </w:t>
      </w:r>
      <w:r w:rsidRPr="001E4AD8">
        <w:rPr>
          <w:color w:val="000000" w:themeColor="text1"/>
          <w:sz w:val="24"/>
          <w:szCs w:val="24"/>
          <w:lang w:val="pt-PT"/>
        </w:rPr>
        <w:tab/>
      </w:r>
      <w:r w:rsidR="00582999" w:rsidRPr="001E4AD8">
        <w:rPr>
          <w:color w:val="000000" w:themeColor="text1"/>
          <w:sz w:val="24"/>
          <w:szCs w:val="24"/>
          <w:lang w:val="pt-PT"/>
        </w:rPr>
        <w:t>–</w:t>
      </w:r>
      <w:r w:rsidR="00582999" w:rsidRPr="001E4AD8">
        <w:rPr>
          <w:color w:val="000000" w:themeColor="text1"/>
          <w:sz w:val="24"/>
          <w:szCs w:val="24"/>
          <w:lang w:val="pt-PT"/>
        </w:rPr>
        <w:tab/>
        <w:t xml:space="preserve">Resolução do Parlamento Europeu, de 26 de novembro de 2024, sobre a Decisão de Execução (UE) 2024/1822 da Comissão, que autoriza a colocação no mercado de produtos que contenham, sejam constituídos por ou sejam produzidos a partir de milho geneticamente modificado DP915635 nos termos do Regulamento (CE) n.º 1829/2003 do Parlamento Europeu e do Conselho (JO C, C/2025/1801, 4.4.2025, ELI: </w:t>
      </w:r>
      <w:hyperlink r:id="rId8" w:history="1">
        <w:r w:rsidR="00582999" w:rsidRPr="001E4AD8">
          <w:rPr>
            <w:rStyle w:val="Hyperlink"/>
            <w:sz w:val="24"/>
            <w:szCs w:val="24"/>
            <w:lang w:val="pt-PT"/>
          </w:rPr>
          <w:t>http://data.europa.eu/eli/C/2025/1801/oj</w:t>
        </w:r>
      </w:hyperlink>
      <w:r w:rsidR="00582999" w:rsidRPr="001E4AD8">
        <w:rPr>
          <w:color w:val="000000" w:themeColor="text1"/>
          <w:sz w:val="24"/>
          <w:szCs w:val="24"/>
          <w:lang w:val="pt-PT"/>
        </w:rPr>
        <w:t>).</w:t>
      </w:r>
    </w:p>
    <w:p w14:paraId="57C780A9" w14:textId="5E7ED9CD" w:rsidR="00582999" w:rsidRPr="001E4AD8" w:rsidRDefault="005B3600" w:rsidP="005B3600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pt-PT"/>
        </w:rPr>
      </w:pPr>
      <w:r w:rsidRPr="001E4AD8">
        <w:rPr>
          <w:color w:val="000000" w:themeColor="text1"/>
          <w:sz w:val="24"/>
          <w:szCs w:val="24"/>
          <w:lang w:val="pt-PT"/>
        </w:rPr>
        <w:t xml:space="preserve"> </w:t>
      </w:r>
      <w:r w:rsidRPr="001E4AD8">
        <w:rPr>
          <w:color w:val="000000" w:themeColor="text1"/>
          <w:sz w:val="24"/>
          <w:szCs w:val="24"/>
          <w:lang w:val="pt-PT"/>
        </w:rPr>
        <w:tab/>
      </w:r>
      <w:r w:rsidR="00582999" w:rsidRPr="001E4AD8">
        <w:rPr>
          <w:color w:val="000000" w:themeColor="text1"/>
          <w:sz w:val="24"/>
          <w:szCs w:val="24"/>
          <w:lang w:val="pt-PT"/>
        </w:rPr>
        <w:t>–</w:t>
      </w:r>
      <w:r w:rsidR="00582999" w:rsidRPr="001E4AD8">
        <w:rPr>
          <w:color w:val="000000" w:themeColor="text1"/>
          <w:sz w:val="24"/>
          <w:szCs w:val="24"/>
          <w:lang w:val="pt-PT"/>
        </w:rPr>
        <w:tab/>
        <w:t xml:space="preserve">Resolução do Parlamento Europeu, de 26 de novembro de 2024, sobre a Decisão de Execução (UE) 2024/1826 da Comissão, que autoriza a colocação no mercado de produtos que contenham, sejam constituídos por ou sejam produzidos a partir de milho geneticamente modificado DP23211 nos termos do Regulamento (CE) n.º 1829/2003 do Parlamento Europeu e do Conselho (JO C, C/2025/1802, 4.4.2025, ELI: </w:t>
      </w:r>
      <w:hyperlink r:id="rId9" w:history="1">
        <w:r w:rsidR="00582999" w:rsidRPr="001E4AD8">
          <w:rPr>
            <w:rStyle w:val="Hyperlink"/>
            <w:sz w:val="24"/>
            <w:szCs w:val="24"/>
            <w:lang w:val="pt-PT"/>
          </w:rPr>
          <w:t>http://data.europa.eu/eli/C/2025/1802/oj</w:t>
        </w:r>
      </w:hyperlink>
      <w:r w:rsidR="00582999" w:rsidRPr="001E4AD8">
        <w:rPr>
          <w:color w:val="000000" w:themeColor="text1"/>
          <w:sz w:val="24"/>
          <w:szCs w:val="24"/>
          <w:lang w:val="pt-PT"/>
        </w:rPr>
        <w:t>).</w:t>
      </w:r>
    </w:p>
    <w:p w14:paraId="1B9FAD03" w14:textId="43767792" w:rsidR="00582999" w:rsidRPr="001E4AD8" w:rsidRDefault="005B3600" w:rsidP="005B3600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pt-PT"/>
        </w:rPr>
      </w:pPr>
      <w:r w:rsidRPr="001E4AD8">
        <w:rPr>
          <w:color w:val="000000" w:themeColor="text1"/>
          <w:sz w:val="24"/>
          <w:szCs w:val="24"/>
          <w:lang w:val="pt-PT"/>
        </w:rPr>
        <w:t xml:space="preserve"> </w:t>
      </w:r>
      <w:r w:rsidRPr="001E4AD8">
        <w:rPr>
          <w:color w:val="000000" w:themeColor="text1"/>
          <w:sz w:val="24"/>
          <w:szCs w:val="24"/>
          <w:lang w:val="pt-PT"/>
        </w:rPr>
        <w:tab/>
      </w:r>
      <w:r w:rsidR="00582999" w:rsidRPr="001E4AD8">
        <w:rPr>
          <w:color w:val="000000" w:themeColor="text1"/>
          <w:sz w:val="24"/>
          <w:szCs w:val="24"/>
          <w:lang w:val="pt-PT"/>
        </w:rPr>
        <w:t>–</w:t>
      </w:r>
      <w:r w:rsidR="00582999" w:rsidRPr="001E4AD8">
        <w:rPr>
          <w:color w:val="000000" w:themeColor="text1"/>
          <w:sz w:val="24"/>
          <w:szCs w:val="24"/>
          <w:lang w:val="pt-PT"/>
        </w:rPr>
        <w:tab/>
        <w:t xml:space="preserve">Resolução do Parlamento Europeu, de 26 de novembro de 2024, sobre a Decisão de Execução da Comissão (UE) 2024/2618 que autoriza a colocação no mercado de produtos que contenham, sejam constituídos por ou sejam produzidos a partir de milho geneticamente modificado DP202216 nos termos do Regulamento (CE) n.º 1829/2003 do Parlamento Europeu e do Conselho (JO C, C/2025/1803, 4.4.2025, ELI: </w:t>
      </w:r>
      <w:hyperlink r:id="rId10" w:history="1">
        <w:r w:rsidR="00582999" w:rsidRPr="001E4AD8">
          <w:rPr>
            <w:rStyle w:val="Hyperlink"/>
            <w:sz w:val="24"/>
            <w:szCs w:val="24"/>
            <w:lang w:val="pt-PT"/>
          </w:rPr>
          <w:t>http://data.europa.eu/eli/C/2025/1803/oj</w:t>
        </w:r>
      </w:hyperlink>
      <w:r w:rsidR="00582999" w:rsidRPr="001E4AD8">
        <w:rPr>
          <w:color w:val="000000" w:themeColor="text1"/>
          <w:sz w:val="24"/>
          <w:szCs w:val="24"/>
          <w:lang w:val="pt-PT"/>
        </w:rPr>
        <w:t>).</w:t>
      </w:r>
    </w:p>
    <w:p w14:paraId="57BD08DB" w14:textId="32D5FDAC" w:rsidR="00582999" w:rsidRPr="001E4AD8" w:rsidRDefault="005B3600" w:rsidP="005B3600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pt-PT"/>
        </w:rPr>
      </w:pPr>
      <w:r w:rsidRPr="001E4AD8">
        <w:rPr>
          <w:color w:val="000000" w:themeColor="text1"/>
          <w:sz w:val="24"/>
          <w:szCs w:val="24"/>
          <w:lang w:val="pt-PT"/>
        </w:rPr>
        <w:t xml:space="preserve"> </w:t>
      </w:r>
      <w:r w:rsidRPr="001E4AD8">
        <w:rPr>
          <w:color w:val="000000" w:themeColor="text1"/>
          <w:sz w:val="24"/>
          <w:szCs w:val="24"/>
          <w:lang w:val="pt-PT"/>
        </w:rPr>
        <w:tab/>
      </w:r>
      <w:r w:rsidR="00582999" w:rsidRPr="001E4AD8">
        <w:rPr>
          <w:color w:val="000000" w:themeColor="text1"/>
          <w:sz w:val="24"/>
          <w:szCs w:val="24"/>
          <w:lang w:val="pt-PT"/>
        </w:rPr>
        <w:t>–</w:t>
      </w:r>
      <w:r w:rsidR="00582999" w:rsidRPr="001E4AD8">
        <w:rPr>
          <w:color w:val="000000" w:themeColor="text1"/>
          <w:sz w:val="24"/>
          <w:szCs w:val="24"/>
          <w:lang w:val="pt-PT"/>
        </w:rPr>
        <w:tab/>
        <w:t xml:space="preserve">Resolução do Parlamento Europeu, de 26 de novembro de 2024, sobre o projeto de decisão de execução da Comissão que autoriza a colocação no mercado de produtos que contenham, sejam constituídos por, ou produzidos a partir de milho geneticamente modificado MON 94804 nos termos do Regulamento (CE) n.º 1829/2003 do Parlamento Europeu e do Conselho (JO C, C/2025/1804, 4.4.2025, ELI: </w:t>
      </w:r>
      <w:hyperlink r:id="rId11" w:history="1">
        <w:r w:rsidR="00582999" w:rsidRPr="001E4AD8">
          <w:rPr>
            <w:rStyle w:val="Hyperlink"/>
            <w:sz w:val="24"/>
            <w:szCs w:val="24"/>
            <w:lang w:val="pt-PT"/>
          </w:rPr>
          <w:t>http://data.europa.eu/eli/C/2025/1804/oj</w:t>
        </w:r>
      </w:hyperlink>
      <w:r w:rsidR="00582999" w:rsidRPr="001E4AD8">
        <w:rPr>
          <w:color w:val="000000" w:themeColor="text1"/>
          <w:sz w:val="24"/>
          <w:szCs w:val="24"/>
          <w:lang w:val="pt-PT"/>
        </w:rPr>
        <w:t>).</w:t>
      </w:r>
    </w:p>
    <w:p w14:paraId="0A099F51" w14:textId="56717CF6" w:rsidR="00582999" w:rsidRPr="001E4AD8" w:rsidRDefault="005B3600" w:rsidP="005B3600">
      <w:pPr>
        <w:pStyle w:val="FootnoteText"/>
        <w:ind w:left="567" w:hanging="567"/>
        <w:rPr>
          <w:sz w:val="24"/>
          <w:szCs w:val="24"/>
          <w:vertAlign w:val="superscript"/>
          <w:lang w:val="pt-PT"/>
        </w:rPr>
      </w:pPr>
      <w:r w:rsidRPr="001E4AD8">
        <w:rPr>
          <w:color w:val="000000" w:themeColor="text1"/>
          <w:sz w:val="24"/>
          <w:szCs w:val="24"/>
          <w:lang w:val="pt-PT"/>
        </w:rPr>
        <w:t xml:space="preserve"> </w:t>
      </w:r>
      <w:r w:rsidRPr="001E4AD8">
        <w:rPr>
          <w:color w:val="000000" w:themeColor="text1"/>
          <w:sz w:val="24"/>
          <w:szCs w:val="24"/>
          <w:lang w:val="pt-PT"/>
        </w:rPr>
        <w:tab/>
      </w:r>
      <w:r w:rsidR="00582999" w:rsidRPr="001E4AD8">
        <w:rPr>
          <w:color w:val="000000" w:themeColor="text1"/>
          <w:sz w:val="24"/>
          <w:szCs w:val="24"/>
          <w:lang w:val="pt-PT"/>
        </w:rPr>
        <w:t>–</w:t>
      </w:r>
      <w:r w:rsidR="00582999" w:rsidRPr="001E4AD8">
        <w:rPr>
          <w:color w:val="000000" w:themeColor="text1"/>
          <w:sz w:val="24"/>
          <w:szCs w:val="24"/>
          <w:lang w:val="pt-PT"/>
        </w:rPr>
        <w:tab/>
      </w:r>
      <w:r w:rsidR="00582999" w:rsidRPr="001E4AD8">
        <w:rPr>
          <w:sz w:val="24"/>
          <w:szCs w:val="24"/>
          <w:lang w:val="pt-PT"/>
        </w:rPr>
        <w:t xml:space="preserve">Resolução do Parlamento Europeu, de 12 de fevereiro de 2025, sobre o projeto de decisão de execução da Comissão que autoriza a colocação no mercado de produtos que contenham, sejam constituídos por, ou produzidos a partir de milho geneticamente modificado DP910521, nos termos do Regulamento (CE) n.º 1829/2003 do Parlamento Europeu e do Conselho (JO C, C/2025/2246, 29.4.2025, ELI: </w:t>
      </w:r>
      <w:hyperlink r:id="rId12" w:tooltip="Dá acesso a este documento através do URI do ELI." w:history="1">
        <w:r w:rsidR="00582999" w:rsidRPr="001E4AD8">
          <w:rPr>
            <w:rStyle w:val="Hyperlink"/>
            <w:sz w:val="24"/>
            <w:szCs w:val="24"/>
            <w:lang w:val="pt-PT"/>
          </w:rPr>
          <w:t>http://data.europa.eu/eli/C/2025/2246/oj</w:t>
        </w:r>
      </w:hyperlink>
      <w:r w:rsidR="00582999" w:rsidRPr="001E4AD8">
        <w:rPr>
          <w:sz w:val="24"/>
          <w:szCs w:val="24"/>
          <w:lang w:val="pt-PT"/>
        </w:rPr>
        <w:t>).</w:t>
      </w:r>
    </w:p>
    <w:p w14:paraId="2E318D2A" w14:textId="5AD3BC29" w:rsidR="00582999" w:rsidRPr="001E4AD8" w:rsidRDefault="005B3600" w:rsidP="005B3600">
      <w:pPr>
        <w:pStyle w:val="FootnoteText"/>
        <w:ind w:left="567" w:hanging="567"/>
        <w:rPr>
          <w:sz w:val="24"/>
          <w:szCs w:val="24"/>
          <w:vertAlign w:val="superscript"/>
          <w:lang w:val="pt-PT"/>
        </w:rPr>
      </w:pPr>
      <w:r w:rsidRPr="001E4AD8">
        <w:rPr>
          <w:sz w:val="24"/>
          <w:szCs w:val="24"/>
          <w:lang w:val="pt-PT"/>
        </w:rPr>
        <w:t xml:space="preserve"> </w:t>
      </w:r>
      <w:r w:rsidRPr="001E4AD8">
        <w:rPr>
          <w:sz w:val="24"/>
          <w:szCs w:val="24"/>
          <w:lang w:val="pt-PT"/>
        </w:rPr>
        <w:tab/>
      </w:r>
      <w:r w:rsidR="00582999" w:rsidRPr="001E4AD8">
        <w:rPr>
          <w:sz w:val="24"/>
          <w:szCs w:val="24"/>
          <w:lang w:val="pt-PT"/>
        </w:rPr>
        <w:t>–</w:t>
      </w:r>
      <w:r w:rsidR="00582999" w:rsidRPr="001E4AD8">
        <w:rPr>
          <w:sz w:val="24"/>
          <w:szCs w:val="24"/>
          <w:lang w:val="pt-PT"/>
        </w:rPr>
        <w:tab/>
        <w:t xml:space="preserve">Resolução do Parlamento Europeu, de 12 de fevereiro de 2025, sobre o projeto de decisão de execução da Comissão que autoriza a colocação no mercado de produtos que contenham, sejam constituídos por ou sejam produzidos a partir de milho geneticamente modificado MON 95275 nos termos do Regulamento (CE) n.º 1829/2003 do Parlamento Europeu e do Conselho (JO C, C/2025/2247, 29.4.2025, ELI: </w:t>
      </w:r>
      <w:hyperlink r:id="rId13" w:tooltip="Dá acesso a este documento através do URI do ELI." w:history="1">
        <w:r w:rsidR="00582999" w:rsidRPr="001E4AD8">
          <w:rPr>
            <w:rStyle w:val="Hyperlink"/>
            <w:sz w:val="24"/>
            <w:szCs w:val="24"/>
            <w:lang w:val="pt-PT"/>
          </w:rPr>
          <w:t>http://data.europa.eu/eli/C/2025/2247/oj</w:t>
        </w:r>
      </w:hyperlink>
      <w:r w:rsidR="00582999" w:rsidRPr="001E4AD8">
        <w:rPr>
          <w:sz w:val="24"/>
          <w:szCs w:val="24"/>
          <w:lang w:val="pt-PT"/>
        </w:rPr>
        <w:t>).</w:t>
      </w:r>
    </w:p>
    <w:p w14:paraId="3E015A93" w14:textId="07E66616" w:rsidR="00582999" w:rsidRPr="001E4AD8" w:rsidRDefault="005B3600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sz w:val="24"/>
          <w:szCs w:val="24"/>
          <w:lang w:val="pt-PT"/>
        </w:rPr>
        <w:t xml:space="preserve"> </w:t>
      </w:r>
      <w:r w:rsidRPr="001E4AD8">
        <w:rPr>
          <w:sz w:val="24"/>
          <w:szCs w:val="24"/>
          <w:lang w:val="pt-PT"/>
        </w:rPr>
        <w:tab/>
      </w:r>
      <w:r w:rsidR="00582999" w:rsidRPr="001E4AD8">
        <w:rPr>
          <w:sz w:val="24"/>
          <w:szCs w:val="24"/>
          <w:lang w:val="pt-PT"/>
        </w:rPr>
        <w:t>–</w:t>
      </w:r>
      <w:r w:rsidR="00582999" w:rsidRPr="001E4AD8">
        <w:rPr>
          <w:sz w:val="24"/>
          <w:szCs w:val="24"/>
          <w:lang w:val="pt-PT"/>
        </w:rPr>
        <w:tab/>
        <w:t>Resolução do Parlamento Europeu, de 8 de maio de 2025, sobre o projeto de decisão de execução da Comissão que autoriza a colocação no mercado de produtos que contenham, sejam constituídos por, ou sejam produzidos a partir de soja geneticamente modificada MON 87705 × MON 87708 × MON 89788, nos termos do Regulamento (CE) n.º 1829/2003 do Parlamento Europeu e do Conselho (P10_</w:t>
      </w:r>
      <w:proofErr w:type="gramStart"/>
      <w:r w:rsidR="00582999" w:rsidRPr="001E4AD8">
        <w:rPr>
          <w:sz w:val="24"/>
          <w:szCs w:val="24"/>
          <w:lang w:val="pt-PT"/>
        </w:rPr>
        <w:t>TA(</w:t>
      </w:r>
      <w:proofErr w:type="gramEnd"/>
      <w:r w:rsidR="00582999" w:rsidRPr="001E4AD8">
        <w:rPr>
          <w:sz w:val="24"/>
          <w:szCs w:val="24"/>
          <w:lang w:val="pt-PT"/>
        </w:rPr>
        <w:t>2025)0106).</w:t>
      </w:r>
    </w:p>
  </w:footnote>
  <w:footnote w:id="6">
    <w:p w14:paraId="54FC9CD5" w14:textId="04D1EB49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r w:rsidRPr="001E4AD8">
        <w:rPr>
          <w:sz w:val="24"/>
          <w:szCs w:val="24"/>
          <w:lang w:val="pt-PT"/>
        </w:rPr>
        <w:t xml:space="preserve">Regulamento (CE) n.º 1107/2009 do Parlamento Europeu e do Conselho, de 21 de outubro de 2009, relativo à colocação dos produtos fitofarmacêuticos no mercado e que revoga as Diretivas 79/117/CEE e 91/414/CEE do Conselho (JO L 309 de 24.11.2009, p. 1, ELI: </w:t>
      </w:r>
      <w:hyperlink r:id="rId14" w:tooltip="Dá acesso a este documento através do URI do ELI." w:history="1">
        <w:r w:rsidRPr="001E4AD8">
          <w:rPr>
            <w:rStyle w:val="Hyperlink"/>
            <w:sz w:val="24"/>
            <w:szCs w:val="24"/>
            <w:lang w:val="pt-PT"/>
          </w:rPr>
          <w:t>http://data.europa.eu/eli/reg/2009/1107/oj</w:t>
        </w:r>
      </w:hyperlink>
      <w:r w:rsidRPr="001E4AD8">
        <w:rPr>
          <w:sz w:val="24"/>
          <w:szCs w:val="24"/>
          <w:lang w:val="pt-PT"/>
        </w:rPr>
        <w:t>).</w:t>
      </w:r>
    </w:p>
  </w:footnote>
  <w:footnote w:id="7">
    <w:p w14:paraId="7A1972A3" w14:textId="2E4B0CFC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hyperlink r:id="rId15" w:history="1">
        <w:r w:rsidRPr="001E4AD8">
          <w:rPr>
            <w:rStyle w:val="Hyperlink"/>
            <w:sz w:val="24"/>
            <w:szCs w:val="24"/>
            <w:lang w:val="pt-PT"/>
          </w:rPr>
          <w:t>https://www.testbiotech.org/wp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content/uploads/2024/12/Testbiotech_comment_‌maize_DP51291.pdf</w:t>
        </w:r>
      </w:hyperlink>
      <w:r w:rsidRPr="001E4AD8">
        <w:rPr>
          <w:sz w:val="24"/>
          <w:szCs w:val="24"/>
          <w:lang w:val="pt-PT"/>
        </w:rPr>
        <w:t>.</w:t>
      </w:r>
    </w:p>
  </w:footnote>
  <w:footnote w:id="8">
    <w:p w14:paraId="3D4FE08F" w14:textId="0566FC00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r w:rsidRPr="001E4AD8">
        <w:rPr>
          <w:sz w:val="24"/>
          <w:szCs w:val="24"/>
          <w:lang w:val="pt-PT"/>
        </w:rPr>
        <w:t xml:space="preserve">Regulamento de Execução (UE) n.º 503/2013 da Comissão, de 3 de abril de 2013, relativo aos pedidos de autorização de géneros alimentícios e alimentos para animais geneticamente modificados, em conformidade com o Regulamento (CE) n.º 1829/2003 do Parlamento Europeu e do Conselho, e que altera os Regulamentos (CE) n.º 641/2004 e (CE) n.º 1981/2006 (JO L 157 de 8.6.2013, p. 1, ELI: </w:t>
      </w:r>
      <w:hyperlink r:id="rId16" w:history="1">
        <w:r w:rsidRPr="001E4AD8">
          <w:rPr>
            <w:rStyle w:val="Hyperlink"/>
            <w:sz w:val="24"/>
            <w:szCs w:val="24"/>
            <w:lang w:val="pt-PT"/>
          </w:rPr>
          <w:t>http://data.europa.eu/eli/reg_impl/2013/503/oj</w:t>
        </w:r>
      </w:hyperlink>
      <w:r w:rsidRPr="001E4AD8">
        <w:rPr>
          <w:sz w:val="24"/>
          <w:szCs w:val="24"/>
          <w:lang w:val="pt-PT"/>
        </w:rPr>
        <w:t>).</w:t>
      </w:r>
    </w:p>
  </w:footnote>
  <w:footnote w:id="9">
    <w:p w14:paraId="3C66A5D7" w14:textId="558D27A7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proofErr w:type="spellStart"/>
      <w:r w:rsidRPr="001E4AD8">
        <w:rPr>
          <w:sz w:val="24"/>
          <w:szCs w:val="24"/>
          <w:lang w:val="pt-PT"/>
        </w:rPr>
        <w:t>Trtikova</w:t>
      </w:r>
      <w:proofErr w:type="spellEnd"/>
      <w:r w:rsidRPr="001E4AD8">
        <w:rPr>
          <w:sz w:val="24"/>
          <w:szCs w:val="24"/>
          <w:lang w:val="pt-PT"/>
        </w:rPr>
        <w:t xml:space="preserve">, M., </w:t>
      </w:r>
      <w:proofErr w:type="spellStart"/>
      <w:r w:rsidRPr="001E4AD8">
        <w:rPr>
          <w:sz w:val="24"/>
          <w:szCs w:val="24"/>
          <w:lang w:val="pt-PT"/>
        </w:rPr>
        <w:t>Wikmark</w:t>
      </w:r>
      <w:proofErr w:type="spellEnd"/>
      <w:r w:rsidRPr="001E4AD8">
        <w:rPr>
          <w:sz w:val="24"/>
          <w:szCs w:val="24"/>
          <w:lang w:val="pt-PT"/>
        </w:rPr>
        <w:t xml:space="preserve"> O. G., </w:t>
      </w:r>
      <w:proofErr w:type="spellStart"/>
      <w:r w:rsidRPr="001E4AD8">
        <w:rPr>
          <w:sz w:val="24"/>
          <w:szCs w:val="24"/>
          <w:lang w:val="pt-PT"/>
        </w:rPr>
        <w:t>Zemp</w:t>
      </w:r>
      <w:proofErr w:type="spellEnd"/>
      <w:r w:rsidRPr="001E4AD8">
        <w:rPr>
          <w:sz w:val="24"/>
          <w:szCs w:val="24"/>
          <w:lang w:val="pt-PT"/>
        </w:rPr>
        <w:t xml:space="preserve">, N., </w:t>
      </w:r>
      <w:proofErr w:type="spellStart"/>
      <w:r w:rsidRPr="001E4AD8">
        <w:rPr>
          <w:sz w:val="24"/>
          <w:szCs w:val="24"/>
          <w:lang w:val="pt-PT"/>
        </w:rPr>
        <w:t>Widmer</w:t>
      </w:r>
      <w:proofErr w:type="spellEnd"/>
      <w:r w:rsidRPr="001E4AD8">
        <w:rPr>
          <w:sz w:val="24"/>
          <w:szCs w:val="24"/>
          <w:lang w:val="pt-PT"/>
        </w:rPr>
        <w:t xml:space="preserve">, A., </w:t>
      </w:r>
      <w:proofErr w:type="spellStart"/>
      <w:r w:rsidRPr="001E4AD8">
        <w:rPr>
          <w:sz w:val="24"/>
          <w:szCs w:val="24"/>
          <w:lang w:val="pt-PT"/>
        </w:rPr>
        <w:t>Hilbeck</w:t>
      </w:r>
      <w:proofErr w:type="spellEnd"/>
      <w:r w:rsidRPr="001E4AD8">
        <w:rPr>
          <w:sz w:val="24"/>
          <w:szCs w:val="24"/>
          <w:lang w:val="pt-PT"/>
        </w:rPr>
        <w:t>, A., (2015) «</w:t>
      </w:r>
      <w:proofErr w:type="spellStart"/>
      <w:r w:rsidRPr="001E4AD8">
        <w:rPr>
          <w:sz w:val="24"/>
          <w:szCs w:val="24"/>
          <w:lang w:val="pt-PT"/>
        </w:rPr>
        <w:t>Transgene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Expression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and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Bt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Protein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Content</w:t>
      </w:r>
      <w:proofErr w:type="spellEnd"/>
      <w:r w:rsidRPr="001E4AD8">
        <w:rPr>
          <w:sz w:val="24"/>
          <w:szCs w:val="24"/>
          <w:lang w:val="pt-PT"/>
        </w:rPr>
        <w:t xml:space="preserve"> in </w:t>
      </w:r>
      <w:proofErr w:type="spellStart"/>
      <w:r w:rsidRPr="001E4AD8">
        <w:rPr>
          <w:sz w:val="24"/>
          <w:szCs w:val="24"/>
          <w:lang w:val="pt-PT"/>
        </w:rPr>
        <w:t>Transgenic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Bt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Maize</w:t>
      </w:r>
      <w:proofErr w:type="spellEnd"/>
      <w:r w:rsidRPr="001E4AD8">
        <w:rPr>
          <w:sz w:val="24"/>
          <w:szCs w:val="24"/>
          <w:lang w:val="pt-PT"/>
        </w:rPr>
        <w:t xml:space="preserve"> (MON810) </w:t>
      </w:r>
      <w:proofErr w:type="spellStart"/>
      <w:r w:rsidRPr="001E4AD8">
        <w:rPr>
          <w:sz w:val="24"/>
          <w:szCs w:val="24"/>
          <w:lang w:val="pt-PT"/>
        </w:rPr>
        <w:t>under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Optimal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and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Stressful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Environmental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Conditions</w:t>
      </w:r>
      <w:proofErr w:type="spellEnd"/>
      <w:r w:rsidRPr="001E4AD8">
        <w:rPr>
          <w:sz w:val="24"/>
          <w:szCs w:val="24"/>
          <w:lang w:val="pt-PT"/>
        </w:rPr>
        <w:t xml:space="preserve">» [Expressão transgénica e teor de proteínas </w:t>
      </w:r>
      <w:proofErr w:type="spellStart"/>
      <w:r w:rsidRPr="001E4AD8">
        <w:rPr>
          <w:sz w:val="24"/>
          <w:szCs w:val="24"/>
          <w:lang w:val="pt-PT"/>
        </w:rPr>
        <w:t>Bt</w:t>
      </w:r>
      <w:proofErr w:type="spellEnd"/>
      <w:r w:rsidRPr="001E4AD8">
        <w:rPr>
          <w:sz w:val="24"/>
          <w:szCs w:val="24"/>
          <w:lang w:val="pt-PT"/>
        </w:rPr>
        <w:t xml:space="preserve"> em milho </w:t>
      </w:r>
      <w:proofErr w:type="spellStart"/>
      <w:r w:rsidRPr="001E4AD8">
        <w:rPr>
          <w:sz w:val="24"/>
          <w:szCs w:val="24"/>
          <w:lang w:val="pt-PT"/>
        </w:rPr>
        <w:t>Bt</w:t>
      </w:r>
      <w:proofErr w:type="spellEnd"/>
      <w:r w:rsidRPr="001E4AD8">
        <w:rPr>
          <w:sz w:val="24"/>
          <w:szCs w:val="24"/>
          <w:lang w:val="pt-PT"/>
        </w:rPr>
        <w:t xml:space="preserve"> transgénico (MON810) em condições ambientais ideais e em condições caracterizadas por perturbações], </w:t>
      </w:r>
      <w:r w:rsidRPr="001E4AD8">
        <w:rPr>
          <w:i/>
          <w:iCs/>
          <w:sz w:val="24"/>
          <w:szCs w:val="24"/>
          <w:lang w:val="pt-PT"/>
        </w:rPr>
        <w:t>PLOS ONE</w:t>
      </w:r>
      <w:r w:rsidRPr="001E4AD8">
        <w:rPr>
          <w:sz w:val="24"/>
          <w:szCs w:val="24"/>
          <w:lang w:val="pt-PT"/>
        </w:rPr>
        <w:t xml:space="preserve">, vol. 10, n.º 4: e0123011, </w:t>
      </w:r>
      <w:hyperlink r:id="rId17" w:history="1">
        <w:r w:rsidRPr="001E4AD8">
          <w:rPr>
            <w:rStyle w:val="Hyperlink"/>
            <w:sz w:val="24"/>
            <w:szCs w:val="24"/>
            <w:lang w:val="pt-PT"/>
          </w:rPr>
          <w:t>https://doi.org/10.1371/journal.pone.0123011</w:t>
        </w:r>
      </w:hyperlink>
      <w:r w:rsidRPr="001E4AD8">
        <w:rPr>
          <w:sz w:val="24"/>
          <w:szCs w:val="24"/>
          <w:lang w:val="pt-PT"/>
        </w:rPr>
        <w:t>.</w:t>
      </w:r>
    </w:p>
  </w:footnote>
  <w:footnote w:id="10">
    <w:p w14:paraId="48F5056B" w14:textId="13C024D5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r w:rsidRPr="001E4AD8">
        <w:rPr>
          <w:sz w:val="24"/>
          <w:szCs w:val="24"/>
          <w:lang w:val="pt-PT"/>
        </w:rPr>
        <w:t xml:space="preserve">Ver, por exemplo, Schulz, R., </w:t>
      </w:r>
      <w:proofErr w:type="spellStart"/>
      <w:r w:rsidRPr="001E4AD8">
        <w:rPr>
          <w:sz w:val="24"/>
          <w:szCs w:val="24"/>
          <w:lang w:val="pt-PT"/>
        </w:rPr>
        <w:t>Bub</w:t>
      </w:r>
      <w:proofErr w:type="spellEnd"/>
      <w:r w:rsidRPr="001E4AD8">
        <w:rPr>
          <w:sz w:val="24"/>
          <w:szCs w:val="24"/>
          <w:lang w:val="pt-PT"/>
        </w:rPr>
        <w:t xml:space="preserve">, S., </w:t>
      </w:r>
      <w:proofErr w:type="spellStart"/>
      <w:r w:rsidRPr="001E4AD8">
        <w:rPr>
          <w:sz w:val="24"/>
          <w:szCs w:val="24"/>
          <w:lang w:val="pt-PT"/>
        </w:rPr>
        <w:t>Petschick</w:t>
      </w:r>
      <w:proofErr w:type="spellEnd"/>
      <w:r w:rsidRPr="001E4AD8">
        <w:rPr>
          <w:sz w:val="24"/>
          <w:szCs w:val="24"/>
          <w:lang w:val="pt-PT"/>
        </w:rPr>
        <w:t xml:space="preserve">, L. L., </w:t>
      </w:r>
      <w:proofErr w:type="spellStart"/>
      <w:r w:rsidRPr="001E4AD8">
        <w:rPr>
          <w:sz w:val="24"/>
          <w:szCs w:val="24"/>
          <w:lang w:val="pt-PT"/>
        </w:rPr>
        <w:t>Stehle</w:t>
      </w:r>
      <w:proofErr w:type="spellEnd"/>
      <w:r w:rsidRPr="001E4AD8">
        <w:rPr>
          <w:sz w:val="24"/>
          <w:szCs w:val="24"/>
          <w:lang w:val="pt-PT"/>
        </w:rPr>
        <w:t xml:space="preserve">, S., </w:t>
      </w:r>
      <w:proofErr w:type="spellStart"/>
      <w:r w:rsidRPr="001E4AD8">
        <w:rPr>
          <w:sz w:val="24"/>
          <w:szCs w:val="24"/>
          <w:lang w:val="pt-PT"/>
        </w:rPr>
        <w:t>Wolfram</w:t>
      </w:r>
      <w:proofErr w:type="spellEnd"/>
      <w:r w:rsidRPr="001E4AD8">
        <w:rPr>
          <w:sz w:val="24"/>
          <w:szCs w:val="24"/>
          <w:lang w:val="pt-PT"/>
        </w:rPr>
        <w:t>, J. (2021), «</w:t>
      </w:r>
      <w:proofErr w:type="spellStart"/>
      <w:r w:rsidRPr="001E4AD8">
        <w:rPr>
          <w:sz w:val="24"/>
          <w:szCs w:val="24"/>
          <w:lang w:val="pt-PT"/>
        </w:rPr>
        <w:t>Applied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pesticide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toxicity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shifts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toward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plants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and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invertebrates</w:t>
      </w:r>
      <w:proofErr w:type="spellEnd"/>
      <w:r w:rsidRPr="001E4AD8">
        <w:rPr>
          <w:sz w:val="24"/>
          <w:szCs w:val="24"/>
          <w:lang w:val="pt-PT"/>
        </w:rPr>
        <w:t xml:space="preserve">, </w:t>
      </w:r>
      <w:proofErr w:type="spellStart"/>
      <w:r w:rsidRPr="001E4AD8">
        <w:rPr>
          <w:sz w:val="24"/>
          <w:szCs w:val="24"/>
          <w:lang w:val="pt-PT"/>
        </w:rPr>
        <w:t>even</w:t>
      </w:r>
      <w:proofErr w:type="spellEnd"/>
      <w:r w:rsidRPr="001E4AD8">
        <w:rPr>
          <w:sz w:val="24"/>
          <w:szCs w:val="24"/>
          <w:lang w:val="pt-PT"/>
        </w:rPr>
        <w:t xml:space="preserve"> in GM </w:t>
      </w:r>
      <w:proofErr w:type="spellStart"/>
      <w:r w:rsidRPr="001E4AD8">
        <w:rPr>
          <w:sz w:val="24"/>
          <w:szCs w:val="24"/>
          <w:lang w:val="pt-PT"/>
        </w:rPr>
        <w:t>crops</w:t>
      </w:r>
      <w:proofErr w:type="spellEnd"/>
      <w:r w:rsidRPr="001E4AD8">
        <w:rPr>
          <w:sz w:val="24"/>
          <w:szCs w:val="24"/>
          <w:lang w:val="pt-PT"/>
        </w:rPr>
        <w:t xml:space="preserve">» [A toxicidade aplicada de pesticidas transmite‑se a plantas e invertebrados, mesmo em culturas GM], </w:t>
      </w:r>
      <w:proofErr w:type="spellStart"/>
      <w:r w:rsidRPr="001E4AD8">
        <w:rPr>
          <w:i/>
          <w:iCs/>
          <w:sz w:val="24"/>
          <w:szCs w:val="24"/>
          <w:lang w:val="pt-PT"/>
        </w:rPr>
        <w:t>Science</w:t>
      </w:r>
      <w:proofErr w:type="spellEnd"/>
      <w:r w:rsidRPr="001E4AD8">
        <w:rPr>
          <w:sz w:val="24"/>
          <w:szCs w:val="24"/>
          <w:lang w:val="pt-PT"/>
        </w:rPr>
        <w:t xml:space="preserve">, vol. 372, n.º 6537, pp. 81‑84, </w:t>
      </w:r>
      <w:hyperlink r:id="rId18" w:history="1">
        <w:r w:rsidRPr="001E4AD8">
          <w:rPr>
            <w:rStyle w:val="Hyperlink"/>
            <w:sz w:val="24"/>
            <w:szCs w:val="24"/>
            <w:lang w:val="pt-PT"/>
          </w:rPr>
          <w:t>https://doi.org/10.1126/science.abe1148</w:t>
        </w:r>
      </w:hyperlink>
      <w:r w:rsidRPr="001E4AD8">
        <w:rPr>
          <w:sz w:val="24"/>
          <w:szCs w:val="24"/>
          <w:lang w:val="pt-PT"/>
        </w:rPr>
        <w:t xml:space="preserve">, </w:t>
      </w:r>
      <w:proofErr w:type="spellStart"/>
      <w:r w:rsidRPr="001E4AD8">
        <w:rPr>
          <w:sz w:val="24"/>
          <w:szCs w:val="24"/>
          <w:lang w:val="pt-PT"/>
        </w:rPr>
        <w:t>Bonny</w:t>
      </w:r>
      <w:proofErr w:type="spellEnd"/>
      <w:r w:rsidRPr="001E4AD8">
        <w:rPr>
          <w:sz w:val="24"/>
          <w:szCs w:val="24"/>
          <w:lang w:val="pt-PT"/>
        </w:rPr>
        <w:t>, S., «</w:t>
      </w:r>
      <w:proofErr w:type="spellStart"/>
      <w:r w:rsidRPr="001E4AD8">
        <w:rPr>
          <w:sz w:val="24"/>
          <w:szCs w:val="24"/>
          <w:lang w:val="pt-PT"/>
        </w:rPr>
        <w:t>Genetically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Modified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Herbicide‑Tolerant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Crops</w:t>
      </w:r>
      <w:proofErr w:type="spellEnd"/>
      <w:r w:rsidRPr="001E4AD8">
        <w:rPr>
          <w:sz w:val="24"/>
          <w:szCs w:val="24"/>
          <w:lang w:val="pt-PT"/>
        </w:rPr>
        <w:t xml:space="preserve">, </w:t>
      </w:r>
      <w:proofErr w:type="spellStart"/>
      <w:r w:rsidRPr="001E4AD8">
        <w:rPr>
          <w:sz w:val="24"/>
          <w:szCs w:val="24"/>
          <w:lang w:val="pt-PT"/>
        </w:rPr>
        <w:t>Weeds</w:t>
      </w:r>
      <w:proofErr w:type="spellEnd"/>
      <w:r w:rsidRPr="001E4AD8">
        <w:rPr>
          <w:sz w:val="24"/>
          <w:szCs w:val="24"/>
          <w:lang w:val="pt-PT"/>
        </w:rPr>
        <w:t xml:space="preserve">, </w:t>
      </w:r>
      <w:proofErr w:type="spellStart"/>
      <w:r w:rsidRPr="001E4AD8">
        <w:rPr>
          <w:sz w:val="24"/>
          <w:szCs w:val="24"/>
          <w:lang w:val="pt-PT"/>
        </w:rPr>
        <w:t>and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Herbicides</w:t>
      </w:r>
      <w:proofErr w:type="spellEnd"/>
      <w:r w:rsidRPr="001E4AD8">
        <w:rPr>
          <w:sz w:val="24"/>
          <w:szCs w:val="24"/>
          <w:lang w:val="pt-PT"/>
        </w:rPr>
        <w:t xml:space="preserve">: </w:t>
      </w:r>
      <w:proofErr w:type="spellStart"/>
      <w:r w:rsidRPr="001E4AD8">
        <w:rPr>
          <w:sz w:val="24"/>
          <w:szCs w:val="24"/>
          <w:lang w:val="pt-PT"/>
        </w:rPr>
        <w:t>Overview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and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Impact</w:t>
      </w:r>
      <w:proofErr w:type="spellEnd"/>
      <w:r w:rsidRPr="001E4AD8">
        <w:rPr>
          <w:sz w:val="24"/>
          <w:szCs w:val="24"/>
          <w:lang w:val="pt-PT"/>
        </w:rPr>
        <w:t xml:space="preserve">» [Culturas tolerantes a herbicidas geneticamente modificadas, ervas daninhas e herbicidas: panorâmica e efeitos], </w:t>
      </w:r>
      <w:proofErr w:type="spellStart"/>
      <w:r w:rsidRPr="001E4AD8">
        <w:rPr>
          <w:i/>
          <w:iCs/>
          <w:sz w:val="24"/>
          <w:szCs w:val="24"/>
          <w:lang w:val="pt-PT"/>
        </w:rPr>
        <w:t>Environmental</w:t>
      </w:r>
      <w:proofErr w:type="spellEnd"/>
      <w:r w:rsidRPr="001E4AD8">
        <w:rPr>
          <w:i/>
          <w:iCs/>
          <w:sz w:val="24"/>
          <w:szCs w:val="24"/>
          <w:lang w:val="pt-PT"/>
        </w:rPr>
        <w:t xml:space="preserve"> Management</w:t>
      </w:r>
      <w:r w:rsidRPr="001E4AD8">
        <w:rPr>
          <w:sz w:val="24"/>
          <w:szCs w:val="24"/>
          <w:lang w:val="pt-PT"/>
        </w:rPr>
        <w:t xml:space="preserve">, janeiro de 2016, vol. 57, n.º 1, pp. 31‑48, </w:t>
      </w:r>
      <w:hyperlink r:id="rId19" w:history="1">
        <w:r w:rsidRPr="001E4AD8">
          <w:rPr>
            <w:rStyle w:val="Hyperlink"/>
            <w:sz w:val="24"/>
            <w:szCs w:val="24"/>
            <w:lang w:val="pt-PT"/>
          </w:rPr>
          <w:t>https://www.ncbi.nlm.nih.gov/pubmed/26296738</w:t>
        </w:r>
      </w:hyperlink>
      <w:r w:rsidRPr="001E4AD8">
        <w:rPr>
          <w:sz w:val="24"/>
          <w:szCs w:val="24"/>
          <w:lang w:val="pt-PT"/>
        </w:rPr>
        <w:t xml:space="preserve">, e </w:t>
      </w:r>
      <w:proofErr w:type="spellStart"/>
      <w:r w:rsidRPr="001E4AD8">
        <w:rPr>
          <w:sz w:val="24"/>
          <w:szCs w:val="24"/>
          <w:lang w:val="pt-PT"/>
        </w:rPr>
        <w:t>Benbrook</w:t>
      </w:r>
      <w:proofErr w:type="spellEnd"/>
      <w:r w:rsidRPr="001E4AD8">
        <w:rPr>
          <w:sz w:val="24"/>
          <w:szCs w:val="24"/>
          <w:lang w:val="pt-PT"/>
        </w:rPr>
        <w:t>, C. M., «</w:t>
      </w:r>
      <w:proofErr w:type="spellStart"/>
      <w:r w:rsidRPr="001E4AD8">
        <w:rPr>
          <w:sz w:val="24"/>
          <w:szCs w:val="24"/>
          <w:lang w:val="pt-PT"/>
        </w:rPr>
        <w:t>Impacts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of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genetically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engineered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crops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on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pesticide</w:t>
      </w:r>
      <w:proofErr w:type="spellEnd"/>
      <w:r w:rsidRPr="001E4AD8">
        <w:rPr>
          <w:sz w:val="24"/>
          <w:szCs w:val="24"/>
          <w:lang w:val="pt-PT"/>
        </w:rPr>
        <w:t xml:space="preserve"> use in the U.S. — </w:t>
      </w:r>
      <w:proofErr w:type="spellStart"/>
      <w:r w:rsidRPr="001E4AD8">
        <w:rPr>
          <w:sz w:val="24"/>
          <w:szCs w:val="24"/>
          <w:lang w:val="pt-PT"/>
        </w:rPr>
        <w:t>the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first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sixteen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years</w:t>
      </w:r>
      <w:proofErr w:type="spellEnd"/>
      <w:r w:rsidRPr="001E4AD8">
        <w:rPr>
          <w:sz w:val="24"/>
          <w:szCs w:val="24"/>
          <w:lang w:val="pt-PT"/>
        </w:rPr>
        <w:t xml:space="preserve">» [Impactos de culturas geneticamente modificadas no uso de pesticidas nos EUA — os primeiros dezasseis anos], </w:t>
      </w:r>
      <w:proofErr w:type="spellStart"/>
      <w:r w:rsidRPr="001E4AD8">
        <w:rPr>
          <w:i/>
          <w:iCs/>
          <w:sz w:val="24"/>
          <w:szCs w:val="24"/>
          <w:lang w:val="pt-PT"/>
        </w:rPr>
        <w:t>Environmental</w:t>
      </w:r>
      <w:proofErr w:type="spellEnd"/>
      <w:r w:rsidRPr="001E4AD8">
        <w:rPr>
          <w:i/>
          <w:iCs/>
          <w:sz w:val="24"/>
          <w:szCs w:val="24"/>
          <w:lang w:val="pt-PT"/>
        </w:rPr>
        <w:t xml:space="preserve"> </w:t>
      </w:r>
      <w:proofErr w:type="spellStart"/>
      <w:r w:rsidRPr="001E4AD8">
        <w:rPr>
          <w:i/>
          <w:iCs/>
          <w:sz w:val="24"/>
          <w:szCs w:val="24"/>
          <w:lang w:val="pt-PT"/>
        </w:rPr>
        <w:t>Sciences</w:t>
      </w:r>
      <w:proofErr w:type="spellEnd"/>
      <w:r w:rsidRPr="001E4AD8">
        <w:rPr>
          <w:i/>
          <w:iCs/>
          <w:sz w:val="24"/>
          <w:szCs w:val="24"/>
          <w:lang w:val="pt-PT"/>
        </w:rPr>
        <w:t xml:space="preserve"> </w:t>
      </w:r>
      <w:proofErr w:type="spellStart"/>
      <w:r w:rsidRPr="001E4AD8">
        <w:rPr>
          <w:i/>
          <w:iCs/>
          <w:sz w:val="24"/>
          <w:szCs w:val="24"/>
          <w:lang w:val="pt-PT"/>
        </w:rPr>
        <w:t>Europe</w:t>
      </w:r>
      <w:proofErr w:type="spellEnd"/>
      <w:r w:rsidRPr="001E4AD8">
        <w:rPr>
          <w:sz w:val="24"/>
          <w:szCs w:val="24"/>
          <w:lang w:val="pt-PT"/>
        </w:rPr>
        <w:t xml:space="preserve">, 28 de setembro de 2012, vol. 24, n.º 24, </w:t>
      </w:r>
      <w:hyperlink r:id="rId20" w:history="1">
        <w:r w:rsidRPr="001E4AD8">
          <w:rPr>
            <w:rStyle w:val="Hyperlink"/>
            <w:sz w:val="24"/>
            <w:szCs w:val="24"/>
            <w:lang w:val="pt-PT"/>
          </w:rPr>
          <w:t>https://doi.org/10.1186/2190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4715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24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24</w:t>
        </w:r>
      </w:hyperlink>
      <w:r w:rsidRPr="001E4AD8">
        <w:rPr>
          <w:sz w:val="24"/>
          <w:szCs w:val="24"/>
          <w:lang w:val="pt-PT"/>
        </w:rPr>
        <w:t>.</w:t>
      </w:r>
    </w:p>
  </w:footnote>
  <w:footnote w:id="11">
    <w:p w14:paraId="7ADDAB51" w14:textId="5B31E527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r w:rsidRPr="001E4AD8">
        <w:rPr>
          <w:sz w:val="24"/>
          <w:szCs w:val="24"/>
          <w:lang w:val="pt-PT"/>
        </w:rPr>
        <w:t>Ver a análise de Rubio‑Infante, N., Moreno‑</w:t>
      </w:r>
      <w:proofErr w:type="spellStart"/>
      <w:r w:rsidRPr="001E4AD8">
        <w:rPr>
          <w:sz w:val="24"/>
          <w:szCs w:val="24"/>
          <w:lang w:val="pt-PT"/>
        </w:rPr>
        <w:t>Fierros</w:t>
      </w:r>
      <w:proofErr w:type="spellEnd"/>
      <w:r w:rsidRPr="001E4AD8">
        <w:rPr>
          <w:sz w:val="24"/>
          <w:szCs w:val="24"/>
          <w:lang w:val="pt-PT"/>
        </w:rPr>
        <w:t>, L., «</w:t>
      </w:r>
      <w:proofErr w:type="spellStart"/>
      <w:r w:rsidRPr="001E4AD8">
        <w:rPr>
          <w:sz w:val="24"/>
          <w:szCs w:val="24"/>
          <w:lang w:val="pt-PT"/>
        </w:rPr>
        <w:t>An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overview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of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the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safety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and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biological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effects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of</w:t>
      </w:r>
      <w:proofErr w:type="spellEnd"/>
      <w:r w:rsidRPr="001E4AD8">
        <w:rPr>
          <w:sz w:val="24"/>
          <w:szCs w:val="24"/>
          <w:lang w:val="pt-PT"/>
        </w:rPr>
        <w:t> </w:t>
      </w:r>
      <w:proofErr w:type="spellStart"/>
      <w:r w:rsidRPr="001E4AD8">
        <w:rPr>
          <w:sz w:val="24"/>
          <w:szCs w:val="24"/>
          <w:lang w:val="pt-PT"/>
        </w:rPr>
        <w:t>Bacillus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thuringiensis</w:t>
      </w:r>
      <w:proofErr w:type="spellEnd"/>
      <w:r w:rsidRPr="001E4AD8">
        <w:rPr>
          <w:sz w:val="24"/>
          <w:szCs w:val="24"/>
          <w:lang w:val="pt-PT"/>
        </w:rPr>
        <w:t> </w:t>
      </w:r>
      <w:proofErr w:type="spellStart"/>
      <w:r w:rsidRPr="001E4AD8">
        <w:rPr>
          <w:sz w:val="24"/>
          <w:szCs w:val="24"/>
          <w:lang w:val="pt-PT"/>
        </w:rPr>
        <w:t>Cry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toxins</w:t>
      </w:r>
      <w:proofErr w:type="spellEnd"/>
      <w:r w:rsidRPr="001E4AD8">
        <w:rPr>
          <w:sz w:val="24"/>
          <w:szCs w:val="24"/>
          <w:lang w:val="pt-PT"/>
        </w:rPr>
        <w:t xml:space="preserve"> in </w:t>
      </w:r>
      <w:proofErr w:type="spellStart"/>
      <w:r w:rsidRPr="001E4AD8">
        <w:rPr>
          <w:sz w:val="24"/>
          <w:szCs w:val="24"/>
          <w:lang w:val="pt-PT"/>
        </w:rPr>
        <w:t>mammals</w:t>
      </w:r>
      <w:proofErr w:type="spellEnd"/>
      <w:r w:rsidRPr="001E4AD8">
        <w:rPr>
          <w:sz w:val="24"/>
          <w:szCs w:val="24"/>
          <w:lang w:val="pt-PT"/>
        </w:rPr>
        <w:t xml:space="preserve">» [Uma síntese da segurança e dos efeitos biológicos das toxinas </w:t>
      </w:r>
      <w:proofErr w:type="spellStart"/>
      <w:r w:rsidRPr="001E4AD8">
        <w:rPr>
          <w:sz w:val="24"/>
          <w:szCs w:val="24"/>
          <w:lang w:val="pt-PT"/>
        </w:rPr>
        <w:t>Cry</w:t>
      </w:r>
      <w:proofErr w:type="spellEnd"/>
      <w:r w:rsidRPr="001E4AD8">
        <w:rPr>
          <w:sz w:val="24"/>
          <w:szCs w:val="24"/>
          <w:lang w:val="pt-PT"/>
        </w:rPr>
        <w:t xml:space="preserve"> do </w:t>
      </w:r>
      <w:proofErr w:type="spellStart"/>
      <w:r w:rsidRPr="001E4AD8">
        <w:rPr>
          <w:i/>
          <w:iCs/>
          <w:sz w:val="24"/>
          <w:szCs w:val="24"/>
          <w:lang w:val="pt-PT"/>
        </w:rPr>
        <w:t>Bacillus</w:t>
      </w:r>
      <w:proofErr w:type="spellEnd"/>
      <w:r w:rsidRPr="001E4AD8">
        <w:rPr>
          <w:i/>
          <w:iCs/>
          <w:sz w:val="24"/>
          <w:szCs w:val="24"/>
          <w:lang w:val="pt-PT"/>
        </w:rPr>
        <w:t xml:space="preserve"> </w:t>
      </w:r>
      <w:proofErr w:type="spellStart"/>
      <w:r w:rsidRPr="001E4AD8">
        <w:rPr>
          <w:i/>
          <w:iCs/>
          <w:sz w:val="24"/>
          <w:szCs w:val="24"/>
          <w:lang w:val="pt-PT"/>
        </w:rPr>
        <w:t>thuringiensis</w:t>
      </w:r>
      <w:proofErr w:type="spellEnd"/>
      <w:r w:rsidRPr="001E4AD8">
        <w:rPr>
          <w:sz w:val="24"/>
          <w:szCs w:val="24"/>
          <w:lang w:val="pt-PT"/>
        </w:rPr>
        <w:t xml:space="preserve"> em mamíferos], </w:t>
      </w:r>
      <w:proofErr w:type="spellStart"/>
      <w:r w:rsidRPr="001E4AD8">
        <w:rPr>
          <w:i/>
          <w:iCs/>
          <w:sz w:val="24"/>
          <w:szCs w:val="24"/>
          <w:lang w:val="pt-PT"/>
        </w:rPr>
        <w:t>Journal</w:t>
      </w:r>
      <w:proofErr w:type="spellEnd"/>
      <w:r w:rsidRPr="001E4AD8">
        <w:rPr>
          <w:i/>
          <w:iCs/>
          <w:sz w:val="24"/>
          <w:szCs w:val="24"/>
          <w:lang w:val="pt-PT"/>
        </w:rPr>
        <w:t xml:space="preserve"> </w:t>
      </w:r>
      <w:proofErr w:type="spellStart"/>
      <w:r w:rsidRPr="001E4AD8">
        <w:rPr>
          <w:i/>
          <w:iCs/>
          <w:sz w:val="24"/>
          <w:szCs w:val="24"/>
          <w:lang w:val="pt-PT"/>
        </w:rPr>
        <w:t>of</w:t>
      </w:r>
      <w:proofErr w:type="spellEnd"/>
      <w:r w:rsidRPr="001E4AD8">
        <w:rPr>
          <w:i/>
          <w:iCs/>
          <w:sz w:val="24"/>
          <w:szCs w:val="24"/>
          <w:lang w:val="pt-PT"/>
        </w:rPr>
        <w:t xml:space="preserve"> </w:t>
      </w:r>
      <w:proofErr w:type="spellStart"/>
      <w:r w:rsidRPr="001E4AD8">
        <w:rPr>
          <w:i/>
          <w:iCs/>
          <w:sz w:val="24"/>
          <w:szCs w:val="24"/>
          <w:lang w:val="pt-PT"/>
        </w:rPr>
        <w:t>Applied</w:t>
      </w:r>
      <w:proofErr w:type="spellEnd"/>
      <w:r w:rsidRPr="001E4AD8">
        <w:rPr>
          <w:i/>
          <w:iCs/>
          <w:sz w:val="24"/>
          <w:szCs w:val="24"/>
          <w:lang w:val="pt-PT"/>
        </w:rPr>
        <w:t xml:space="preserve"> </w:t>
      </w:r>
      <w:proofErr w:type="spellStart"/>
      <w:r w:rsidRPr="001E4AD8">
        <w:rPr>
          <w:i/>
          <w:iCs/>
          <w:sz w:val="24"/>
          <w:szCs w:val="24"/>
          <w:lang w:val="pt-PT"/>
        </w:rPr>
        <w:t>Toxicology</w:t>
      </w:r>
      <w:proofErr w:type="spellEnd"/>
      <w:r w:rsidRPr="001E4AD8">
        <w:rPr>
          <w:sz w:val="24"/>
          <w:szCs w:val="24"/>
          <w:lang w:val="pt-PT"/>
        </w:rPr>
        <w:t xml:space="preserve">, maio de 2016, vol. 36, n.º 5, pp. 630‑648, </w:t>
      </w:r>
      <w:hyperlink r:id="rId21" w:history="1">
        <w:r w:rsidRPr="001E4AD8">
          <w:rPr>
            <w:rStyle w:val="Hyperlink"/>
            <w:sz w:val="24"/>
            <w:szCs w:val="24"/>
            <w:lang w:val="pt-PT"/>
          </w:rPr>
          <w:t>https://onlinelibrary.wiley.com/doi/full/10.1002/jat.3252</w:t>
        </w:r>
      </w:hyperlink>
      <w:r w:rsidRPr="001E4AD8">
        <w:rPr>
          <w:sz w:val="24"/>
          <w:szCs w:val="24"/>
          <w:lang w:val="pt-PT"/>
        </w:rPr>
        <w:t>.</w:t>
      </w:r>
    </w:p>
  </w:footnote>
  <w:footnote w:id="12">
    <w:p w14:paraId="25022D47" w14:textId="5D8F4F0B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proofErr w:type="spellStart"/>
      <w:r w:rsidRPr="001E4AD8">
        <w:rPr>
          <w:sz w:val="24"/>
          <w:szCs w:val="24"/>
          <w:lang w:val="pt-PT"/>
        </w:rPr>
        <w:t>Bøhn</w:t>
      </w:r>
      <w:proofErr w:type="spellEnd"/>
      <w:r w:rsidRPr="001E4AD8">
        <w:rPr>
          <w:sz w:val="24"/>
          <w:szCs w:val="24"/>
          <w:lang w:val="pt-PT"/>
        </w:rPr>
        <w:t xml:space="preserve">, T., </w:t>
      </w:r>
      <w:proofErr w:type="spellStart"/>
      <w:r w:rsidRPr="001E4AD8">
        <w:rPr>
          <w:sz w:val="24"/>
          <w:szCs w:val="24"/>
          <w:lang w:val="pt-PT"/>
        </w:rPr>
        <w:t>Macagnan</w:t>
      </w:r>
      <w:proofErr w:type="spellEnd"/>
      <w:r w:rsidRPr="001E4AD8">
        <w:rPr>
          <w:sz w:val="24"/>
          <w:szCs w:val="24"/>
          <w:lang w:val="pt-PT"/>
        </w:rPr>
        <w:t xml:space="preserve"> Rover, C., </w:t>
      </w:r>
      <w:proofErr w:type="spellStart"/>
      <w:r w:rsidRPr="001E4AD8">
        <w:rPr>
          <w:sz w:val="24"/>
          <w:szCs w:val="24"/>
          <w:lang w:val="pt-PT"/>
        </w:rPr>
        <w:t>Semenchuk</w:t>
      </w:r>
      <w:proofErr w:type="spellEnd"/>
      <w:r w:rsidRPr="001E4AD8">
        <w:rPr>
          <w:sz w:val="24"/>
          <w:szCs w:val="24"/>
          <w:lang w:val="pt-PT"/>
        </w:rPr>
        <w:t>, P. R., «</w:t>
      </w:r>
      <w:proofErr w:type="spellStart"/>
      <w:r w:rsidRPr="001E4AD8">
        <w:rPr>
          <w:i/>
          <w:sz w:val="24"/>
          <w:szCs w:val="24"/>
          <w:lang w:val="pt-PT"/>
        </w:rPr>
        <w:t>Daphnia</w:t>
      </w:r>
      <w:proofErr w:type="spellEnd"/>
      <w:r w:rsidRPr="001E4AD8">
        <w:rPr>
          <w:i/>
          <w:sz w:val="24"/>
          <w:szCs w:val="24"/>
          <w:lang w:val="pt-PT"/>
        </w:rPr>
        <w:t xml:space="preserve"> magna</w:t>
      </w:r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negatively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affected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by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chronic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exposure</w:t>
      </w:r>
      <w:proofErr w:type="spellEnd"/>
      <w:r w:rsidRPr="001E4AD8">
        <w:rPr>
          <w:sz w:val="24"/>
          <w:szCs w:val="24"/>
          <w:lang w:val="pt-PT"/>
        </w:rPr>
        <w:t xml:space="preserve"> to </w:t>
      </w:r>
      <w:proofErr w:type="spellStart"/>
      <w:r w:rsidRPr="001E4AD8">
        <w:rPr>
          <w:sz w:val="24"/>
          <w:szCs w:val="24"/>
          <w:lang w:val="pt-PT"/>
        </w:rPr>
        <w:t>purified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Cry</w:t>
      </w:r>
      <w:r w:rsidRPr="001E4AD8">
        <w:rPr>
          <w:sz w:val="24"/>
          <w:szCs w:val="24"/>
          <w:lang w:val="pt-PT"/>
        </w:rPr>
        <w:noBreakHyphen/>
        <w:t>toxins</w:t>
      </w:r>
      <w:proofErr w:type="spellEnd"/>
      <w:r w:rsidRPr="001E4AD8">
        <w:rPr>
          <w:sz w:val="24"/>
          <w:szCs w:val="24"/>
          <w:lang w:val="pt-PT"/>
        </w:rPr>
        <w:t>» [</w:t>
      </w:r>
      <w:proofErr w:type="spellStart"/>
      <w:r w:rsidRPr="001E4AD8">
        <w:rPr>
          <w:i/>
          <w:iCs/>
          <w:sz w:val="24"/>
          <w:szCs w:val="24"/>
          <w:lang w:val="pt-PT"/>
        </w:rPr>
        <w:t>Daphnia</w:t>
      </w:r>
      <w:proofErr w:type="spellEnd"/>
      <w:r w:rsidRPr="001E4AD8">
        <w:rPr>
          <w:i/>
          <w:iCs/>
          <w:sz w:val="24"/>
          <w:szCs w:val="24"/>
          <w:lang w:val="pt-PT"/>
        </w:rPr>
        <w:t xml:space="preserve"> magna</w:t>
      </w:r>
      <w:r w:rsidRPr="001E4AD8">
        <w:rPr>
          <w:sz w:val="24"/>
          <w:szCs w:val="24"/>
          <w:lang w:val="pt-PT"/>
        </w:rPr>
        <w:t xml:space="preserve"> negativamente afetada pela exposição crónica a toxinas </w:t>
      </w:r>
      <w:proofErr w:type="spellStart"/>
      <w:r w:rsidRPr="001E4AD8">
        <w:rPr>
          <w:sz w:val="24"/>
          <w:szCs w:val="24"/>
          <w:lang w:val="pt-PT"/>
        </w:rPr>
        <w:t>Cry</w:t>
      </w:r>
      <w:proofErr w:type="spellEnd"/>
      <w:r w:rsidRPr="001E4AD8">
        <w:rPr>
          <w:sz w:val="24"/>
          <w:szCs w:val="24"/>
          <w:lang w:val="pt-PT"/>
        </w:rPr>
        <w:t xml:space="preserve"> purificadas], </w:t>
      </w:r>
      <w:r w:rsidRPr="001E4AD8">
        <w:rPr>
          <w:i/>
          <w:iCs/>
          <w:sz w:val="24"/>
          <w:szCs w:val="24"/>
          <w:lang w:val="pt-PT"/>
        </w:rPr>
        <w:t xml:space="preserve">Food </w:t>
      </w:r>
      <w:proofErr w:type="spellStart"/>
      <w:r w:rsidRPr="001E4AD8">
        <w:rPr>
          <w:i/>
          <w:iCs/>
          <w:sz w:val="24"/>
          <w:szCs w:val="24"/>
          <w:lang w:val="pt-PT"/>
        </w:rPr>
        <w:t>and</w:t>
      </w:r>
      <w:proofErr w:type="spellEnd"/>
      <w:r w:rsidRPr="001E4AD8">
        <w:rPr>
          <w:i/>
          <w:iCs/>
          <w:sz w:val="24"/>
          <w:szCs w:val="24"/>
          <w:lang w:val="pt-PT"/>
        </w:rPr>
        <w:t xml:space="preserve"> </w:t>
      </w:r>
      <w:proofErr w:type="spellStart"/>
      <w:r w:rsidRPr="001E4AD8">
        <w:rPr>
          <w:i/>
          <w:iCs/>
          <w:sz w:val="24"/>
          <w:szCs w:val="24"/>
          <w:lang w:val="pt-PT"/>
        </w:rPr>
        <w:t>Chemical</w:t>
      </w:r>
      <w:proofErr w:type="spellEnd"/>
      <w:r w:rsidRPr="001E4AD8">
        <w:rPr>
          <w:i/>
          <w:iCs/>
          <w:sz w:val="24"/>
          <w:szCs w:val="24"/>
          <w:lang w:val="pt-PT"/>
        </w:rPr>
        <w:t xml:space="preserve"> </w:t>
      </w:r>
      <w:proofErr w:type="spellStart"/>
      <w:r w:rsidRPr="001E4AD8">
        <w:rPr>
          <w:i/>
          <w:iCs/>
          <w:sz w:val="24"/>
          <w:szCs w:val="24"/>
          <w:lang w:val="pt-PT"/>
        </w:rPr>
        <w:t>Toxicology</w:t>
      </w:r>
      <w:proofErr w:type="spellEnd"/>
      <w:r w:rsidRPr="001E4AD8">
        <w:rPr>
          <w:sz w:val="24"/>
          <w:szCs w:val="24"/>
          <w:lang w:val="pt-PT"/>
        </w:rPr>
        <w:t>, maio de 2016, vol. 91, pp. 130</w:t>
      </w:r>
      <w:r w:rsidRPr="001E4AD8">
        <w:rPr>
          <w:sz w:val="24"/>
          <w:szCs w:val="24"/>
          <w:lang w:val="pt-PT"/>
        </w:rPr>
        <w:noBreakHyphen/>
        <w:t xml:space="preserve">140, </w:t>
      </w:r>
      <w:hyperlink r:id="rId22" w:history="1">
        <w:r w:rsidRPr="001E4AD8">
          <w:rPr>
            <w:rStyle w:val="Hyperlink"/>
            <w:sz w:val="24"/>
            <w:szCs w:val="24"/>
            <w:lang w:val="pt-PT"/>
          </w:rPr>
          <w:t>https://doi.org/10.1016/j.fct.2016.03.009</w:t>
        </w:r>
      </w:hyperlink>
      <w:r w:rsidRPr="001E4AD8">
        <w:rPr>
          <w:sz w:val="24"/>
          <w:szCs w:val="24"/>
          <w:lang w:val="pt-PT"/>
        </w:rPr>
        <w:t>.</w:t>
      </w:r>
    </w:p>
  </w:footnote>
  <w:footnote w:id="13">
    <w:p w14:paraId="5F8FB12B" w14:textId="7E9AC9D2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proofErr w:type="spellStart"/>
      <w:r w:rsidRPr="001E4AD8">
        <w:rPr>
          <w:sz w:val="24"/>
          <w:szCs w:val="24"/>
          <w:lang w:val="pt-PT"/>
        </w:rPr>
        <w:t>Trtikova</w:t>
      </w:r>
      <w:proofErr w:type="spellEnd"/>
      <w:r w:rsidRPr="001E4AD8">
        <w:rPr>
          <w:sz w:val="24"/>
          <w:szCs w:val="24"/>
          <w:lang w:val="pt-PT"/>
        </w:rPr>
        <w:t xml:space="preserve">, M., </w:t>
      </w:r>
      <w:proofErr w:type="spellStart"/>
      <w:r w:rsidRPr="001E4AD8">
        <w:rPr>
          <w:sz w:val="24"/>
          <w:szCs w:val="24"/>
          <w:lang w:val="pt-PT"/>
        </w:rPr>
        <w:t>Lohn</w:t>
      </w:r>
      <w:proofErr w:type="spellEnd"/>
      <w:r w:rsidRPr="001E4AD8">
        <w:rPr>
          <w:sz w:val="24"/>
          <w:szCs w:val="24"/>
          <w:lang w:val="pt-PT"/>
        </w:rPr>
        <w:t xml:space="preserve">, A., </w:t>
      </w:r>
      <w:proofErr w:type="spellStart"/>
      <w:r w:rsidRPr="001E4AD8">
        <w:rPr>
          <w:sz w:val="24"/>
          <w:szCs w:val="24"/>
          <w:lang w:val="pt-PT"/>
        </w:rPr>
        <w:t>Binimelis</w:t>
      </w:r>
      <w:proofErr w:type="spellEnd"/>
      <w:r w:rsidRPr="001E4AD8">
        <w:rPr>
          <w:sz w:val="24"/>
          <w:szCs w:val="24"/>
          <w:lang w:val="pt-PT"/>
        </w:rPr>
        <w:t xml:space="preserve">, R., </w:t>
      </w:r>
      <w:proofErr w:type="spellStart"/>
      <w:r w:rsidRPr="001E4AD8">
        <w:rPr>
          <w:sz w:val="24"/>
          <w:szCs w:val="24"/>
          <w:lang w:val="pt-PT"/>
        </w:rPr>
        <w:t>Chapela</w:t>
      </w:r>
      <w:proofErr w:type="spellEnd"/>
      <w:r w:rsidRPr="001E4AD8">
        <w:rPr>
          <w:sz w:val="24"/>
          <w:szCs w:val="24"/>
          <w:lang w:val="pt-PT"/>
        </w:rPr>
        <w:t xml:space="preserve">, I., </w:t>
      </w:r>
      <w:proofErr w:type="spellStart"/>
      <w:r w:rsidRPr="001E4AD8">
        <w:rPr>
          <w:sz w:val="24"/>
          <w:szCs w:val="24"/>
          <w:lang w:val="pt-PT"/>
        </w:rPr>
        <w:t>Oehen</w:t>
      </w:r>
      <w:proofErr w:type="spellEnd"/>
      <w:r w:rsidRPr="001E4AD8">
        <w:rPr>
          <w:sz w:val="24"/>
          <w:szCs w:val="24"/>
          <w:lang w:val="pt-PT"/>
        </w:rPr>
        <w:t xml:space="preserve">, B., </w:t>
      </w:r>
      <w:proofErr w:type="spellStart"/>
      <w:r w:rsidRPr="001E4AD8">
        <w:rPr>
          <w:sz w:val="24"/>
          <w:szCs w:val="24"/>
          <w:lang w:val="pt-PT"/>
        </w:rPr>
        <w:t>Zemp</w:t>
      </w:r>
      <w:proofErr w:type="spellEnd"/>
      <w:r w:rsidRPr="001E4AD8">
        <w:rPr>
          <w:sz w:val="24"/>
          <w:szCs w:val="24"/>
          <w:lang w:val="pt-PT"/>
        </w:rPr>
        <w:t xml:space="preserve">, N., </w:t>
      </w:r>
      <w:proofErr w:type="spellStart"/>
      <w:r w:rsidRPr="001E4AD8">
        <w:rPr>
          <w:sz w:val="24"/>
          <w:szCs w:val="24"/>
          <w:lang w:val="pt-PT"/>
        </w:rPr>
        <w:t>Widmer</w:t>
      </w:r>
      <w:proofErr w:type="spellEnd"/>
      <w:r w:rsidRPr="001E4AD8">
        <w:rPr>
          <w:sz w:val="24"/>
          <w:szCs w:val="24"/>
          <w:lang w:val="pt-PT"/>
        </w:rPr>
        <w:t xml:space="preserve">, A., </w:t>
      </w:r>
      <w:proofErr w:type="spellStart"/>
      <w:r w:rsidRPr="001E4AD8">
        <w:rPr>
          <w:sz w:val="24"/>
          <w:szCs w:val="24"/>
          <w:lang w:val="pt-PT"/>
        </w:rPr>
        <w:t>Hilbeck</w:t>
      </w:r>
      <w:proofErr w:type="spellEnd"/>
      <w:r w:rsidRPr="001E4AD8">
        <w:rPr>
          <w:sz w:val="24"/>
          <w:szCs w:val="24"/>
          <w:lang w:val="pt-PT"/>
        </w:rPr>
        <w:t>, A., (2017), «</w:t>
      </w:r>
      <w:proofErr w:type="spellStart"/>
      <w:r w:rsidRPr="001E4AD8">
        <w:rPr>
          <w:sz w:val="24"/>
          <w:szCs w:val="24"/>
          <w:lang w:val="pt-PT"/>
        </w:rPr>
        <w:t>Teosinte</w:t>
      </w:r>
      <w:proofErr w:type="spellEnd"/>
      <w:r w:rsidRPr="001E4AD8">
        <w:rPr>
          <w:sz w:val="24"/>
          <w:szCs w:val="24"/>
          <w:lang w:val="pt-PT"/>
        </w:rPr>
        <w:t xml:space="preserve"> in </w:t>
      </w:r>
      <w:proofErr w:type="spellStart"/>
      <w:r w:rsidRPr="001E4AD8">
        <w:rPr>
          <w:sz w:val="24"/>
          <w:szCs w:val="24"/>
          <w:lang w:val="pt-PT"/>
        </w:rPr>
        <w:t>Europe</w:t>
      </w:r>
      <w:proofErr w:type="spellEnd"/>
      <w:r w:rsidRPr="001E4AD8">
        <w:rPr>
          <w:sz w:val="24"/>
          <w:szCs w:val="24"/>
          <w:lang w:val="pt-PT"/>
        </w:rPr>
        <w:t xml:space="preserve"> – </w:t>
      </w:r>
      <w:proofErr w:type="spellStart"/>
      <w:r w:rsidRPr="001E4AD8">
        <w:rPr>
          <w:sz w:val="24"/>
          <w:szCs w:val="24"/>
          <w:lang w:val="pt-PT"/>
        </w:rPr>
        <w:t>Searching</w:t>
      </w:r>
      <w:proofErr w:type="spellEnd"/>
      <w:r w:rsidRPr="001E4AD8">
        <w:rPr>
          <w:sz w:val="24"/>
          <w:szCs w:val="24"/>
          <w:lang w:val="pt-PT"/>
        </w:rPr>
        <w:t xml:space="preserve"> for </w:t>
      </w:r>
      <w:proofErr w:type="spellStart"/>
      <w:r w:rsidRPr="001E4AD8">
        <w:rPr>
          <w:sz w:val="24"/>
          <w:szCs w:val="24"/>
          <w:lang w:val="pt-PT"/>
        </w:rPr>
        <w:t>the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Origin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of</w:t>
      </w:r>
      <w:proofErr w:type="spellEnd"/>
      <w:r w:rsidRPr="001E4AD8">
        <w:rPr>
          <w:sz w:val="24"/>
          <w:szCs w:val="24"/>
          <w:lang w:val="pt-PT"/>
        </w:rPr>
        <w:t xml:space="preserve"> a Novel </w:t>
      </w:r>
      <w:proofErr w:type="spellStart"/>
      <w:r w:rsidRPr="001E4AD8">
        <w:rPr>
          <w:sz w:val="24"/>
          <w:szCs w:val="24"/>
          <w:lang w:val="pt-PT"/>
        </w:rPr>
        <w:t>Weed</w:t>
      </w:r>
      <w:proofErr w:type="spellEnd"/>
      <w:r w:rsidRPr="001E4AD8">
        <w:rPr>
          <w:sz w:val="24"/>
          <w:szCs w:val="24"/>
          <w:lang w:val="pt-PT"/>
        </w:rPr>
        <w:t xml:space="preserve">» [Teosinto na Europa — em busca da origem de uma nova erva daninha], </w:t>
      </w:r>
      <w:proofErr w:type="spellStart"/>
      <w:r w:rsidRPr="001E4AD8">
        <w:rPr>
          <w:i/>
          <w:iCs/>
          <w:sz w:val="24"/>
          <w:szCs w:val="24"/>
          <w:lang w:val="pt-PT"/>
        </w:rPr>
        <w:t>Scientific</w:t>
      </w:r>
      <w:proofErr w:type="spellEnd"/>
      <w:r w:rsidRPr="001E4AD8">
        <w:rPr>
          <w:i/>
          <w:iCs/>
          <w:sz w:val="24"/>
          <w:szCs w:val="24"/>
          <w:lang w:val="pt-PT"/>
        </w:rPr>
        <w:t xml:space="preserve"> </w:t>
      </w:r>
      <w:proofErr w:type="spellStart"/>
      <w:r w:rsidRPr="001E4AD8">
        <w:rPr>
          <w:i/>
          <w:iCs/>
          <w:sz w:val="24"/>
          <w:szCs w:val="24"/>
          <w:lang w:val="pt-PT"/>
        </w:rPr>
        <w:t>Reports</w:t>
      </w:r>
      <w:proofErr w:type="spellEnd"/>
      <w:r w:rsidRPr="001E4AD8">
        <w:rPr>
          <w:sz w:val="24"/>
          <w:szCs w:val="24"/>
          <w:lang w:val="pt-PT"/>
        </w:rPr>
        <w:t xml:space="preserve">, n.º 7, artigo 1560, </w:t>
      </w:r>
      <w:hyperlink r:id="rId23" w:history="1">
        <w:r w:rsidRPr="001E4AD8">
          <w:rPr>
            <w:rStyle w:val="Hyperlink"/>
            <w:sz w:val="24"/>
            <w:szCs w:val="24"/>
            <w:lang w:val="pt-PT"/>
          </w:rPr>
          <w:t>https://doi.org/10.1038/s41598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017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01478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w</w:t>
        </w:r>
      </w:hyperlink>
      <w:r w:rsidRPr="001E4AD8">
        <w:rPr>
          <w:sz w:val="24"/>
          <w:szCs w:val="24"/>
          <w:lang w:val="pt-PT"/>
        </w:rPr>
        <w:t>.</w:t>
      </w:r>
    </w:p>
  </w:footnote>
  <w:footnote w:id="14">
    <w:p w14:paraId="268C9730" w14:textId="6076BE3A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r w:rsidRPr="001E4AD8">
        <w:rPr>
          <w:sz w:val="24"/>
          <w:szCs w:val="24"/>
          <w:lang w:val="pt-PT"/>
        </w:rPr>
        <w:t>«</w:t>
      </w:r>
      <w:proofErr w:type="spellStart"/>
      <w:r w:rsidRPr="001E4AD8">
        <w:rPr>
          <w:sz w:val="24"/>
          <w:szCs w:val="24"/>
          <w:lang w:val="pt-PT"/>
        </w:rPr>
        <w:t>Strategic</w:t>
      </w:r>
      <w:proofErr w:type="spellEnd"/>
      <w:r w:rsidRPr="001E4AD8">
        <w:rPr>
          <w:sz w:val="24"/>
          <w:szCs w:val="24"/>
          <w:lang w:val="pt-PT"/>
        </w:rPr>
        <w:t xml:space="preserve"> Dialogue </w:t>
      </w:r>
      <w:proofErr w:type="spellStart"/>
      <w:r w:rsidRPr="001E4AD8">
        <w:rPr>
          <w:sz w:val="24"/>
          <w:szCs w:val="24"/>
          <w:lang w:val="pt-PT"/>
        </w:rPr>
        <w:t>on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the</w:t>
      </w:r>
      <w:proofErr w:type="spellEnd"/>
      <w:r w:rsidRPr="001E4AD8">
        <w:rPr>
          <w:sz w:val="24"/>
          <w:szCs w:val="24"/>
          <w:lang w:val="pt-PT"/>
        </w:rPr>
        <w:t xml:space="preserve"> Future </w:t>
      </w:r>
      <w:proofErr w:type="spellStart"/>
      <w:r w:rsidRPr="001E4AD8">
        <w:rPr>
          <w:sz w:val="24"/>
          <w:szCs w:val="24"/>
          <w:lang w:val="pt-PT"/>
        </w:rPr>
        <w:t>of</w:t>
      </w:r>
      <w:proofErr w:type="spellEnd"/>
      <w:r w:rsidRPr="001E4AD8">
        <w:rPr>
          <w:sz w:val="24"/>
          <w:szCs w:val="24"/>
          <w:lang w:val="pt-PT"/>
        </w:rPr>
        <w:t xml:space="preserve"> EU </w:t>
      </w:r>
      <w:proofErr w:type="spellStart"/>
      <w:r w:rsidRPr="001E4AD8">
        <w:rPr>
          <w:sz w:val="24"/>
          <w:szCs w:val="24"/>
          <w:lang w:val="pt-PT"/>
        </w:rPr>
        <w:t>Agriculture</w:t>
      </w:r>
      <w:proofErr w:type="spellEnd"/>
      <w:r w:rsidRPr="001E4AD8">
        <w:rPr>
          <w:sz w:val="24"/>
          <w:szCs w:val="24"/>
          <w:lang w:val="pt-PT"/>
        </w:rPr>
        <w:t xml:space="preserve"> — A </w:t>
      </w:r>
      <w:proofErr w:type="spellStart"/>
      <w:r w:rsidRPr="001E4AD8">
        <w:rPr>
          <w:sz w:val="24"/>
          <w:szCs w:val="24"/>
          <w:lang w:val="pt-PT"/>
        </w:rPr>
        <w:t>shared</w:t>
      </w:r>
      <w:proofErr w:type="spellEnd"/>
      <w:r w:rsidRPr="001E4AD8">
        <w:rPr>
          <w:sz w:val="24"/>
          <w:szCs w:val="24"/>
          <w:lang w:val="pt-PT"/>
        </w:rPr>
        <w:t xml:space="preserve"> perspetive for </w:t>
      </w:r>
      <w:proofErr w:type="spellStart"/>
      <w:r w:rsidRPr="001E4AD8">
        <w:rPr>
          <w:sz w:val="24"/>
          <w:szCs w:val="24"/>
          <w:lang w:val="pt-PT"/>
        </w:rPr>
        <w:t>agriculture</w:t>
      </w:r>
      <w:proofErr w:type="spellEnd"/>
      <w:r w:rsidRPr="001E4AD8">
        <w:rPr>
          <w:sz w:val="24"/>
          <w:szCs w:val="24"/>
          <w:lang w:val="pt-PT"/>
        </w:rPr>
        <w:t xml:space="preserve"> </w:t>
      </w:r>
      <w:proofErr w:type="spellStart"/>
      <w:r w:rsidRPr="001E4AD8">
        <w:rPr>
          <w:sz w:val="24"/>
          <w:szCs w:val="24"/>
          <w:lang w:val="pt-PT"/>
        </w:rPr>
        <w:t>and</w:t>
      </w:r>
      <w:proofErr w:type="spellEnd"/>
      <w:r w:rsidRPr="001E4AD8">
        <w:rPr>
          <w:sz w:val="24"/>
          <w:szCs w:val="24"/>
          <w:lang w:val="pt-PT"/>
        </w:rPr>
        <w:t xml:space="preserve"> food in </w:t>
      </w:r>
      <w:proofErr w:type="spellStart"/>
      <w:r w:rsidRPr="001E4AD8">
        <w:rPr>
          <w:sz w:val="24"/>
          <w:szCs w:val="24"/>
          <w:lang w:val="pt-PT"/>
        </w:rPr>
        <w:t>Europe</w:t>
      </w:r>
      <w:proofErr w:type="spellEnd"/>
      <w:r w:rsidRPr="001E4AD8">
        <w:rPr>
          <w:sz w:val="24"/>
          <w:szCs w:val="24"/>
          <w:lang w:val="pt-PT"/>
        </w:rPr>
        <w:t xml:space="preserve">» [Diálogo estratégico sobre o futuro da agricultura na UE: uma perspetiva partilhada para a agricultura e a alimentação na Europa], setembro de 2024, </w:t>
      </w:r>
      <w:hyperlink r:id="rId24" w:history="1">
        <w:r w:rsidRPr="001E4AD8">
          <w:rPr>
            <w:rStyle w:val="Hyperlink"/>
            <w:sz w:val="24"/>
            <w:szCs w:val="24"/>
            <w:lang w:val="pt-PT"/>
          </w:rPr>
          <w:t>https://agriculture.ec.europa.eu/document/download/171329ff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0f50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4fa5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946f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aea11032172e_en?filename=strategic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dialogue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report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2024_en.pdf</w:t>
        </w:r>
      </w:hyperlink>
      <w:r w:rsidRPr="001E4AD8">
        <w:rPr>
          <w:sz w:val="24"/>
          <w:szCs w:val="24"/>
          <w:lang w:val="pt-PT"/>
        </w:rPr>
        <w:t xml:space="preserve">. </w:t>
      </w:r>
    </w:p>
  </w:footnote>
  <w:footnote w:id="15">
    <w:p w14:paraId="7A90DABC" w14:textId="610CA599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hyperlink r:id="rId25" w:history="1">
        <w:r w:rsidRPr="001E4AD8">
          <w:rPr>
            <w:rStyle w:val="Hyperlink"/>
            <w:sz w:val="24"/>
            <w:szCs w:val="24"/>
            <w:lang w:val="pt-PT"/>
          </w:rPr>
          <w:t>https://www.ohchr.org/en/documents/thematic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reports/ahrc3448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report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special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rapporteur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right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food</w:t>
        </w:r>
      </w:hyperlink>
      <w:r w:rsidRPr="001E4AD8">
        <w:rPr>
          <w:sz w:val="24"/>
          <w:szCs w:val="24"/>
          <w:lang w:val="pt-PT"/>
        </w:rPr>
        <w:t xml:space="preserve">. </w:t>
      </w:r>
    </w:p>
  </w:footnote>
  <w:footnote w:id="16">
    <w:p w14:paraId="22245762" w14:textId="1C04788A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hyperlink r:id="rId26" w:history="1">
        <w:r w:rsidRPr="001E4AD8">
          <w:rPr>
            <w:rStyle w:val="Hyperlink"/>
            <w:sz w:val="24"/>
            <w:szCs w:val="24"/>
            <w:lang w:val="pt-PT"/>
          </w:rPr>
          <w:t>https://www.un.org/sustainabledevelopment/health/</w:t>
        </w:r>
      </w:hyperlink>
      <w:r w:rsidRPr="001E4AD8">
        <w:rPr>
          <w:sz w:val="24"/>
          <w:szCs w:val="24"/>
          <w:lang w:val="pt-PT"/>
        </w:rPr>
        <w:t xml:space="preserve">. </w:t>
      </w:r>
    </w:p>
  </w:footnote>
  <w:footnote w:id="17">
    <w:p w14:paraId="67391275" w14:textId="328ABDC4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hyperlink r:id="rId27" w:history="1">
        <w:r w:rsidRPr="001E4AD8">
          <w:rPr>
            <w:rStyle w:val="Hyperlink"/>
            <w:sz w:val="24"/>
            <w:szCs w:val="24"/>
            <w:lang w:val="pt-PT"/>
          </w:rPr>
          <w:t>https://ec.europa.eu/commission/presscorner/detail/pt/ip_22_7834</w:t>
        </w:r>
      </w:hyperlink>
      <w:r w:rsidRPr="001E4AD8">
        <w:rPr>
          <w:sz w:val="24"/>
          <w:szCs w:val="24"/>
          <w:lang w:val="pt-PT"/>
        </w:rPr>
        <w:t xml:space="preserve">. </w:t>
      </w:r>
    </w:p>
  </w:footnote>
  <w:footnote w:id="18">
    <w:p w14:paraId="1385F3C4" w14:textId="02989760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hyperlink r:id="rId28" w:history="1">
        <w:r w:rsidRPr="001E4AD8">
          <w:rPr>
            <w:rStyle w:val="Hyperlink"/>
            <w:sz w:val="24"/>
            <w:szCs w:val="24"/>
            <w:lang w:val="pt-PT"/>
          </w:rPr>
          <w:t>https://commission.europa.eu/document/2c64e540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c07a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4376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a1da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368d289f4afe_en</w:t>
        </w:r>
      </w:hyperlink>
      <w:r w:rsidRPr="001E4AD8">
        <w:rPr>
          <w:sz w:val="24"/>
          <w:szCs w:val="24"/>
          <w:lang w:val="pt-PT"/>
        </w:rPr>
        <w:t>.</w:t>
      </w:r>
    </w:p>
  </w:footnote>
  <w:footnote w:id="19">
    <w:p w14:paraId="14E550D7" w14:textId="3AB3ACCB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r w:rsidRPr="001E4AD8">
        <w:rPr>
          <w:sz w:val="24"/>
          <w:szCs w:val="24"/>
          <w:lang w:val="pt-PT"/>
        </w:rPr>
        <w:t>A Comissão «pode», e não «deve», conceder uma autorização se não existir uma maioria qualificada de Estados‑Membros a favor no Comité de Recurso, em conformidade com o artigo 6.º, n.º 3, do Regulamento (UE) n.º 182/2011.</w:t>
      </w:r>
    </w:p>
  </w:footnote>
  <w:footnote w:id="20">
    <w:p w14:paraId="3C5B0925" w14:textId="453EB440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hyperlink r:id="rId29" w:history="1">
        <w:r w:rsidR="00C85A7D" w:rsidRPr="00C85A7D">
          <w:rPr>
            <w:rStyle w:val="Hyperlink"/>
            <w:sz w:val="24"/>
            <w:szCs w:val="24"/>
            <w:lang w:val="pt-PT"/>
          </w:rPr>
          <w:t>https://food.ec.europa.eu/document/download/ee1a5aed-5303-4c32-bb59-813143a1df47_en?filename=sc_modif-genet_20250613_sum.pdf</w:t>
        </w:r>
      </w:hyperlink>
      <w:r w:rsidRPr="001E4AD8">
        <w:rPr>
          <w:sz w:val="24"/>
          <w:szCs w:val="24"/>
          <w:lang w:val="pt-PT"/>
        </w:rPr>
        <w:t>.</w:t>
      </w:r>
    </w:p>
  </w:footnote>
  <w:footnote w:id="21">
    <w:p w14:paraId="0B7A9D65" w14:textId="2DF8E5C9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r w:rsidRPr="001E4AD8">
        <w:rPr>
          <w:sz w:val="24"/>
          <w:szCs w:val="24"/>
          <w:lang w:val="pt-PT"/>
        </w:rPr>
        <w:t xml:space="preserve">Regulamento (CE) n.º 178/2002 do Parlamento Europeu e do Conselho, de 28 de janeiro de 2002, que determina os princípios e normas gerais da legislação alimentar, cria a Autoridade Europeia para a Segurança dos Alimentos e estabelece procedimentos em matéria de segurança dos géneros alimentícios (JO L 31 de 1.2.2002, p. 1, ELI: </w:t>
      </w:r>
      <w:hyperlink r:id="rId30" w:history="1">
        <w:r w:rsidRPr="001E4AD8">
          <w:rPr>
            <w:rStyle w:val="Hyperlink"/>
            <w:sz w:val="24"/>
            <w:szCs w:val="24"/>
            <w:lang w:val="pt-PT"/>
          </w:rPr>
          <w:t>http://data.europa.eu/eli/reg/2002/178/oj</w:t>
        </w:r>
      </w:hyperlink>
      <w:r w:rsidRPr="001E4AD8">
        <w:rPr>
          <w:sz w:val="24"/>
          <w:szCs w:val="24"/>
          <w:lang w:val="pt-PT"/>
        </w:rPr>
        <w:t>).</w:t>
      </w:r>
    </w:p>
  </w:footnote>
  <w:footnote w:id="22">
    <w:p w14:paraId="79F4F412" w14:textId="724DF28B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r w:rsidRPr="001E4AD8">
        <w:rPr>
          <w:sz w:val="24"/>
          <w:szCs w:val="24"/>
          <w:lang w:val="pt-PT"/>
        </w:rPr>
        <w:t xml:space="preserve">Conforme indicado no anexo da comunicação da Comissão, de 14 de outubro de 2020, intitulada «Estratégia para a sustentabilidade dos produtos químicos — rumo a um ambiente sem substâncias tóxicas», COM(2020)0667, </w:t>
      </w:r>
      <w:hyperlink r:id="rId31" w:anchor="document2" w:history="1">
        <w:r w:rsidRPr="001E4AD8">
          <w:rPr>
            <w:rStyle w:val="Hyperlink"/>
            <w:sz w:val="24"/>
            <w:szCs w:val="24"/>
            <w:lang w:val="pt-PT"/>
          </w:rPr>
          <w:t>https://eur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lex.europa.eu/legal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content/PT/TXT/?uri=COM%3A2020%3A667%3AFIN#document2</w:t>
        </w:r>
      </w:hyperlink>
      <w:r w:rsidRPr="001E4AD8">
        <w:rPr>
          <w:sz w:val="24"/>
          <w:szCs w:val="24"/>
          <w:lang w:val="pt-PT"/>
        </w:rPr>
        <w:t>.</w:t>
      </w:r>
    </w:p>
  </w:footnote>
  <w:footnote w:id="23">
    <w:p w14:paraId="45444236" w14:textId="166ADD0C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hyperlink r:id="rId32" w:history="1">
        <w:r w:rsidRPr="001E4AD8">
          <w:rPr>
            <w:rStyle w:val="Hyperlink"/>
            <w:sz w:val="24"/>
            <w:szCs w:val="24"/>
            <w:lang w:val="pt-PT"/>
          </w:rPr>
          <w:t>https://tillymetz.lu/wp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content/uploads/2020/09/Co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signed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letter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MEP</w:t>
        </w:r>
        <w:r w:rsidRPr="001E4AD8">
          <w:rPr>
            <w:rStyle w:val="Hyperlink"/>
            <w:sz w:val="24"/>
            <w:szCs w:val="24"/>
            <w:lang w:val="pt-PT"/>
          </w:rPr>
          <w:noBreakHyphen/>
          <w:t>Metz.pdf</w:t>
        </w:r>
      </w:hyperlink>
      <w:r w:rsidRPr="001E4AD8">
        <w:rPr>
          <w:sz w:val="24"/>
          <w:szCs w:val="24"/>
          <w:lang w:val="pt-PT"/>
        </w:rPr>
        <w:t xml:space="preserve">. </w:t>
      </w:r>
    </w:p>
  </w:footnote>
  <w:footnote w:id="24">
    <w:p w14:paraId="66ACEC34" w14:textId="52F66710" w:rsidR="00582999" w:rsidRPr="001E4AD8" w:rsidRDefault="00582999" w:rsidP="005B3600">
      <w:pPr>
        <w:pStyle w:val="FootnoteText"/>
        <w:ind w:left="567" w:hanging="567"/>
        <w:rPr>
          <w:sz w:val="24"/>
          <w:szCs w:val="24"/>
          <w:lang w:val="pt-PT"/>
        </w:rPr>
      </w:pPr>
      <w:r w:rsidRPr="001E4AD8">
        <w:rPr>
          <w:rStyle w:val="FootnoteReference"/>
          <w:sz w:val="24"/>
          <w:szCs w:val="24"/>
          <w:lang w:val="pt-PT"/>
        </w:rPr>
        <w:footnoteRef/>
      </w:r>
      <w:r w:rsidR="005B3600" w:rsidRPr="001E4AD8">
        <w:rPr>
          <w:sz w:val="24"/>
          <w:szCs w:val="24"/>
          <w:lang w:val="pt-PT"/>
        </w:rPr>
        <w:t xml:space="preserve"> </w:t>
      </w:r>
      <w:r w:rsidR="005B3600" w:rsidRPr="001E4AD8">
        <w:rPr>
          <w:sz w:val="24"/>
          <w:szCs w:val="24"/>
          <w:lang w:val="pt-PT"/>
        </w:rPr>
        <w:tab/>
      </w:r>
      <w:r w:rsidRPr="001E4AD8">
        <w:rPr>
          <w:sz w:val="24"/>
          <w:szCs w:val="24"/>
          <w:lang w:val="pt-PT"/>
        </w:rPr>
        <w:t>Resolução do Parlamento Europeu, de 15 de janeiro de 2020, sobre o Pacto Ecológico Europeu (JO C 270 de 7.7.2021, p. 2), n.º 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EC6CE" w14:textId="77777777" w:rsidR="00064002" w:rsidRPr="005B36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9A0A4" w14:textId="77777777" w:rsidR="00064002" w:rsidRPr="005B36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D54CB" w14:textId="77777777" w:rsidR="00064002" w:rsidRPr="005B36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0075426">
    <w:abstractNumId w:val="9"/>
  </w:num>
  <w:num w:numId="2" w16cid:durableId="821392486">
    <w:abstractNumId w:val="9"/>
  </w:num>
  <w:num w:numId="3" w16cid:durableId="1756784305">
    <w:abstractNumId w:val="7"/>
  </w:num>
  <w:num w:numId="4" w16cid:durableId="1470241846">
    <w:abstractNumId w:val="7"/>
  </w:num>
  <w:num w:numId="5" w16cid:durableId="115804860">
    <w:abstractNumId w:val="6"/>
  </w:num>
  <w:num w:numId="6" w16cid:durableId="1919363275">
    <w:abstractNumId w:val="6"/>
  </w:num>
  <w:num w:numId="7" w16cid:durableId="1224370875">
    <w:abstractNumId w:val="5"/>
  </w:num>
  <w:num w:numId="8" w16cid:durableId="1710490663">
    <w:abstractNumId w:val="5"/>
  </w:num>
  <w:num w:numId="9" w16cid:durableId="1625423922">
    <w:abstractNumId w:val="4"/>
  </w:num>
  <w:num w:numId="10" w16cid:durableId="1872374135">
    <w:abstractNumId w:val="4"/>
  </w:num>
  <w:num w:numId="11" w16cid:durableId="299697749">
    <w:abstractNumId w:val="8"/>
  </w:num>
  <w:num w:numId="12" w16cid:durableId="455215984">
    <w:abstractNumId w:val="8"/>
  </w:num>
  <w:num w:numId="13" w16cid:durableId="303900823">
    <w:abstractNumId w:val="3"/>
  </w:num>
  <w:num w:numId="14" w16cid:durableId="1802458532">
    <w:abstractNumId w:val="3"/>
  </w:num>
  <w:num w:numId="15" w16cid:durableId="1402632520">
    <w:abstractNumId w:val="2"/>
  </w:num>
  <w:num w:numId="16" w16cid:durableId="1926762939">
    <w:abstractNumId w:val="2"/>
  </w:num>
  <w:num w:numId="17" w16cid:durableId="1494106577">
    <w:abstractNumId w:val="1"/>
  </w:num>
  <w:num w:numId="18" w16cid:durableId="1686591566">
    <w:abstractNumId w:val="1"/>
  </w:num>
  <w:num w:numId="19" w16cid:durableId="468517743">
    <w:abstractNumId w:val="0"/>
  </w:num>
  <w:num w:numId="20" w16cid:durableId="815952898">
    <w:abstractNumId w:val="0"/>
  </w:num>
  <w:num w:numId="21" w16cid:durableId="612857887">
    <w:abstractNumId w:val="9"/>
  </w:num>
  <w:num w:numId="22" w16cid:durableId="634483508">
    <w:abstractNumId w:val="7"/>
  </w:num>
  <w:num w:numId="23" w16cid:durableId="931547448">
    <w:abstractNumId w:val="6"/>
  </w:num>
  <w:num w:numId="24" w16cid:durableId="1421220162">
    <w:abstractNumId w:val="5"/>
  </w:num>
  <w:num w:numId="25" w16cid:durableId="510410334">
    <w:abstractNumId w:val="4"/>
  </w:num>
  <w:num w:numId="26" w16cid:durableId="2029866206">
    <w:abstractNumId w:val="8"/>
  </w:num>
  <w:num w:numId="27" w16cid:durableId="772166207">
    <w:abstractNumId w:val="3"/>
  </w:num>
  <w:num w:numId="28" w16cid:durableId="1051463396">
    <w:abstractNumId w:val="2"/>
  </w:num>
  <w:num w:numId="29" w16cid:durableId="45029586">
    <w:abstractNumId w:val="1"/>
  </w:num>
  <w:num w:numId="30" w16cid:durableId="769274972">
    <w:abstractNumId w:val="0"/>
  </w:num>
  <w:num w:numId="31" w16cid:durableId="1322351449">
    <w:abstractNumId w:val="9"/>
  </w:num>
  <w:num w:numId="32" w16cid:durableId="1353342939">
    <w:abstractNumId w:val="7"/>
  </w:num>
  <w:num w:numId="33" w16cid:durableId="1250431554">
    <w:abstractNumId w:val="6"/>
  </w:num>
  <w:num w:numId="34" w16cid:durableId="279147285">
    <w:abstractNumId w:val="5"/>
  </w:num>
  <w:num w:numId="35" w16cid:durableId="980575491">
    <w:abstractNumId w:val="4"/>
  </w:num>
  <w:num w:numId="36" w16cid:durableId="1860267461">
    <w:abstractNumId w:val="8"/>
  </w:num>
  <w:num w:numId="37" w16cid:durableId="2116367024">
    <w:abstractNumId w:val="3"/>
  </w:num>
  <w:num w:numId="38" w16cid:durableId="57673328">
    <w:abstractNumId w:val="2"/>
  </w:num>
  <w:num w:numId="39" w16cid:durableId="46611425">
    <w:abstractNumId w:val="1"/>
  </w:num>
  <w:num w:numId="40" w16cid:durableId="1120226032">
    <w:abstractNumId w:val="0"/>
  </w:num>
  <w:num w:numId="41" w16cid:durableId="1072771329">
    <w:abstractNumId w:val="10"/>
  </w:num>
  <w:num w:numId="42" w16cid:durableId="837618634">
    <w:abstractNumId w:val="10"/>
  </w:num>
  <w:num w:numId="43" w16cid:durableId="610086126">
    <w:abstractNumId w:val="10"/>
  </w:num>
  <w:num w:numId="44" w16cid:durableId="18427691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7/2025"/>
    <w:docVar w:name="dvlangue" w:val="PT"/>
    <w:docVar w:name="dvnumam" w:val="0"/>
    <w:docVar w:name="dvpe" w:val="775.588"/>
    <w:docVar w:name="dvtitre" w:val="Resolução do Parlamento Europeu, de ... de ... de 2025,_x000d__x000a_ sobre o projeto de decisão de execução da Comissão que autoriza a colocação no mercado de produtos que contenham, sejam constituídos por ou sejam produzidos a partir de milho geneticamente modificado DP51291 nos termos do Regulamento (CE) n.º 1829/2003 do Parlamento Europeu e do Conselho(D108064/03 – 2025/2807(RSP))"/>
  </w:docVars>
  <w:rsids>
    <w:rsidRoot w:val="002A092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4AD8"/>
    <w:rsid w:val="001F32AE"/>
    <w:rsid w:val="002767FF"/>
    <w:rsid w:val="002A092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6C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999"/>
    <w:rsid w:val="005B3600"/>
    <w:rsid w:val="005C2568"/>
    <w:rsid w:val="005F1B17"/>
    <w:rsid w:val="006037C0"/>
    <w:rsid w:val="006631B6"/>
    <w:rsid w:val="00680577"/>
    <w:rsid w:val="006B67FC"/>
    <w:rsid w:val="006F74FA"/>
    <w:rsid w:val="007175F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FED"/>
    <w:rsid w:val="00A1687D"/>
    <w:rsid w:val="00A43E52"/>
    <w:rsid w:val="00A4678D"/>
    <w:rsid w:val="00A778C7"/>
    <w:rsid w:val="00AB441E"/>
    <w:rsid w:val="00AB6293"/>
    <w:rsid w:val="00AC2E2D"/>
    <w:rsid w:val="00AE0928"/>
    <w:rsid w:val="00AF3B82"/>
    <w:rsid w:val="00B04635"/>
    <w:rsid w:val="00B12E95"/>
    <w:rsid w:val="00B22876"/>
    <w:rsid w:val="00B356E6"/>
    <w:rsid w:val="00B558F0"/>
    <w:rsid w:val="00BD48FE"/>
    <w:rsid w:val="00BD7BD8"/>
    <w:rsid w:val="00BE6ADC"/>
    <w:rsid w:val="00C05BFE"/>
    <w:rsid w:val="00C23CD4"/>
    <w:rsid w:val="00C61C0C"/>
    <w:rsid w:val="00C85A7D"/>
    <w:rsid w:val="00C941CB"/>
    <w:rsid w:val="00CC2357"/>
    <w:rsid w:val="00CF071A"/>
    <w:rsid w:val="00D058B8"/>
    <w:rsid w:val="00D56C11"/>
    <w:rsid w:val="00D6198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A0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92EDC"/>
  <w15:chartTrackingRefBased/>
  <w15:docId w15:val="{5E2CC229-4496-420B-BF6E-FA6888967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82999"/>
    <w:pPr>
      <w:spacing w:before="480" w:after="240"/>
    </w:pPr>
  </w:style>
  <w:style w:type="paragraph" w:customStyle="1" w:styleId="NormalHanging12a">
    <w:name w:val="NormalHanging12a"/>
    <w:basedOn w:val="Normal"/>
    <w:rsid w:val="00582999"/>
    <w:pPr>
      <w:spacing w:after="240"/>
      <w:ind w:left="567" w:hanging="567"/>
    </w:pPr>
  </w:style>
  <w:style w:type="paragraph" w:customStyle="1" w:styleId="NormalBold">
    <w:name w:val="NormalBold"/>
    <w:basedOn w:val="Normal"/>
    <w:rsid w:val="00582999"/>
    <w:rPr>
      <w:b/>
    </w:rPr>
  </w:style>
  <w:style w:type="character" w:styleId="Hyperlink">
    <w:name w:val="Hyperlink"/>
    <w:basedOn w:val="DefaultParagraphFont"/>
    <w:uiPriority w:val="99"/>
    <w:rsid w:val="00582999"/>
    <w:rPr>
      <w:color w:val="0563C1" w:themeColor="hyperlink"/>
      <w:u w:val="single"/>
    </w:rPr>
  </w:style>
  <w:style w:type="character" w:customStyle="1" w:styleId="Funotenzeichen">
    <w:name w:val="Fußnotenzeichen"/>
    <w:qFormat/>
    <w:rsid w:val="00582999"/>
    <w:rPr>
      <w:vertAlign w:val="superscript"/>
    </w:rPr>
  </w:style>
  <w:style w:type="paragraph" w:styleId="Revision">
    <w:name w:val="Revision"/>
    <w:hidden/>
    <w:uiPriority w:val="99"/>
    <w:semiHidden/>
    <w:rsid w:val="00AC2E2D"/>
    <w:rPr>
      <w:sz w:val="24"/>
      <w:lang w:val="pt-PT"/>
    </w:rPr>
  </w:style>
  <w:style w:type="character" w:styleId="FollowedHyperlink">
    <w:name w:val="FollowedHyperlink"/>
    <w:basedOn w:val="DefaultParagraphFont"/>
    <w:rsid w:val="001E4AD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5A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s://doi.org/10.1126/science.abe1148" TargetMode="External"/><Relationship Id="rId26" Type="http://schemas.openxmlformats.org/officeDocument/2006/relationships/hyperlink" Target="https://www.un.org/sustainabledevelopment/health/" TargetMode="External"/><Relationship Id="rId3" Type="http://schemas.openxmlformats.org/officeDocument/2006/relationships/hyperlink" Target="https://doi.org/10.2903/j.efsa.2024.9059" TargetMode="External"/><Relationship Id="rId21" Type="http://schemas.openxmlformats.org/officeDocument/2006/relationships/hyperlink" Target="https://onlinelibrary.wiley.com/doi/full/10.1002/jat.3252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doi.org/10.1371/journal.pone.0123011" TargetMode="External"/><Relationship Id="rId25" Type="http://schemas.openxmlformats.org/officeDocument/2006/relationships/hyperlink" Target="https://www.ohchr.org/en/documents/thematic-reports/ahrc3448-report-special-rapporteur-right-food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://data.europa.eu/eli/reg_impl/2013/503/oj" TargetMode="External"/><Relationship Id="rId20" Type="http://schemas.openxmlformats.org/officeDocument/2006/relationships/hyperlink" Target="https://doi.org/10.1186/2190-4715-24-24" TargetMode="External"/><Relationship Id="rId29" Type="http://schemas.openxmlformats.org/officeDocument/2006/relationships/hyperlink" Target="https://food.ec.europa.eu/document/download/ee1a5aed-5303-4c32-bb59-813143a1df47_en?filename=sc_modif-genet_20250613_sum.pdf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24" Type="http://schemas.openxmlformats.org/officeDocument/2006/relationships/hyperlink" Target="https://agriculture.ec.europa.eu/document/download/171329ff-0f50-4fa5-946f-aea11032172e_en?filename=strategic-dialogue-report-2024_en.pdf" TargetMode="External"/><Relationship Id="rId32" Type="http://schemas.openxmlformats.org/officeDocument/2006/relationships/hyperlink" Target="https://tillymetz.lu/wp-content/uploads/2020/09/Co-signed-letter-MEP-Metz.pdf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www.testbiotech.org/wp-content/uploads/2024/12/Testbiotech_comment_&#8204;maize_DP51291.pdf" TargetMode="External"/><Relationship Id="rId23" Type="http://schemas.openxmlformats.org/officeDocument/2006/relationships/hyperlink" Target="https://doi.org/10.1038/s41598-017-01478-w" TargetMode="External"/><Relationship Id="rId28" Type="http://schemas.openxmlformats.org/officeDocument/2006/relationships/hyperlink" Target="https://commission.europa.eu/document/2c64e540-c07a-4376-a1da-368d289f4afe_en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s://www.ncbi.nlm.nih.gov/pubmed/26296738" TargetMode="External"/><Relationship Id="rId31" Type="http://schemas.openxmlformats.org/officeDocument/2006/relationships/hyperlink" Target="https://eur-lex.europa.eu/legal-content/PT/TXT/?uri=COM:2020:667:FIN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reg/2009/1107/oj" TargetMode="External"/><Relationship Id="rId22" Type="http://schemas.openxmlformats.org/officeDocument/2006/relationships/hyperlink" Target="https://doi.org/10.1016/j.fct.2016.03.009" TargetMode="External"/><Relationship Id="rId27" Type="http://schemas.openxmlformats.org/officeDocument/2006/relationships/hyperlink" Target="https://ec.europa.eu/commission/presscorner/detail/pt/ip_22_7834" TargetMode="External"/><Relationship Id="rId30" Type="http://schemas.openxmlformats.org/officeDocument/2006/relationships/hyperlink" Target="http://data.europa.eu/eli/reg/2002/1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2769</Words>
  <Characters>14990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Teresa_RELEC</cp:lastModifiedBy>
  <cp:revision>2</cp:revision>
  <cp:lastPrinted>2004-11-19T15:42:00Z</cp:lastPrinted>
  <dcterms:created xsi:type="dcterms:W3CDTF">2025-10-08T15:07:00Z</dcterms:created>
  <dcterms:modified xsi:type="dcterms:W3CDTF">2025-10-08T15:07:00Z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B10-0407/2025</vt:lpwstr>
  </property>
  <property fmtid="{D5CDD505-2E9C-101B-9397-08002B2CF9AE}" pid="4" name="&lt;Type&gt;">
    <vt:lpwstr>RR</vt:lpwstr>
  </property>
</Properties>
</file>