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15E8" w14:paraId="30567DCE" w14:textId="77777777" w:rsidTr="0010095E">
        <w:trPr>
          <w:trHeight w:hRule="exact" w:val="1418"/>
        </w:trPr>
        <w:tc>
          <w:tcPr>
            <w:tcW w:w="6804" w:type="dxa"/>
            <w:shd w:val="clear" w:color="auto" w:fill="auto"/>
            <w:vAlign w:val="center"/>
          </w:tcPr>
          <w:p w14:paraId="36A104C5" w14:textId="77777777" w:rsidR="00751A4A" w:rsidRPr="009F15E8" w:rsidRDefault="008F69FE" w:rsidP="0010095E">
            <w:pPr>
              <w:pStyle w:val="EPName"/>
            </w:pPr>
            <w:r w:rsidRPr="009F15E8">
              <w:t>Parlamentul European</w:t>
            </w:r>
          </w:p>
          <w:p w14:paraId="5A40C2C5" w14:textId="77777777" w:rsidR="00751A4A" w:rsidRPr="009F15E8" w:rsidRDefault="005F1B17" w:rsidP="005F1B17">
            <w:pPr>
              <w:pStyle w:val="EPTerm"/>
              <w:rPr>
                <w:rStyle w:val="HideTWBExt"/>
                <w:noProof w:val="0"/>
                <w:vanish w:val="0"/>
                <w:color w:val="auto"/>
              </w:rPr>
            </w:pPr>
            <w:r w:rsidRPr="009F15E8">
              <w:t>2024</w:t>
            </w:r>
            <w:r w:rsidR="00817416" w:rsidRPr="009F15E8">
              <w:t>-202</w:t>
            </w:r>
            <w:r w:rsidRPr="009F15E8">
              <w:t>9</w:t>
            </w:r>
          </w:p>
        </w:tc>
        <w:tc>
          <w:tcPr>
            <w:tcW w:w="2268" w:type="dxa"/>
            <w:shd w:val="clear" w:color="auto" w:fill="auto"/>
          </w:tcPr>
          <w:p w14:paraId="017CEB2B" w14:textId="77777777" w:rsidR="00751A4A" w:rsidRPr="009F15E8" w:rsidRDefault="00187494" w:rsidP="0010095E">
            <w:pPr>
              <w:pStyle w:val="EPLogo"/>
            </w:pPr>
            <w:r w:rsidRPr="009F15E8">
              <w:rPr>
                <w:noProof/>
                <w:lang w:eastAsia="ja-JP"/>
              </w:rPr>
              <w:drawing>
                <wp:inline distT="0" distB="0" distL="0" distR="0" wp14:anchorId="6D97136D" wp14:editId="57D127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250F9F" w14:textId="77777777" w:rsidR="00D058B8" w:rsidRPr="009F15E8" w:rsidRDefault="00D058B8" w:rsidP="004C5D52">
      <w:pPr>
        <w:pStyle w:val="LineTop"/>
      </w:pPr>
    </w:p>
    <w:p w14:paraId="05D50631" w14:textId="77777777" w:rsidR="00680577" w:rsidRPr="009F15E8" w:rsidRDefault="008F69FE" w:rsidP="00680577">
      <w:pPr>
        <w:pStyle w:val="EPBodyTA1"/>
      </w:pPr>
      <w:r w:rsidRPr="009F15E8">
        <w:t>TEXTE ADOPTATE</w:t>
      </w:r>
    </w:p>
    <w:p w14:paraId="585B4334" w14:textId="77777777" w:rsidR="00D058B8" w:rsidRPr="009F15E8" w:rsidRDefault="00D058B8" w:rsidP="00D058B8">
      <w:pPr>
        <w:pStyle w:val="LineBottom"/>
      </w:pPr>
    </w:p>
    <w:p w14:paraId="402E14D4" w14:textId="4B78C974" w:rsidR="008F69FE" w:rsidRPr="009F15E8" w:rsidRDefault="008F69FE" w:rsidP="008F69FE">
      <w:pPr>
        <w:pStyle w:val="ATHeading1"/>
      </w:pPr>
      <w:bookmarkStart w:id="0" w:name="TANumber"/>
      <w:r w:rsidRPr="009F15E8">
        <w:t>P10_TA(2025)0</w:t>
      </w:r>
      <w:bookmarkEnd w:id="0"/>
      <w:r w:rsidR="009F15E8" w:rsidRPr="009F15E8">
        <w:t>222</w:t>
      </w:r>
    </w:p>
    <w:p w14:paraId="42E1CD47" w14:textId="73D54912" w:rsidR="008F69FE" w:rsidRPr="009F15E8" w:rsidRDefault="00CC7BC6" w:rsidP="008F69FE">
      <w:pPr>
        <w:pStyle w:val="ATHeading2"/>
      </w:pPr>
      <w:bookmarkStart w:id="1" w:name="title"/>
      <w:r w:rsidRPr="009F15E8">
        <w:t>P</w:t>
      </w:r>
      <w:r w:rsidR="008F69FE" w:rsidRPr="009F15E8">
        <w:t>orumbul modificat genetic DP51291</w:t>
      </w:r>
      <w:bookmarkEnd w:id="1"/>
    </w:p>
    <w:p w14:paraId="6B8CE279" w14:textId="77777777" w:rsidR="008F69FE" w:rsidRPr="009F15E8" w:rsidRDefault="008F69FE" w:rsidP="008F69FE">
      <w:pPr>
        <w:rPr>
          <w:i/>
          <w:vanish/>
        </w:rPr>
      </w:pPr>
      <w:r w:rsidRPr="009F15E8">
        <w:rPr>
          <w:i/>
        </w:rPr>
        <w:fldChar w:fldCharType="begin"/>
      </w:r>
      <w:r w:rsidRPr="009F15E8">
        <w:rPr>
          <w:i/>
        </w:rPr>
        <w:instrText xml:space="preserve"> TC"(</w:instrText>
      </w:r>
      <w:bookmarkStart w:id="2" w:name="DocNumber"/>
      <w:r w:rsidRPr="009F15E8">
        <w:rPr>
          <w:i/>
        </w:rPr>
        <w:instrText>B10-0407/2025</w:instrText>
      </w:r>
      <w:bookmarkEnd w:id="2"/>
      <w:r w:rsidRPr="009F15E8">
        <w:rPr>
          <w:i/>
        </w:rPr>
        <w:instrText xml:space="preserve">)"\l3 \n&gt; \* MERGEFORMAT </w:instrText>
      </w:r>
      <w:r w:rsidRPr="009F15E8">
        <w:rPr>
          <w:i/>
        </w:rPr>
        <w:fldChar w:fldCharType="end"/>
      </w:r>
    </w:p>
    <w:p w14:paraId="16D93951" w14:textId="77777777" w:rsidR="008F69FE" w:rsidRPr="009F15E8" w:rsidRDefault="008F69FE" w:rsidP="008F69FE">
      <w:pPr>
        <w:rPr>
          <w:vanish/>
        </w:rPr>
      </w:pPr>
      <w:bookmarkStart w:id="3" w:name="PE"/>
      <w:r w:rsidRPr="009F15E8">
        <w:rPr>
          <w:vanish/>
        </w:rPr>
        <w:t>PE775.588</w:t>
      </w:r>
      <w:bookmarkEnd w:id="3"/>
    </w:p>
    <w:p w14:paraId="78F53616" w14:textId="5408AAE5" w:rsidR="008F69FE" w:rsidRPr="009F15E8" w:rsidRDefault="008F69FE" w:rsidP="00170D85">
      <w:pPr>
        <w:pStyle w:val="ATHeading3"/>
      </w:pPr>
      <w:bookmarkStart w:id="4" w:name="Sujet"/>
      <w:r w:rsidRPr="009F15E8">
        <w:t xml:space="preserve">Rezoluția Parlamentului European din </w:t>
      </w:r>
      <w:r w:rsidR="00CC7BC6" w:rsidRPr="009F15E8">
        <w:t xml:space="preserve">8 </w:t>
      </w:r>
      <w:r w:rsidRPr="009F15E8">
        <w:t xml:space="preserve">octombrie 2025 referitoare la </w:t>
      </w:r>
      <w:r w:rsidR="00CC7BC6" w:rsidRPr="009F15E8">
        <w:t>D</w:t>
      </w:r>
      <w:r w:rsidRPr="009F15E8">
        <w:t>ecizi</w:t>
      </w:r>
      <w:r w:rsidR="00CC7BC6" w:rsidRPr="009F15E8">
        <w:t>a</w:t>
      </w:r>
      <w:r w:rsidRPr="009F15E8">
        <w:t xml:space="preserve"> de punere în aplicare </w:t>
      </w:r>
      <w:r w:rsidR="00CC7BC6" w:rsidRPr="009F15E8">
        <w:t xml:space="preserve">(UE) 2025/1898 </w:t>
      </w:r>
      <w:r w:rsidRPr="009F15E8">
        <w:t xml:space="preserve">a Comisiei </w:t>
      </w:r>
      <w:r w:rsidR="00CC7BC6" w:rsidRPr="009F15E8">
        <w:t xml:space="preserve">din 22 septembrie 2025 </w:t>
      </w:r>
      <w:r w:rsidRPr="009F15E8">
        <w:t xml:space="preserve">de autorizare a introducerii pe piață a produselor care conțin, </w:t>
      </w:r>
      <w:r w:rsidR="00557CE2" w:rsidRPr="009F15E8">
        <w:t>constau în</w:t>
      </w:r>
      <w:r w:rsidRPr="009F15E8">
        <w:t xml:space="preserve"> sau</w:t>
      </w:r>
      <w:r w:rsidR="00557CE2" w:rsidRPr="009F15E8">
        <w:t xml:space="preserve"> sunt</w:t>
      </w:r>
      <w:r w:rsidRPr="009F15E8">
        <w:t xml:space="preserve"> fabricate din porumb modificat genetic DP51291, în temeiul Regulamentului (CE) nr. 1829/2003 al Parlamentului European și al Consiliului</w:t>
      </w:r>
      <w:bookmarkEnd w:id="4"/>
      <w:r w:rsidRPr="009F15E8">
        <w:t xml:space="preserve"> </w:t>
      </w:r>
      <w:bookmarkStart w:id="5" w:name="References"/>
      <w:r w:rsidRPr="009F15E8">
        <w:t>(2025/2807(RSP))</w:t>
      </w:r>
      <w:bookmarkEnd w:id="5"/>
    </w:p>
    <w:p w14:paraId="07EEF549" w14:textId="77777777" w:rsidR="00960B02" w:rsidRPr="009F15E8" w:rsidRDefault="00960B02" w:rsidP="00960B02">
      <w:pPr>
        <w:pStyle w:val="EPComma"/>
        <w:jc w:val="both"/>
      </w:pPr>
      <w:bookmarkStart w:id="6" w:name="TextBodyBegin"/>
      <w:bookmarkEnd w:id="6"/>
      <w:r w:rsidRPr="009F15E8">
        <w:rPr>
          <w:i/>
          <w:iCs/>
        </w:rPr>
        <w:t>Parlamentul European</w:t>
      </w:r>
      <w:r w:rsidRPr="009F15E8">
        <w:t>,</w:t>
      </w:r>
    </w:p>
    <w:p w14:paraId="75449F86" w14:textId="02ACE1A3" w:rsidR="00960B02" w:rsidRPr="009F15E8" w:rsidRDefault="00960B02" w:rsidP="00960B02">
      <w:pPr>
        <w:pStyle w:val="NormalHanging12a"/>
        <w:widowControl/>
        <w:rPr>
          <w:szCs w:val="24"/>
        </w:rPr>
      </w:pPr>
      <w:r w:rsidRPr="009F15E8">
        <w:t>–</w:t>
      </w:r>
      <w:r w:rsidRPr="009F15E8">
        <w:tab/>
        <w:t xml:space="preserve">având în vedere </w:t>
      </w:r>
      <w:r w:rsidR="00CC7BC6" w:rsidRPr="009F15E8">
        <w:t>D</w:t>
      </w:r>
      <w:r w:rsidRPr="009F15E8">
        <w:t>ecizi</w:t>
      </w:r>
      <w:r w:rsidR="00CC7BC6" w:rsidRPr="009F15E8">
        <w:t>a</w:t>
      </w:r>
      <w:r w:rsidRPr="009F15E8">
        <w:t xml:space="preserve"> de punere în aplicare </w:t>
      </w:r>
      <w:r w:rsidR="00CC7BC6" w:rsidRPr="009F15E8">
        <w:t xml:space="preserve">(UE) 2025/1898 </w:t>
      </w:r>
      <w:r w:rsidRPr="009F15E8">
        <w:t xml:space="preserve">a Comisiei </w:t>
      </w:r>
      <w:r w:rsidR="00CC7BC6" w:rsidRPr="009F15E8">
        <w:t xml:space="preserve">din 22 septembrie 2025 </w:t>
      </w:r>
      <w:r w:rsidRPr="009F15E8">
        <w:t xml:space="preserve">de autorizare a introducerii pe piață a produselor care conțin, </w:t>
      </w:r>
      <w:r w:rsidR="005E250A" w:rsidRPr="009F15E8">
        <w:t>constau în</w:t>
      </w:r>
      <w:r w:rsidRPr="009F15E8">
        <w:t xml:space="preserve"> sau </w:t>
      </w:r>
      <w:r w:rsidR="005E250A" w:rsidRPr="009F15E8">
        <w:t xml:space="preserve">sunt </w:t>
      </w:r>
      <w:r w:rsidRPr="009F15E8">
        <w:t>fabricate din porumb modificat genetic DP51291, în temeiul Regulamentului (CE) nr. 1829/2003 al Parlamentului European și al Consiliului</w:t>
      </w:r>
      <w:r w:rsidR="00CC7BC6" w:rsidRPr="009F15E8">
        <w:rPr>
          <w:rStyle w:val="FootnoteReference"/>
          <w:szCs w:val="24"/>
        </w:rPr>
        <w:footnoteReference w:id="1"/>
      </w:r>
      <w:r w:rsidRPr="009F15E8">
        <w:t>,</w:t>
      </w:r>
    </w:p>
    <w:p w14:paraId="64A8C5BF" w14:textId="77777777" w:rsidR="00960B02" w:rsidRPr="009F15E8" w:rsidRDefault="00960B02" w:rsidP="00960B02">
      <w:pPr>
        <w:pStyle w:val="NormalHanging12a"/>
        <w:widowControl/>
        <w:rPr>
          <w:szCs w:val="24"/>
        </w:rPr>
      </w:pPr>
      <w:r w:rsidRPr="009F15E8">
        <w:t>–</w:t>
      </w:r>
      <w:r w:rsidRPr="009F15E8">
        <w:tab/>
        <w:t>având în vedere Regulamentul (CE) nr. 1829/2003 al Parlamentului European și al Consiliului din 22 septembrie 2003 privind produsele alimentare și furajele modificate genetic</w:t>
      </w:r>
      <w:r w:rsidRPr="009F15E8">
        <w:rPr>
          <w:rStyle w:val="FootnoteReference"/>
          <w:szCs w:val="24"/>
        </w:rPr>
        <w:footnoteReference w:id="2"/>
      </w:r>
      <w:r w:rsidRPr="009F15E8">
        <w:t>, în special articolul 7 alineatul (3) și articolul 19 alineatul (3),</w:t>
      </w:r>
    </w:p>
    <w:p w14:paraId="39B72A25" w14:textId="77777777" w:rsidR="00960B02" w:rsidRPr="009F15E8" w:rsidRDefault="00960B02" w:rsidP="00960B02">
      <w:pPr>
        <w:pStyle w:val="NormalHanging12a"/>
        <w:widowControl/>
        <w:rPr>
          <w:szCs w:val="24"/>
        </w:rPr>
      </w:pPr>
      <w:r w:rsidRPr="009F15E8">
        <w:t>–</w:t>
      </w:r>
      <w:r w:rsidRPr="009F15E8">
        <w:tab/>
        <w:t>având în vedere votul Comitetului permanent pentru plante, animale, produse alimentare și hrană pentru animale, menționat la articolul 35 din Regulamentul (CE) nr. 1829/2003, din 13 iunie 2025, în urma căruia nu a fost emis niciun aviz, și votul Comitetului de apel din 15 iulie 2025, în urma căruia, din nou, nu a fost emis niciun aviz,</w:t>
      </w:r>
    </w:p>
    <w:p w14:paraId="42D8ADA6" w14:textId="77777777" w:rsidR="00960B02" w:rsidRPr="009F15E8" w:rsidRDefault="00960B02" w:rsidP="00960B02">
      <w:pPr>
        <w:pStyle w:val="NormalHanging12a"/>
        <w:widowControl/>
        <w:rPr>
          <w:szCs w:val="24"/>
        </w:rPr>
      </w:pPr>
      <w:r w:rsidRPr="009F15E8">
        <w:t>–</w:t>
      </w:r>
      <w:r w:rsidRPr="009F15E8">
        <w:tab/>
        <w:t>având în vedere articolul 11 din Regulamentul (UE) nr. 182/2011 al Parlamentului European și al Consiliului din 16 februarie 2011 de stabilire a normelor și principiilor generale privind mecanismele de control de către statele membre al exercitării competențelor de executare de către Comisie</w:t>
      </w:r>
      <w:r w:rsidRPr="009F15E8">
        <w:rPr>
          <w:rStyle w:val="FootnoteReference"/>
          <w:szCs w:val="24"/>
        </w:rPr>
        <w:footnoteReference w:id="3"/>
      </w:r>
      <w:r w:rsidRPr="009F15E8">
        <w:t>,</w:t>
      </w:r>
    </w:p>
    <w:p w14:paraId="0D8A9BD7" w14:textId="77777777" w:rsidR="00960B02" w:rsidRPr="009F15E8" w:rsidRDefault="00960B02" w:rsidP="00960B02">
      <w:pPr>
        <w:pStyle w:val="NormalHanging12a"/>
        <w:widowControl/>
        <w:rPr>
          <w:szCs w:val="24"/>
        </w:rPr>
      </w:pPr>
      <w:r w:rsidRPr="009F15E8">
        <w:lastRenderedPageBreak/>
        <w:t>–</w:t>
      </w:r>
      <w:r w:rsidRPr="009F15E8">
        <w:tab/>
        <w:t>având în vedere avizul emis de Autoritatea Europeană pentru Siguranța Alimentară (EFSA) la 2 octombrie 2024 și publicat la 11 noiembrie 2024</w:t>
      </w:r>
      <w:r w:rsidRPr="009F15E8">
        <w:rPr>
          <w:rStyle w:val="FootnoteReference"/>
          <w:szCs w:val="24"/>
        </w:rPr>
        <w:footnoteReference w:id="4"/>
      </w:r>
      <w:r w:rsidRPr="009F15E8">
        <w:t>,</w:t>
      </w:r>
    </w:p>
    <w:p w14:paraId="1989351D" w14:textId="77777777" w:rsidR="00960B02" w:rsidRPr="009F15E8" w:rsidRDefault="00960B02" w:rsidP="00960B02">
      <w:pPr>
        <w:pStyle w:val="NormalHanging12a"/>
        <w:widowControl/>
        <w:rPr>
          <w:szCs w:val="24"/>
          <w:shd w:val="clear" w:color="auto" w:fill="FFFFFF"/>
        </w:rPr>
      </w:pPr>
      <w:r w:rsidRPr="009F15E8">
        <w:t>–</w:t>
      </w:r>
      <w:r w:rsidRPr="009F15E8">
        <w:tab/>
      </w:r>
      <w:r w:rsidRPr="009F15E8">
        <w:rPr>
          <w:shd w:val="clear" w:color="auto" w:fill="FFFFFF"/>
        </w:rPr>
        <w:t>având în vedere rezoluțiile sale anterioare în care se opune autorizării organismelor modificate genetic („OMG”)</w:t>
      </w:r>
      <w:r w:rsidRPr="009F15E8">
        <w:rPr>
          <w:rStyle w:val="FootnoteReference"/>
          <w:szCs w:val="24"/>
          <w:shd w:val="clear" w:color="auto" w:fill="FFFFFF"/>
        </w:rPr>
        <w:footnoteReference w:id="5"/>
      </w:r>
      <w:r w:rsidRPr="009F15E8">
        <w:rPr>
          <w:shd w:val="clear" w:color="auto" w:fill="FFFFFF"/>
        </w:rPr>
        <w:t>,</w:t>
      </w:r>
    </w:p>
    <w:p w14:paraId="3FC7613E" w14:textId="77777777" w:rsidR="00960B02" w:rsidRPr="009F15E8" w:rsidRDefault="00960B02" w:rsidP="00960B02">
      <w:pPr>
        <w:pStyle w:val="NormalHanging12a"/>
        <w:widowControl/>
        <w:rPr>
          <w:szCs w:val="24"/>
        </w:rPr>
      </w:pPr>
      <w:r w:rsidRPr="009F15E8">
        <w:lastRenderedPageBreak/>
        <w:t>–</w:t>
      </w:r>
      <w:r w:rsidRPr="009F15E8">
        <w:tab/>
        <w:t>având în vedere articolul 115 alineatele (2) și (3) din Regulamentul său de procedură,</w:t>
      </w:r>
    </w:p>
    <w:p w14:paraId="5EEA5AD8" w14:textId="77777777" w:rsidR="00960B02" w:rsidRPr="009F15E8" w:rsidRDefault="00960B02" w:rsidP="00960B02">
      <w:pPr>
        <w:pStyle w:val="NormalHanging12a"/>
        <w:widowControl/>
        <w:rPr>
          <w:szCs w:val="24"/>
        </w:rPr>
      </w:pPr>
      <w:r w:rsidRPr="009F15E8">
        <w:t>–</w:t>
      </w:r>
      <w:r w:rsidRPr="009F15E8">
        <w:tab/>
        <w:t>având în vedere propunerea de rezoluție a Comisiei pentru mediu, climă și siguranță alimentară,</w:t>
      </w:r>
    </w:p>
    <w:p w14:paraId="5FABE9B5" w14:textId="3D58E735" w:rsidR="00960B02" w:rsidRPr="009F15E8" w:rsidRDefault="00960B02" w:rsidP="00960B02">
      <w:pPr>
        <w:pStyle w:val="NormalHanging12a"/>
        <w:widowControl/>
        <w:rPr>
          <w:szCs w:val="24"/>
        </w:rPr>
      </w:pPr>
      <w:r w:rsidRPr="009F15E8">
        <w:t>A.</w:t>
      </w:r>
      <w:r w:rsidRPr="009F15E8">
        <w:tab/>
        <w:t xml:space="preserve">întrucât, la 27 ianuarie 2023, </w:t>
      </w:r>
      <w:proofErr w:type="spellStart"/>
      <w:r w:rsidRPr="009F15E8">
        <w:t>Corteva</w:t>
      </w:r>
      <w:proofErr w:type="spellEnd"/>
      <w:r w:rsidRPr="009F15E8">
        <w:t xml:space="preserve"> </w:t>
      </w:r>
      <w:proofErr w:type="spellStart"/>
      <w:r w:rsidRPr="009F15E8">
        <w:t>Agriscience</w:t>
      </w:r>
      <w:proofErr w:type="spellEnd"/>
      <w:r w:rsidRPr="009F15E8">
        <w:t xml:space="preserve"> </w:t>
      </w:r>
      <w:proofErr w:type="spellStart"/>
      <w:r w:rsidRPr="009F15E8">
        <w:t>Belgium</w:t>
      </w:r>
      <w:proofErr w:type="spellEnd"/>
      <w:r w:rsidRPr="009F15E8">
        <w:t xml:space="preserve"> B.V., cu sediul în Belgia, în numele </w:t>
      </w:r>
      <w:proofErr w:type="spellStart"/>
      <w:r w:rsidRPr="009F15E8">
        <w:t>Corteva</w:t>
      </w:r>
      <w:proofErr w:type="spellEnd"/>
      <w:r w:rsidRPr="009F15E8">
        <w:t xml:space="preserve"> </w:t>
      </w:r>
      <w:proofErr w:type="spellStart"/>
      <w:r w:rsidRPr="009F15E8">
        <w:t>Agriscience</w:t>
      </w:r>
      <w:proofErr w:type="spellEnd"/>
      <w:r w:rsidRPr="009F15E8">
        <w:t xml:space="preserve"> LLC, cu sediul în Statele Unite, a depus la autoritatea națională competentă din Țările de Jos o cerere de introducere pe piață a unor produse alimentare, ingrediente alimentare și furaje care conțin, </w:t>
      </w:r>
      <w:r w:rsidR="000C6D71" w:rsidRPr="009F15E8">
        <w:t>constau în</w:t>
      </w:r>
      <w:r w:rsidRPr="009F15E8">
        <w:t xml:space="preserve"> sau </w:t>
      </w:r>
      <w:r w:rsidR="000C6D71" w:rsidRPr="009F15E8">
        <w:t xml:space="preserve">sunt </w:t>
      </w:r>
      <w:r w:rsidRPr="009F15E8">
        <w:t>fabricate din porumb modificat genetic DP51291 (denumit în continuare „porumb modificat genetic”);</w:t>
      </w:r>
    </w:p>
    <w:p w14:paraId="6131AB67" w14:textId="77777777" w:rsidR="00960B02" w:rsidRPr="009F15E8" w:rsidRDefault="00960B02" w:rsidP="00960B02">
      <w:pPr>
        <w:pStyle w:val="NormalHanging12a"/>
        <w:widowControl/>
        <w:rPr>
          <w:szCs w:val="24"/>
        </w:rPr>
      </w:pPr>
      <w:r w:rsidRPr="009F15E8">
        <w:t>B.</w:t>
      </w:r>
      <w:r w:rsidRPr="009F15E8">
        <w:tab/>
        <w:t xml:space="preserve">întrucât porumbul modificat genetic produce toxina IPD072Aa pentru a acționa împotriva viermilor rădăcinilor de porumb, proteina </w:t>
      </w:r>
      <w:proofErr w:type="spellStart"/>
      <w:r w:rsidRPr="009F15E8">
        <w:t>fosfinotricin</w:t>
      </w:r>
      <w:proofErr w:type="spellEnd"/>
      <w:r w:rsidRPr="009F15E8">
        <w:t xml:space="preserve"> acetil </w:t>
      </w:r>
      <w:proofErr w:type="spellStart"/>
      <w:r w:rsidRPr="009F15E8">
        <w:t>transferază</w:t>
      </w:r>
      <w:proofErr w:type="spellEnd"/>
      <w:r w:rsidRPr="009F15E8">
        <w:t xml:space="preserve"> (PAT) pentru toleranță la erbicidele care conțin </w:t>
      </w:r>
      <w:proofErr w:type="spellStart"/>
      <w:r w:rsidRPr="009F15E8">
        <w:t>glufosinat</w:t>
      </w:r>
      <w:proofErr w:type="spellEnd"/>
      <w:r w:rsidRPr="009F15E8">
        <w:t xml:space="preserve"> și proteina PMI ca marker selectabil;</w:t>
      </w:r>
    </w:p>
    <w:p w14:paraId="498988C7" w14:textId="77777777" w:rsidR="00960B02" w:rsidRPr="009F15E8" w:rsidRDefault="00960B02" w:rsidP="00960B02">
      <w:pPr>
        <w:pStyle w:val="NormalHanging12a"/>
        <w:widowControl/>
        <w:rPr>
          <w:szCs w:val="24"/>
        </w:rPr>
      </w:pPr>
      <w:r w:rsidRPr="009F15E8">
        <w:t>C.</w:t>
      </w:r>
      <w:r w:rsidRPr="009F15E8">
        <w:tab/>
        <w:t xml:space="preserve">întrucât </w:t>
      </w:r>
      <w:proofErr w:type="spellStart"/>
      <w:r w:rsidRPr="009F15E8">
        <w:t>glufosinatul</w:t>
      </w:r>
      <w:proofErr w:type="spellEnd"/>
      <w:r w:rsidRPr="009F15E8">
        <w:t xml:space="preserve">, care este considerat erbicid complementar, este clasificat ca substanță toxică pentru reproducere în categoria 1B și, prin urmare, îndeplinește „criteriile de excludere” stabilite în Regulamentul (CE) nr. 1107/2009 al Parlamentului </w:t>
      </w:r>
      <w:r w:rsidRPr="009F15E8">
        <w:lastRenderedPageBreak/>
        <w:t>European și al Consiliului</w:t>
      </w:r>
      <w:r w:rsidRPr="009F15E8">
        <w:rPr>
          <w:rStyle w:val="FootnoteReference"/>
          <w:szCs w:val="24"/>
        </w:rPr>
        <w:footnoteReference w:id="6"/>
      </w:r>
      <w:r w:rsidRPr="009F15E8">
        <w:t xml:space="preserve">; întrucât autorizarea utilizării </w:t>
      </w:r>
      <w:proofErr w:type="spellStart"/>
      <w:r w:rsidRPr="009F15E8">
        <w:t>glufosinatului</w:t>
      </w:r>
      <w:proofErr w:type="spellEnd"/>
      <w:r w:rsidRPr="009F15E8">
        <w:t xml:space="preserve"> în Uniune a expirat la 31 iulie 2018;</w:t>
      </w:r>
    </w:p>
    <w:p w14:paraId="3C510586" w14:textId="77777777" w:rsidR="00960B02" w:rsidRPr="009F15E8" w:rsidRDefault="00960B02" w:rsidP="00960B02">
      <w:pPr>
        <w:pStyle w:val="NormalHanging12a"/>
        <w:widowControl/>
        <w:rPr>
          <w:szCs w:val="24"/>
        </w:rPr>
      </w:pPr>
      <w:r w:rsidRPr="009F15E8">
        <w:t>D.</w:t>
      </w:r>
      <w:r w:rsidRPr="009F15E8">
        <w:tab/>
        <w:t xml:space="preserve">întrucât IPD072Aa este o toxină insecticidă produsă de bacteria </w:t>
      </w:r>
      <w:proofErr w:type="spellStart"/>
      <w:r w:rsidRPr="009F15E8">
        <w:t>Pseudomonas</w:t>
      </w:r>
      <w:proofErr w:type="spellEnd"/>
      <w:r w:rsidRPr="009F15E8">
        <w:t xml:space="preserve"> </w:t>
      </w:r>
      <w:proofErr w:type="spellStart"/>
      <w:r w:rsidRPr="009F15E8">
        <w:t>chlororaphis</w:t>
      </w:r>
      <w:proofErr w:type="spellEnd"/>
      <w:r w:rsidRPr="009F15E8">
        <w:t xml:space="preserve">, fabricată pentru a acționa împotriva viermilor rădăcinilor de porumb; </w:t>
      </w:r>
    </w:p>
    <w:p w14:paraId="0B4DA73F" w14:textId="77777777" w:rsidR="00960B02" w:rsidRPr="009F15E8" w:rsidRDefault="00960B02" w:rsidP="00960B02">
      <w:pPr>
        <w:pStyle w:val="NormalHanging12a"/>
        <w:widowControl/>
        <w:rPr>
          <w:b/>
          <w:i/>
          <w:iCs/>
          <w:szCs w:val="24"/>
        </w:rPr>
      </w:pPr>
      <w:r w:rsidRPr="009F15E8">
        <w:rPr>
          <w:b/>
          <w:i/>
        </w:rPr>
        <w:t>Inginerie genetică complexă</w:t>
      </w:r>
    </w:p>
    <w:p w14:paraId="3D15CCE4" w14:textId="77777777" w:rsidR="00960B02" w:rsidRPr="009F15E8" w:rsidRDefault="00960B02" w:rsidP="00960B02">
      <w:pPr>
        <w:pStyle w:val="NormalHanging12a"/>
        <w:widowControl/>
        <w:rPr>
          <w:szCs w:val="24"/>
        </w:rPr>
      </w:pPr>
      <w:r w:rsidRPr="009F15E8">
        <w:t>E.</w:t>
      </w:r>
      <w:r w:rsidRPr="009F15E8">
        <w:tab/>
        <w:t xml:space="preserve">întrucât porumbul DP51291 a fost dezvoltat printr-un proces complex de inginerie genetică în mai multe etape, care a implicat crearea unei „piste de aterizare” genomice, urmată de un </w:t>
      </w:r>
      <w:proofErr w:type="spellStart"/>
      <w:r w:rsidRPr="009F15E8">
        <w:t>cobombardament</w:t>
      </w:r>
      <w:proofErr w:type="spellEnd"/>
      <w:r w:rsidRPr="009F15E8">
        <w:t xml:space="preserve"> cu </w:t>
      </w:r>
      <w:proofErr w:type="spellStart"/>
      <w:r w:rsidRPr="009F15E8">
        <w:t>microproiectile</w:t>
      </w:r>
      <w:proofErr w:type="spellEnd"/>
      <w:r w:rsidRPr="009F15E8">
        <w:t xml:space="preserve"> utilizând cinci plasmide și de o introducere ulterioară a casetelor de exprimare cu ajutorul bacteriei </w:t>
      </w:r>
      <w:proofErr w:type="spellStart"/>
      <w:r w:rsidRPr="009F15E8">
        <w:t>Agrobacterium</w:t>
      </w:r>
      <w:proofErr w:type="spellEnd"/>
      <w:r w:rsidRPr="009F15E8">
        <w:t xml:space="preserve"> </w:t>
      </w:r>
      <w:proofErr w:type="spellStart"/>
      <w:r w:rsidRPr="009F15E8">
        <w:t>tumefaciens</w:t>
      </w:r>
      <w:proofErr w:type="spellEnd"/>
      <w:r w:rsidRPr="009F15E8">
        <w:t xml:space="preserve"> pe pista de aterizare;</w:t>
      </w:r>
    </w:p>
    <w:p w14:paraId="086218BA" w14:textId="77777777" w:rsidR="00960B02" w:rsidRPr="009F15E8" w:rsidRDefault="00960B02" w:rsidP="00960B02">
      <w:pPr>
        <w:pStyle w:val="NormalHanging12a"/>
        <w:widowControl/>
        <w:rPr>
          <w:szCs w:val="24"/>
        </w:rPr>
      </w:pPr>
      <w:r w:rsidRPr="009F15E8">
        <w:t>F.</w:t>
      </w:r>
      <w:r w:rsidRPr="009F15E8">
        <w:tab/>
        <w:t xml:space="preserve">întrucât acest proces de modificare genetică a dus la eliminarea a 113 perechi de bază de ADN genomic al porumbului, astfel cum reiese din analiza bioinformatică, și a condus la formarea mai multor noi cadre deschise de citire (ORF), indicând potențiale perturbări genomice care rezultă din procedura de transformare; întrucât cinci dintre aceste ORF-uri prezentau o identitate de secvență mai mare de 35 % față de alergenii cunoscuți, depășind astfel pragul utilizat în mod obișnuit în evaluările </w:t>
      </w:r>
      <w:proofErr w:type="spellStart"/>
      <w:r w:rsidRPr="009F15E8">
        <w:t>alergenicității</w:t>
      </w:r>
      <w:proofErr w:type="spellEnd"/>
      <w:r w:rsidRPr="009F15E8">
        <w:rPr>
          <w:rStyle w:val="FootnoteReference"/>
          <w:szCs w:val="24"/>
        </w:rPr>
        <w:footnoteReference w:id="7"/>
      </w:r>
      <w:r w:rsidRPr="009F15E8">
        <w:t xml:space="preserve">; </w:t>
      </w:r>
    </w:p>
    <w:p w14:paraId="365B5F81" w14:textId="77777777" w:rsidR="00960B02" w:rsidRPr="009F15E8" w:rsidRDefault="00960B02" w:rsidP="00960B02">
      <w:pPr>
        <w:pStyle w:val="NormalHanging12a"/>
        <w:widowControl/>
        <w:rPr>
          <w:b/>
          <w:i/>
          <w:iCs/>
          <w:szCs w:val="24"/>
        </w:rPr>
      </w:pPr>
      <w:r w:rsidRPr="009F15E8">
        <w:rPr>
          <w:b/>
          <w:i/>
        </w:rPr>
        <w:t>Lipsa datelor privind practicile agricole și factorii de mediu</w:t>
      </w:r>
    </w:p>
    <w:p w14:paraId="6A6B99B9" w14:textId="77777777" w:rsidR="00960B02" w:rsidRPr="009F15E8" w:rsidRDefault="00960B02" w:rsidP="00960B02">
      <w:pPr>
        <w:pStyle w:val="NormalHanging12a"/>
        <w:widowControl/>
        <w:rPr>
          <w:szCs w:val="24"/>
        </w:rPr>
      </w:pPr>
      <w:r w:rsidRPr="009F15E8">
        <w:t>G.</w:t>
      </w:r>
      <w:r w:rsidRPr="009F15E8">
        <w:tab/>
        <w:t>întrucât Regulamentul de punere în aplicare (UE) nr. 503/2013 al Comisiei</w:t>
      </w:r>
      <w:r w:rsidRPr="009F15E8">
        <w:rPr>
          <w:rStyle w:val="FootnoteReference"/>
          <w:szCs w:val="24"/>
        </w:rPr>
        <w:footnoteReference w:id="8"/>
      </w:r>
      <w:r w:rsidRPr="009F15E8">
        <w:t xml:space="preserve"> prevede o evaluare a măsurii în care practicile agricole preconizate influențează expresia criteriilor studiate; întrucât, în conformitate cu regulamentul de punere în aplicare menționat, acest lucru este deosebit de relevant în cazul plantelor tolerante la erbicide;</w:t>
      </w:r>
    </w:p>
    <w:p w14:paraId="3CF54172" w14:textId="77777777" w:rsidR="00960B02" w:rsidRPr="009F15E8" w:rsidRDefault="00960B02" w:rsidP="00960B02">
      <w:pPr>
        <w:pStyle w:val="NormalHanging12a"/>
        <w:widowControl/>
        <w:rPr>
          <w:szCs w:val="24"/>
        </w:rPr>
      </w:pPr>
      <w:r w:rsidRPr="009F15E8">
        <w:t>H.</w:t>
      </w:r>
      <w:r w:rsidRPr="009F15E8">
        <w:tab/>
        <w:t>întrucât factorii de stres din mediu, cum ar fi seceta sau temperaturile extreme, pot induce modele neașteptate de exprimare a genelor în secvențele de ADN nou introduse</w:t>
      </w:r>
      <w:r w:rsidRPr="009F15E8">
        <w:rPr>
          <w:rStyle w:val="FootnoteReference"/>
          <w:szCs w:val="24"/>
        </w:rPr>
        <w:footnoteReference w:id="9"/>
      </w:r>
      <w:r w:rsidRPr="009F15E8">
        <w:t xml:space="preserve">; </w:t>
      </w:r>
    </w:p>
    <w:p w14:paraId="27DC9A31" w14:textId="77777777" w:rsidR="00960B02" w:rsidRPr="009F15E8" w:rsidRDefault="00960B02" w:rsidP="00960B02">
      <w:pPr>
        <w:pStyle w:val="NormalHanging12a"/>
        <w:widowControl/>
        <w:rPr>
          <w:szCs w:val="24"/>
        </w:rPr>
      </w:pPr>
      <w:r w:rsidRPr="009F15E8">
        <w:t>I.</w:t>
      </w:r>
      <w:r w:rsidRPr="009F15E8">
        <w:tab/>
        <w:t xml:space="preserve">întrucât testele pe teren utilizate pentru a sprijini analiza compoziției și fenotipică a porumbului modificat genetic au fost efectuate pe parcursul unei singure perioade de vegetație (2021) în Statele Unite și Canada în condiții meteorologice care nu reprezintă </w:t>
      </w:r>
      <w:r w:rsidRPr="009F15E8">
        <w:lastRenderedPageBreak/>
        <w:t>în mod adecvat diversitatea regiunilor de cultivare a porumbului, în special în țări precum Brazilia;</w:t>
      </w:r>
    </w:p>
    <w:p w14:paraId="5514133B" w14:textId="77777777" w:rsidR="00960B02" w:rsidRPr="009F15E8" w:rsidRDefault="00960B02" w:rsidP="00960B02">
      <w:pPr>
        <w:pStyle w:val="NormalHanging12a"/>
        <w:widowControl/>
        <w:rPr>
          <w:szCs w:val="24"/>
        </w:rPr>
      </w:pPr>
      <w:r w:rsidRPr="009F15E8">
        <w:t>J.</w:t>
      </w:r>
      <w:r w:rsidRPr="009F15E8">
        <w:tab/>
        <w:t>întrucât au fost raportate fenomene meteorologice extreme în unele locuri de testare; întrucât nu au fost efectuate investigații specifice pentru a evalua condițiile viitoare influențate de schimbările climatice actuale;</w:t>
      </w:r>
    </w:p>
    <w:p w14:paraId="7E329892" w14:textId="77777777" w:rsidR="00960B02" w:rsidRPr="009F15E8" w:rsidRDefault="00960B02" w:rsidP="00960B02">
      <w:pPr>
        <w:pStyle w:val="NormalHanging12a"/>
        <w:widowControl/>
        <w:rPr>
          <w:szCs w:val="24"/>
        </w:rPr>
      </w:pPr>
      <w:r w:rsidRPr="009F15E8">
        <w:t>K.</w:t>
      </w:r>
      <w:r w:rsidRPr="009F15E8">
        <w:tab/>
        <w:t xml:space="preserve">întrucât </w:t>
      </w:r>
      <w:proofErr w:type="spellStart"/>
      <w:r w:rsidRPr="009F15E8">
        <w:t>glufosinatul</w:t>
      </w:r>
      <w:proofErr w:type="spellEnd"/>
      <w:r w:rsidRPr="009F15E8">
        <w:t xml:space="preserve"> a fost aplicat o singură dată în timpul testelor pe teren, în conformitate cu recomandările EFSA privind dozele; întrucât, cu toate acestea, în practicile agricole reale, ratele și frecvențele de aplicare a erbicidelor variază adesea în mod semnificativ de la o regiune la alta și pot implica o utilizare mai mare sau repetată, ceea ce înseamnă că este posibil ca datele obținute în urma testelor efectuate pe teren să nu reflecte suficient întreaga gamă de condiții agricole și de mediu în care este probabil ca porumbul modificat genetic să fie cultivat sau importat;</w:t>
      </w:r>
    </w:p>
    <w:p w14:paraId="76140695" w14:textId="77777777" w:rsidR="00960B02" w:rsidRPr="009F15E8" w:rsidRDefault="00960B02" w:rsidP="00960B02">
      <w:pPr>
        <w:pStyle w:val="NormalHanging12a"/>
        <w:widowControl/>
        <w:rPr>
          <w:b/>
          <w:i/>
          <w:iCs/>
          <w:szCs w:val="24"/>
        </w:rPr>
      </w:pPr>
      <w:r w:rsidRPr="009F15E8">
        <w:rPr>
          <w:b/>
          <w:i/>
        </w:rPr>
        <w:t xml:space="preserve">Lipsa evaluării </w:t>
      </w:r>
      <w:proofErr w:type="spellStart"/>
      <w:r w:rsidRPr="009F15E8">
        <w:rPr>
          <w:b/>
          <w:i/>
        </w:rPr>
        <w:t>glufosinatului</w:t>
      </w:r>
      <w:proofErr w:type="spellEnd"/>
      <w:r w:rsidRPr="009F15E8">
        <w:rPr>
          <w:b/>
          <w:i/>
        </w:rPr>
        <w:t xml:space="preserve"> </w:t>
      </w:r>
    </w:p>
    <w:p w14:paraId="794D718B" w14:textId="77777777" w:rsidR="00960B02" w:rsidRPr="009F15E8" w:rsidRDefault="00960B02" w:rsidP="00960B02">
      <w:pPr>
        <w:pStyle w:val="NormalHanging12a"/>
        <w:widowControl/>
        <w:rPr>
          <w:szCs w:val="24"/>
        </w:rPr>
      </w:pPr>
      <w:r w:rsidRPr="009F15E8">
        <w:t>L.</w:t>
      </w:r>
      <w:r w:rsidRPr="009F15E8">
        <w:tab/>
        <w:t xml:space="preserve">întrucât </w:t>
      </w:r>
      <w:proofErr w:type="spellStart"/>
      <w:r w:rsidRPr="009F15E8">
        <w:t>glufosinatul</w:t>
      </w:r>
      <w:proofErr w:type="spellEnd"/>
      <w:r w:rsidRPr="009F15E8">
        <w:t xml:space="preserve"> este asociat cu riscuri semnificative pentru biodiversitate, toxicitate și sănătatea ecosistemelor pe termen lung;</w:t>
      </w:r>
    </w:p>
    <w:p w14:paraId="2B09E599" w14:textId="77777777" w:rsidR="00960B02" w:rsidRPr="009F15E8" w:rsidRDefault="00960B02" w:rsidP="00960B02">
      <w:pPr>
        <w:pStyle w:val="NormalHanging12a"/>
        <w:widowControl/>
        <w:rPr>
          <w:szCs w:val="24"/>
        </w:rPr>
      </w:pPr>
      <w:r w:rsidRPr="009F15E8">
        <w:t>M.</w:t>
      </w:r>
      <w:r w:rsidRPr="009F15E8">
        <w:tab/>
        <w:t>întrucât marea majoritate a culturilor modificate genetic au fost modificate genetic astfel încât să fie tolerante la unul sau mai multe erbicide „complementare” care pot fi utilizate pe parcursul întregului ciclu de viață al culturii modificate genetic, fără ca aceasta să moară, cum ar fi cazul unei culturi care nu este tolerantă la erbicide; întrucât, potrivit mai multor studii, culturile modificate genetic cu toleranță la erbicide duc la o utilizare mai extinsă a erbicidelor complementare, în mare parte din cauza apariției unor buruieni tolerante la erbicide</w:t>
      </w:r>
      <w:r w:rsidRPr="009F15E8">
        <w:rPr>
          <w:rStyle w:val="FootnoteReference"/>
          <w:szCs w:val="24"/>
        </w:rPr>
        <w:footnoteReference w:id="10"/>
      </w:r>
      <w:r w:rsidRPr="009F15E8">
        <w:t>;</w:t>
      </w:r>
    </w:p>
    <w:p w14:paraId="35B9DB0D" w14:textId="77777777" w:rsidR="00960B02" w:rsidRPr="009F15E8" w:rsidRDefault="00960B02" w:rsidP="00960B02">
      <w:pPr>
        <w:pStyle w:val="NormalHanging12a"/>
        <w:widowControl/>
        <w:rPr>
          <w:szCs w:val="24"/>
        </w:rPr>
      </w:pPr>
      <w:r w:rsidRPr="009F15E8">
        <w:t>N.</w:t>
      </w:r>
      <w:r w:rsidRPr="009F15E8">
        <w:tab/>
        <w:t>întrucât culturile modificate genetic tolerante la erbicide imobilizează agricultorii într-un sistem de gestionare a buruienilor care depinde în mare măsură sau în totalitate de erbicide, deoarece semințele modificate genetic au un preț mai mare, care poate fi justificat doar dacă agricultorii care cumpără aceste semințe recurg și la pulverizarea erbicidelor complementare; întrucât dependența sporită de erbicidele complementare în fermele care plantează culturi modificate genetic accelerează apariția și răspândirea unor buruieni rezistente la erbicidele respective, determinând astfel creșterea nevoii utilizării lor, un cerc vicios cunoscut sub numele de „spirala erbicidelor”;</w:t>
      </w:r>
    </w:p>
    <w:p w14:paraId="36154B9A" w14:textId="77777777" w:rsidR="00960B02" w:rsidRPr="009F15E8" w:rsidRDefault="00960B02" w:rsidP="00960B02">
      <w:pPr>
        <w:pStyle w:val="NormalHanging12a"/>
        <w:widowControl/>
        <w:rPr>
          <w:szCs w:val="24"/>
        </w:rPr>
      </w:pPr>
      <w:r w:rsidRPr="009F15E8">
        <w:t>O.</w:t>
      </w:r>
      <w:r w:rsidRPr="009F15E8">
        <w:tab/>
        <w:t>întrucât efectele dăunătoare ale dependenței excesive de erbicide asupra sănătății solului, calității apei și biodiversității din sol și de deasupra solului se vor agrava și vor amplifica expunerea oamenilor și a animalelor, eventual și prin creșterea cantității de reziduuri de erbicide în alimente și furaje;</w:t>
      </w:r>
    </w:p>
    <w:p w14:paraId="6A023087" w14:textId="77777777" w:rsidR="00960B02" w:rsidRPr="009F15E8" w:rsidRDefault="00960B02" w:rsidP="00960B02">
      <w:pPr>
        <w:pStyle w:val="NormalHanging12a"/>
        <w:widowControl/>
        <w:rPr>
          <w:szCs w:val="24"/>
        </w:rPr>
      </w:pPr>
      <w:r w:rsidRPr="009F15E8">
        <w:lastRenderedPageBreak/>
        <w:t>P.</w:t>
      </w:r>
      <w:r w:rsidRPr="009F15E8">
        <w:tab/>
        <w:t>întrucât se consideră că evaluarea reziduurilor de erbicide și a metaboliților acestora prezenți în plantele modificate genetic nu intră în sfera de competență a Grupului EFSA pentru organisme modificate genetic (Grupul EFSA pentru OMG) și, prin urmare, nu este efectuată în cadrul procesului de autorizare a organismelor modificate genetic;</w:t>
      </w:r>
    </w:p>
    <w:p w14:paraId="710CA639" w14:textId="77777777" w:rsidR="00960B02" w:rsidRPr="009F15E8" w:rsidRDefault="00960B02" w:rsidP="00960B02">
      <w:pPr>
        <w:pStyle w:val="NormalHanging12a"/>
        <w:widowControl/>
        <w:rPr>
          <w:b/>
          <w:i/>
          <w:iCs/>
          <w:szCs w:val="24"/>
        </w:rPr>
      </w:pPr>
      <w:r w:rsidRPr="009F15E8">
        <w:rPr>
          <w:b/>
          <w:i/>
        </w:rPr>
        <w:t>Chestiuni nesoluționate privind toxina IPD072Aa</w:t>
      </w:r>
    </w:p>
    <w:p w14:paraId="0D51CA3A" w14:textId="77777777" w:rsidR="00960B02" w:rsidRPr="009F15E8" w:rsidRDefault="00960B02" w:rsidP="00960B02">
      <w:pPr>
        <w:pStyle w:val="NormalHanging12a"/>
        <w:widowControl/>
        <w:rPr>
          <w:szCs w:val="24"/>
        </w:rPr>
      </w:pPr>
      <w:r w:rsidRPr="009F15E8">
        <w:t>Q.</w:t>
      </w:r>
      <w:r w:rsidRPr="009F15E8">
        <w:tab/>
        <w:t>întrucât Regulamentul de punere în aplicare (UE) nr. 503/2013 impune o evaluare toxicologică pentru a demonstra că efectele preconizate ale unei modificări genetice nu implică efecte adverse asupra sănătății umane și animale;</w:t>
      </w:r>
    </w:p>
    <w:p w14:paraId="15C7CDBE" w14:textId="16AAB08E" w:rsidR="00960B02" w:rsidRPr="009F15E8" w:rsidRDefault="00960B02" w:rsidP="00960B02">
      <w:pPr>
        <w:pStyle w:val="NormalHanging12a"/>
        <w:widowControl/>
        <w:rPr>
          <w:szCs w:val="24"/>
        </w:rPr>
      </w:pPr>
      <w:r w:rsidRPr="009F15E8">
        <w:t>R.</w:t>
      </w:r>
      <w:r w:rsidRPr="009F15E8">
        <w:tab/>
        <w:t>întrucât IPD072Aa este o proteină nouă, ceea ce înseamnă că utilizarea sa în agricultură și introducerea sa în lanțul alimentar nu se pot face în întregime pe baza experienței dobândite anterior;</w:t>
      </w:r>
    </w:p>
    <w:p w14:paraId="2D2CAE1E" w14:textId="77777777" w:rsidR="00960B02" w:rsidRPr="009F15E8" w:rsidRDefault="00960B02" w:rsidP="00960B02">
      <w:pPr>
        <w:pStyle w:val="NormalHanging12a"/>
        <w:widowControl/>
        <w:rPr>
          <w:szCs w:val="24"/>
        </w:rPr>
      </w:pPr>
      <w:r w:rsidRPr="009F15E8">
        <w:t>S.</w:t>
      </w:r>
      <w:r w:rsidRPr="009F15E8">
        <w:tab/>
        <w:t xml:space="preserve">întrucât, în pofida diferențelor, asemănările observate între toxinele IPD072Aa și </w:t>
      </w:r>
      <w:proofErr w:type="spellStart"/>
      <w:r w:rsidRPr="009F15E8">
        <w:t>Bt</w:t>
      </w:r>
      <w:proofErr w:type="spellEnd"/>
      <w:r w:rsidRPr="009F15E8">
        <w:t xml:space="preserve"> evidențiază necesitatea unei analize atente în procesul de evaluare a riscurilor; întrucât mai multe studii au indicat că toxinele </w:t>
      </w:r>
      <w:proofErr w:type="spellStart"/>
      <w:r w:rsidRPr="009F15E8">
        <w:t>Bt</w:t>
      </w:r>
      <w:proofErr w:type="spellEnd"/>
      <w:r w:rsidRPr="009F15E8">
        <w:t xml:space="preserve"> pot induce efecte secundare legate de imunitate, inclusiv potențiale proprietăți adjuvante</w:t>
      </w:r>
      <w:r w:rsidRPr="009F15E8">
        <w:rPr>
          <w:rStyle w:val="FootnoteReference"/>
          <w:szCs w:val="24"/>
        </w:rPr>
        <w:footnoteReference w:id="11"/>
      </w:r>
      <w:r w:rsidRPr="009F15E8">
        <w:t xml:space="preserve">, ceea ce înseamnă că pot crește </w:t>
      </w:r>
      <w:proofErr w:type="spellStart"/>
      <w:r w:rsidRPr="009F15E8">
        <w:t>alergenicitatea</w:t>
      </w:r>
      <w:proofErr w:type="spellEnd"/>
      <w:r w:rsidRPr="009F15E8">
        <w:t xml:space="preserve"> altor proteine cu care intră în contact;</w:t>
      </w:r>
    </w:p>
    <w:p w14:paraId="2620824D" w14:textId="77777777" w:rsidR="00960B02" w:rsidRPr="009F15E8" w:rsidRDefault="00960B02" w:rsidP="00960B02">
      <w:pPr>
        <w:pStyle w:val="NormalHanging12a"/>
        <w:widowControl/>
        <w:rPr>
          <w:szCs w:val="24"/>
        </w:rPr>
      </w:pPr>
      <w:r w:rsidRPr="009F15E8">
        <w:t>T.</w:t>
      </w:r>
      <w:r w:rsidRPr="009F15E8">
        <w:tab/>
        <w:t>întrucât un studiu științific a constatat că toxicitatea toxinelor </w:t>
      </w:r>
      <w:proofErr w:type="spellStart"/>
      <w:r w:rsidRPr="009F15E8">
        <w:t>Bt</w:t>
      </w:r>
      <w:proofErr w:type="spellEnd"/>
      <w:r w:rsidRPr="009F15E8">
        <w:t xml:space="preserve"> poate fi amplificată și prin interacțiunea cu reziduurile rezultate în urma pulverizării cu erbicide și întrucât este nevoie de mai multe studii despre efectele combinatorii ale evenimentelor „cu acumulare de gene” (culturi modificate genetic pentru a fi tolerante la erbicide și a produce insecticide sub formă de toxine </w:t>
      </w:r>
      <w:proofErr w:type="spellStart"/>
      <w:r w:rsidRPr="009F15E8">
        <w:t>Bt</w:t>
      </w:r>
      <w:proofErr w:type="spellEnd"/>
      <w:r w:rsidRPr="009F15E8">
        <w:t>)</w:t>
      </w:r>
      <w:r w:rsidRPr="009F15E8">
        <w:rPr>
          <w:rStyle w:val="FootnoteReference"/>
          <w:szCs w:val="24"/>
        </w:rPr>
        <w:footnoteReference w:id="12"/>
      </w:r>
      <w:r w:rsidRPr="009F15E8">
        <w:t>; întrucât se consideră că evaluarea posibilelor interacțiuni ale reziduurilor de erbicide și ale metaboliților lor cu toxinele </w:t>
      </w:r>
      <w:proofErr w:type="spellStart"/>
      <w:r w:rsidRPr="009F15E8">
        <w:t>Bt</w:t>
      </w:r>
      <w:proofErr w:type="spellEnd"/>
      <w:r w:rsidRPr="009F15E8">
        <w:t xml:space="preserve"> nu intră în sfera de competență a Grupului EFSA pentru OMG și, prin urmare, nu este efectuată în cadrul evaluării riscurilor;</w:t>
      </w:r>
    </w:p>
    <w:p w14:paraId="48338FCD" w14:textId="77777777" w:rsidR="00960B02" w:rsidRPr="009F15E8" w:rsidRDefault="00960B02" w:rsidP="00960B02">
      <w:pPr>
        <w:pStyle w:val="NormalHanging12a"/>
        <w:widowControl/>
        <w:rPr>
          <w:szCs w:val="24"/>
        </w:rPr>
      </w:pPr>
      <w:r w:rsidRPr="009F15E8">
        <w:t>U.</w:t>
      </w:r>
      <w:r w:rsidRPr="009F15E8">
        <w:tab/>
        <w:t>întrucât evaluarea toxicității IPD072Aa nu ia în considerare potențialele efecte sinergice sau cumulative care rezultă din interacțiunile cu metaboliții plantelor sau cu reziduurile de erbicide;</w:t>
      </w:r>
    </w:p>
    <w:p w14:paraId="7D207E6A" w14:textId="77777777" w:rsidR="00960B02" w:rsidRPr="009F15E8" w:rsidRDefault="00960B02" w:rsidP="00960B02">
      <w:pPr>
        <w:pStyle w:val="NormalHanging12a"/>
        <w:widowControl/>
        <w:rPr>
          <w:szCs w:val="24"/>
        </w:rPr>
      </w:pPr>
      <w:r w:rsidRPr="009F15E8">
        <w:t>V.</w:t>
      </w:r>
      <w:r w:rsidRPr="009F15E8">
        <w:tab/>
        <w:t>întrucât nu au fost furnizate date privind acumularea de IPD072Aa în rețelele trofice, diseminarea sa în mediu, în special prin intermediul apelor uzate și al gunoiului de grajd în sol și în ecosistemele acvatice, sau efectele sale asupra organismelor nevizate;</w:t>
      </w:r>
    </w:p>
    <w:p w14:paraId="629EABA1" w14:textId="77777777" w:rsidR="00960B02" w:rsidRPr="009F15E8" w:rsidRDefault="00960B02" w:rsidP="00960B02">
      <w:pPr>
        <w:pStyle w:val="NormalHanging12a"/>
        <w:widowControl/>
        <w:rPr>
          <w:szCs w:val="24"/>
        </w:rPr>
      </w:pPr>
      <w:r w:rsidRPr="009F15E8">
        <w:lastRenderedPageBreak/>
        <w:t>W.</w:t>
      </w:r>
      <w:r w:rsidRPr="009F15E8">
        <w:tab/>
        <w:t xml:space="preserve">întrucât potențialul fluxului genetic către rudele sălbatice, cum ar fi </w:t>
      </w:r>
      <w:proofErr w:type="spellStart"/>
      <w:r w:rsidRPr="009F15E8">
        <w:t>teosintul</w:t>
      </w:r>
      <w:proofErr w:type="spellEnd"/>
      <w:r w:rsidRPr="009F15E8">
        <w:t xml:space="preserve">, raportat în Spania și Franța, ridică semne de întrebare cu privire la persistența </w:t>
      </w:r>
      <w:proofErr w:type="spellStart"/>
      <w:r w:rsidRPr="009F15E8">
        <w:t>transgenei</w:t>
      </w:r>
      <w:proofErr w:type="spellEnd"/>
      <w:r w:rsidRPr="009F15E8">
        <w:t xml:space="preserve"> în mediu și la posibilele sale consecințe ecologice</w:t>
      </w:r>
      <w:r w:rsidRPr="009F15E8">
        <w:rPr>
          <w:rStyle w:val="FootnoteReference"/>
          <w:szCs w:val="24"/>
        </w:rPr>
        <w:footnoteReference w:id="13"/>
      </w:r>
      <w:r w:rsidRPr="009F15E8">
        <w:t>;</w:t>
      </w:r>
    </w:p>
    <w:p w14:paraId="7C2B3AE4" w14:textId="77777777" w:rsidR="00960B02" w:rsidRPr="009F15E8" w:rsidRDefault="00960B02" w:rsidP="00960B02">
      <w:pPr>
        <w:pStyle w:val="NormalHanging12a"/>
        <w:widowControl/>
        <w:rPr>
          <w:szCs w:val="24"/>
        </w:rPr>
      </w:pPr>
      <w:r w:rsidRPr="009F15E8">
        <w:t>X.</w:t>
      </w:r>
      <w:r w:rsidRPr="009F15E8">
        <w:tab/>
        <w:t xml:space="preserve">întrucât cerințele de monitorizare prevăzute în Regulamentul de punere în aplicare (UE) nr. 503/2013 nu sunt puse în aplicare în mod suficient, fără o verificare independentă a datelor transmise de </w:t>
      </w:r>
      <w:proofErr w:type="spellStart"/>
      <w:r w:rsidRPr="009F15E8">
        <w:t>Corteva</w:t>
      </w:r>
      <w:proofErr w:type="spellEnd"/>
      <w:r w:rsidRPr="009F15E8">
        <w:t xml:space="preserve"> </w:t>
      </w:r>
      <w:proofErr w:type="spellStart"/>
      <w:r w:rsidRPr="009F15E8">
        <w:t>Agriscience</w:t>
      </w:r>
      <w:proofErr w:type="spellEnd"/>
      <w:r w:rsidRPr="009F15E8">
        <w:t xml:space="preserve"> LLC;</w:t>
      </w:r>
    </w:p>
    <w:p w14:paraId="217F4340" w14:textId="77777777" w:rsidR="00960B02" w:rsidRPr="009F15E8" w:rsidRDefault="00960B02" w:rsidP="00960B02">
      <w:pPr>
        <w:pStyle w:val="NormalHanging12a"/>
        <w:widowControl/>
        <w:rPr>
          <w:b/>
          <w:i/>
          <w:iCs/>
          <w:szCs w:val="24"/>
        </w:rPr>
      </w:pPr>
      <w:r w:rsidRPr="009F15E8">
        <w:rPr>
          <w:b/>
          <w:i/>
        </w:rPr>
        <w:t>Asigurarea unor condiții de concurență echitabile la nivel mondial și respectarea obligațiilor internaționale ale Uniunii</w:t>
      </w:r>
    </w:p>
    <w:p w14:paraId="2A43C2FF" w14:textId="25EF5780" w:rsidR="00960B02" w:rsidRPr="009F15E8" w:rsidRDefault="00960B02" w:rsidP="00960B02">
      <w:pPr>
        <w:pStyle w:val="NormalHanging12a"/>
        <w:widowControl/>
        <w:rPr>
          <w:b/>
          <w:szCs w:val="24"/>
        </w:rPr>
      </w:pPr>
      <w:r w:rsidRPr="009F15E8">
        <w:t>Y.</w:t>
      </w:r>
      <w:r w:rsidRPr="009F15E8">
        <w:rPr>
          <w:b/>
        </w:rPr>
        <w:tab/>
      </w:r>
      <w:r w:rsidRPr="009F15E8">
        <w:t xml:space="preserve">întrucât cultivarea de porumb modificat genetic nu este permisă în Uniune; întrucât adoptarea </w:t>
      </w:r>
      <w:r w:rsidR="00CC7BC6" w:rsidRPr="009F15E8">
        <w:t xml:space="preserve">Deciziei de punere în aplicare (UE) 2025/1898 </w:t>
      </w:r>
      <w:r w:rsidRPr="009F15E8">
        <w:t>permite importuri în Uniune care nu respectă standardele respectate de fermierii din Uniune, plasându-i astfel într-un dezavantaj concurențial;</w:t>
      </w:r>
    </w:p>
    <w:p w14:paraId="049C74D3" w14:textId="77777777" w:rsidR="00960B02" w:rsidRPr="009F15E8" w:rsidRDefault="00960B02" w:rsidP="00960B02">
      <w:pPr>
        <w:pStyle w:val="NormalHanging12a"/>
        <w:widowControl/>
        <w:rPr>
          <w:b/>
          <w:szCs w:val="24"/>
        </w:rPr>
      </w:pPr>
      <w:r w:rsidRPr="009F15E8">
        <w:t>Z.</w:t>
      </w:r>
      <w:r w:rsidRPr="009F15E8">
        <w:tab/>
        <w:t>întrucât în concluziile dialogului strategic privind viitorul agriculturii UE</w:t>
      </w:r>
      <w:r w:rsidRPr="009F15E8">
        <w:rPr>
          <w:rStyle w:val="FootnoteReference"/>
          <w:szCs w:val="24"/>
        </w:rPr>
        <w:footnoteReference w:id="14"/>
      </w:r>
      <w:r w:rsidRPr="009F15E8">
        <w:t>, Comisia este invitată să își reevalueze abordarea privind accesul pe piață pentru importurile și exporturile agroalimentare, dată fiind problema standardelor divergente ale Uniunii și ale partenerilor săi comerciali; întrucât relațiile comerciale mai echitabile, la nivel mondial, coerente cu obiectivele pentru un mediu sănătos, au fost una dintre principalele solicitări ale fermierilor în timpul demonstrațiilor din 2023 și 2024;</w:t>
      </w:r>
    </w:p>
    <w:p w14:paraId="013A815F" w14:textId="77777777" w:rsidR="00960B02" w:rsidRPr="009F15E8" w:rsidRDefault="00960B02" w:rsidP="00960B02">
      <w:pPr>
        <w:pStyle w:val="NormalHanging12a"/>
        <w:widowControl/>
        <w:rPr>
          <w:szCs w:val="24"/>
        </w:rPr>
      </w:pPr>
      <w:r w:rsidRPr="009F15E8">
        <w:t>AA.</w:t>
      </w:r>
      <w:r w:rsidRPr="009F15E8">
        <w:tab/>
        <w:t>întrucât într-un raport din 2017 al Raportorului special al ONU privind dreptul la alimentație se afirmă că, în special în țările în curs de dezvoltare, pesticidele periculoase au un impact dezastruos asupra sănătății</w:t>
      </w:r>
      <w:r w:rsidRPr="009F15E8">
        <w:rPr>
          <w:rStyle w:val="FootnoteReference"/>
          <w:szCs w:val="24"/>
        </w:rPr>
        <w:footnoteReference w:id="15"/>
      </w:r>
      <w:r w:rsidRPr="009F15E8">
        <w:t>; întrucât Obiectivul de dezvoltare durabilă 3.9 al ONU (ODD al ONU) își propune să reducă simțitor, până în 2030, numărul deceselor și bolilor provocate de produsele chimice periculoase și de poluarea și contaminarea aerului, apei și solului</w:t>
      </w:r>
      <w:r w:rsidRPr="009F15E8">
        <w:rPr>
          <w:rStyle w:val="FootnoteReference"/>
          <w:szCs w:val="24"/>
        </w:rPr>
        <w:footnoteReference w:id="16"/>
      </w:r>
      <w:r w:rsidRPr="009F15E8">
        <w:t>;</w:t>
      </w:r>
    </w:p>
    <w:p w14:paraId="3C81CE43" w14:textId="77777777" w:rsidR="00960B02" w:rsidRPr="009F15E8" w:rsidRDefault="00960B02" w:rsidP="00960B02">
      <w:pPr>
        <w:pStyle w:val="NormalHanging12a"/>
        <w:widowControl/>
        <w:rPr>
          <w:szCs w:val="24"/>
        </w:rPr>
      </w:pPr>
      <w:r w:rsidRPr="009F15E8">
        <w:t>AB.</w:t>
      </w:r>
      <w:r w:rsidRPr="009F15E8">
        <w:tab/>
        <w:t xml:space="preserve">întrucât Cadrul mondial pentru biodiversitate de la </w:t>
      </w:r>
      <w:proofErr w:type="spellStart"/>
      <w:r w:rsidRPr="009F15E8">
        <w:t>Kunming</w:t>
      </w:r>
      <w:proofErr w:type="spellEnd"/>
      <w:r w:rsidRPr="009F15E8">
        <w:t>-Montreal, convenit la reuniunea COP15 a părților la Convenția ONU privind diversitatea biologică (CBD a ONU) din decembrie 2022, include un obiectiv global de reducere a riscului asociat pesticidelor cu cel puțin 50 % până în 2030</w:t>
      </w:r>
      <w:r w:rsidRPr="009F15E8">
        <w:rPr>
          <w:rStyle w:val="FootnoteReference"/>
          <w:szCs w:val="24"/>
        </w:rPr>
        <w:footnoteReference w:id="17"/>
      </w:r>
      <w:r w:rsidRPr="009F15E8">
        <w:t>;</w:t>
      </w:r>
    </w:p>
    <w:p w14:paraId="5AD2B562" w14:textId="77777777" w:rsidR="00960B02" w:rsidRPr="009F15E8" w:rsidRDefault="00960B02" w:rsidP="00960B02">
      <w:pPr>
        <w:pStyle w:val="NormalHanging12a"/>
        <w:widowControl/>
        <w:rPr>
          <w:szCs w:val="24"/>
        </w:rPr>
      </w:pPr>
      <w:r w:rsidRPr="009F15E8">
        <w:t>AC.</w:t>
      </w:r>
      <w:r w:rsidRPr="009F15E8">
        <w:tab/>
        <w:t xml:space="preserve">întrucât Regulamentul (CE) nr. 1829/2003 prevede că produsele alimentare sau furajele modificate genetic nu trebuie să aibă efecte adverse asupra sănătății umane, a sănătății animale sau a mediului și că, atunci când își redactează decizia, Comisia trebuie să țină seama de toate dispozițiile pertinente din dreptul Uniunii și de alți factori legitimi </w:t>
      </w:r>
      <w:r w:rsidRPr="009F15E8">
        <w:lastRenderedPageBreak/>
        <w:t>relevanți pentru subiectul în cauză; întrucât astfel de factori legitimi ar trebui să includă obligațiile Uniunii în temeiul ODD ale ONU și al CBD a ONU;</w:t>
      </w:r>
    </w:p>
    <w:p w14:paraId="60855C1F" w14:textId="77777777" w:rsidR="00960B02" w:rsidRPr="009F15E8" w:rsidRDefault="00960B02" w:rsidP="00960B02">
      <w:pPr>
        <w:pStyle w:val="NormalHanging12a"/>
        <w:widowControl/>
        <w:rPr>
          <w:b/>
          <w:i/>
          <w:iCs/>
          <w:szCs w:val="24"/>
        </w:rPr>
      </w:pPr>
      <w:r w:rsidRPr="009F15E8">
        <w:rPr>
          <w:b/>
          <w:i/>
        </w:rPr>
        <w:t>Reducerea dependenței de furajele importate</w:t>
      </w:r>
    </w:p>
    <w:p w14:paraId="772C0433" w14:textId="77777777" w:rsidR="00960B02" w:rsidRPr="009F15E8" w:rsidRDefault="00960B02" w:rsidP="00960B02">
      <w:pPr>
        <w:pStyle w:val="NormalHanging12a"/>
        <w:widowControl/>
        <w:rPr>
          <w:szCs w:val="24"/>
        </w:rPr>
      </w:pPr>
      <w:r w:rsidRPr="009F15E8">
        <w:t>AD.</w:t>
      </w:r>
      <w:r w:rsidRPr="009F15E8">
        <w:tab/>
        <w:t xml:space="preserve">întrucât una dintre lecțiile învățate în urma crizei provocate de pandemia de COVID-19 și a războiului în curs din Ucraina a fost că Uniunea trebuie să pună capăt dependenței de unele materii critice; întrucât, în scrisoarea de misiune adresată comisarului desemnat </w:t>
      </w:r>
      <w:proofErr w:type="spellStart"/>
      <w:r w:rsidRPr="009F15E8">
        <w:t>Christophe</w:t>
      </w:r>
      <w:proofErr w:type="spellEnd"/>
      <w:r w:rsidRPr="009F15E8">
        <w:t xml:space="preserve"> Hansen, Președinta Comisiei, Ursula von </w:t>
      </w:r>
      <w:proofErr w:type="spellStart"/>
      <w:r w:rsidRPr="009F15E8">
        <w:t>der</w:t>
      </w:r>
      <w:proofErr w:type="spellEnd"/>
      <w:r w:rsidRPr="009F15E8">
        <w:t xml:space="preserve"> </w:t>
      </w:r>
      <w:proofErr w:type="spellStart"/>
      <w:r w:rsidRPr="009F15E8">
        <w:t>Leyen</w:t>
      </w:r>
      <w:proofErr w:type="spellEnd"/>
      <w:r w:rsidRPr="009F15E8">
        <w:t>, i-a solicitat acestuia să analizeze cum pot fi reduse importurile de produse critice</w:t>
      </w:r>
      <w:r w:rsidRPr="009F15E8">
        <w:rPr>
          <w:rStyle w:val="FootnoteReference"/>
          <w:szCs w:val="24"/>
        </w:rPr>
        <w:footnoteReference w:id="18"/>
      </w:r>
      <w:r w:rsidRPr="009F15E8">
        <w:t>;</w:t>
      </w:r>
    </w:p>
    <w:p w14:paraId="6EAA0ACA" w14:textId="77777777" w:rsidR="00960B02" w:rsidRPr="009F15E8" w:rsidRDefault="00960B02" w:rsidP="00960B02">
      <w:pPr>
        <w:pStyle w:val="NormalHanging12a"/>
        <w:widowControl/>
        <w:rPr>
          <w:b/>
          <w:i/>
          <w:iCs/>
          <w:szCs w:val="24"/>
        </w:rPr>
      </w:pPr>
      <w:r w:rsidRPr="009F15E8">
        <w:rPr>
          <w:b/>
          <w:i/>
        </w:rPr>
        <w:t>Un proces decizional nedemocratic</w:t>
      </w:r>
    </w:p>
    <w:p w14:paraId="0C6CE7BD" w14:textId="77777777" w:rsidR="00960B02" w:rsidRPr="009F15E8" w:rsidRDefault="00960B02" w:rsidP="00960B02">
      <w:pPr>
        <w:pStyle w:val="NormalHanging12a"/>
        <w:widowControl/>
        <w:rPr>
          <w:szCs w:val="24"/>
        </w:rPr>
      </w:pPr>
      <w:r w:rsidRPr="009F15E8">
        <w:t>AE.</w:t>
      </w:r>
      <w:r w:rsidRPr="009F15E8">
        <w:tab/>
        <w:t>întrucât, în cea de a opta legislatură, Parlamentul a adoptat în total 36 de rezoluții prin care se opune introducerii pe piață a unor OMG-uri pentru alimente și furaje (33 de rezoluții) și cultivării de OMG-uri în Uniune (trei rezoluții); întrucât, în cea de a noua legislatură, Parlamentul a adoptat 38 de rezoluții prin care se opune introducerii de OMG-uri pe piață și, deja, în cea de a zecea legislatură, aflată în curs, a adoptat încă 11 rezoluții prin care se opune introducerii de OMG-uri pe piață;</w:t>
      </w:r>
    </w:p>
    <w:p w14:paraId="4902F6FB" w14:textId="77777777" w:rsidR="00960B02" w:rsidRPr="009F15E8" w:rsidRDefault="00960B02" w:rsidP="00960B02">
      <w:pPr>
        <w:pStyle w:val="NormalHanging12a"/>
        <w:widowControl/>
        <w:rPr>
          <w:szCs w:val="24"/>
        </w:rPr>
      </w:pPr>
      <w:r w:rsidRPr="009F15E8">
        <w:t>AF.</w:t>
      </w:r>
      <w:r w:rsidRPr="009F15E8">
        <w:tab/>
        <w:t>întrucât, deși ea însăși recunoaște deficitul democratic, lipsa de susținere din partea statelor membre și obiecțiile Parlamentului, Comisia continuă să autorizeze OMG-uri;</w:t>
      </w:r>
    </w:p>
    <w:p w14:paraId="11C9D34D" w14:textId="77777777" w:rsidR="00960B02" w:rsidRPr="009F15E8" w:rsidRDefault="00960B02" w:rsidP="00960B02">
      <w:pPr>
        <w:pStyle w:val="NormalHanging12a"/>
        <w:widowControl/>
        <w:rPr>
          <w:szCs w:val="24"/>
        </w:rPr>
      </w:pPr>
      <w:r w:rsidRPr="009F15E8">
        <w:t>AG.</w:t>
      </w:r>
      <w:r w:rsidRPr="009F15E8">
        <w:tab/>
        <w:t>întrucât nu este necesar să se modifice legislația pentru a permite Comisiei să refuze autorizarea de OMG-uri atunci când nu există o majoritate calificată a statelor membre în Comitetul de apel care să susțină o decizie favorabilă</w:t>
      </w:r>
      <w:r w:rsidRPr="009F15E8">
        <w:rPr>
          <w:rStyle w:val="FootnoteReference"/>
          <w:szCs w:val="24"/>
        </w:rPr>
        <w:footnoteReference w:id="19"/>
      </w:r>
      <w:r w:rsidRPr="009F15E8">
        <w:t>;</w:t>
      </w:r>
    </w:p>
    <w:p w14:paraId="06BBFBD4" w14:textId="77777777" w:rsidR="00960B02" w:rsidRPr="009F15E8" w:rsidRDefault="00960B02" w:rsidP="00960B02">
      <w:pPr>
        <w:pStyle w:val="NormalHanging12a"/>
        <w:widowControl/>
        <w:rPr>
          <w:szCs w:val="24"/>
        </w:rPr>
      </w:pPr>
      <w:r w:rsidRPr="009F15E8">
        <w:t>AH.</w:t>
      </w:r>
      <w:r w:rsidRPr="009F15E8">
        <w:tab/>
        <w:t>întrucât, în urma votului din 13 iunie 2025 al Comitetului permanent pentru plante, animale, produse alimentare și hrană pentru animale menționat la articolul 35 din Regulamentul (CE) nr. 1829/2003, nu a fost emis niciun aviz, ceea ce înseamnă că autorizarea nu a fost susținută de o majoritate calificată a statelor membre</w:t>
      </w:r>
      <w:r w:rsidRPr="009F15E8">
        <w:rPr>
          <w:rStyle w:val="FootnoteReference"/>
          <w:szCs w:val="24"/>
        </w:rPr>
        <w:footnoteReference w:id="20"/>
      </w:r>
      <w:r w:rsidRPr="009F15E8">
        <w:t xml:space="preserve">; </w:t>
      </w:r>
      <w:r w:rsidRPr="009F15E8">
        <w:rPr>
          <w:shd w:val="clear" w:color="auto" w:fill="FFFFFF"/>
        </w:rPr>
        <w:t>întrucât nici Comitetul de apel nu a emis un aviz în urma votului din 15 iulie 2025,</w:t>
      </w:r>
    </w:p>
    <w:p w14:paraId="74B8B919" w14:textId="69FC8D3C" w:rsidR="00960B02" w:rsidRPr="009F15E8" w:rsidRDefault="00960B02" w:rsidP="00960B02">
      <w:pPr>
        <w:pStyle w:val="NormalBold"/>
        <w:widowControl/>
        <w:spacing w:after="240"/>
        <w:ind w:left="567" w:hanging="567"/>
        <w:rPr>
          <w:b w:val="0"/>
          <w:szCs w:val="24"/>
        </w:rPr>
      </w:pPr>
      <w:r w:rsidRPr="009F15E8">
        <w:rPr>
          <w:b w:val="0"/>
        </w:rPr>
        <w:t>1.</w:t>
      </w:r>
      <w:r w:rsidRPr="009F15E8">
        <w:rPr>
          <w:b w:val="0"/>
        </w:rPr>
        <w:tab/>
        <w:t xml:space="preserve">consideră că </w:t>
      </w:r>
      <w:r w:rsidR="00CC7BC6" w:rsidRPr="009F15E8">
        <w:rPr>
          <w:b w:val="0"/>
        </w:rPr>
        <w:t xml:space="preserve">Decizia de punere în aplicare (UE) 2025/1898 </w:t>
      </w:r>
      <w:r w:rsidRPr="009F15E8">
        <w:rPr>
          <w:b w:val="0"/>
        </w:rPr>
        <w:t>depășește competențele de executare prevăzute în Regulamentul (CE) nr. 1829/2003;</w:t>
      </w:r>
    </w:p>
    <w:p w14:paraId="6DA1E00D" w14:textId="18C3186E" w:rsidR="00960B02" w:rsidRPr="009F15E8" w:rsidRDefault="00960B02" w:rsidP="00960B02">
      <w:pPr>
        <w:pStyle w:val="NormalBold"/>
        <w:widowControl/>
        <w:spacing w:after="240"/>
        <w:ind w:left="567" w:hanging="567"/>
        <w:rPr>
          <w:b w:val="0"/>
          <w:szCs w:val="24"/>
        </w:rPr>
      </w:pPr>
      <w:r w:rsidRPr="009F15E8">
        <w:rPr>
          <w:b w:val="0"/>
        </w:rPr>
        <w:t>2.</w:t>
      </w:r>
      <w:r w:rsidRPr="009F15E8">
        <w:rPr>
          <w:b w:val="0"/>
        </w:rPr>
        <w:tab/>
        <w:t xml:space="preserve">consideră că </w:t>
      </w:r>
      <w:r w:rsidR="00CC7BC6" w:rsidRPr="009F15E8">
        <w:rPr>
          <w:b w:val="0"/>
        </w:rPr>
        <w:t xml:space="preserve">Decizia de punere în aplicare (UE) 2025/1898 </w:t>
      </w:r>
      <w:r w:rsidRPr="009F15E8">
        <w:rPr>
          <w:b w:val="0"/>
        </w:rPr>
        <w:t>nu este coerent</w:t>
      </w:r>
      <w:r w:rsidR="00CC7BC6" w:rsidRPr="009F15E8">
        <w:rPr>
          <w:b w:val="0"/>
        </w:rPr>
        <w:t>ă</w:t>
      </w:r>
      <w:r w:rsidRPr="009F15E8">
        <w:rPr>
          <w:b w:val="0"/>
        </w:rPr>
        <w:t xml:space="preserve"> cu dreptul Uniunii, pentru că nu este compatibil</w:t>
      </w:r>
      <w:r w:rsidR="00CC7BC6" w:rsidRPr="009F15E8">
        <w:rPr>
          <w:b w:val="0"/>
        </w:rPr>
        <w:t>ă</w:t>
      </w:r>
      <w:r w:rsidRPr="009F15E8">
        <w:rPr>
          <w:b w:val="0"/>
        </w:rPr>
        <w:t xml:space="preserve"> cu obiectivul Regulamentului (CE) nr. 1829/2003 care, în conformitate cu principiile generale prevăzute de Regulamentul (CE) nr. 178/2002 al Parlamentului </w:t>
      </w:r>
      <w:r w:rsidRPr="009F15E8">
        <w:rPr>
          <w:b w:val="0"/>
        </w:rPr>
        <w:lastRenderedPageBreak/>
        <w:t>European și al Consiliului</w:t>
      </w:r>
      <w:r w:rsidRPr="009F15E8">
        <w:rPr>
          <w:rStyle w:val="FootnoteReference"/>
          <w:b w:val="0"/>
          <w:szCs w:val="24"/>
        </w:rPr>
        <w:footnoteReference w:id="21"/>
      </w:r>
      <w:r w:rsidRPr="009F15E8">
        <w:rPr>
          <w:b w:val="0"/>
        </w:rPr>
        <w:t>, este acela de a oferi o bază prin care să se asigure un nivel ridicat de protecție a vieții și sănătății umane, a sănătății și calității vieții animalelor, a intereselor de mediu și a intereselor consumatorilor atunci când este vorba de produse alimentare și furaje modificate genetic, asigurând totodată buna funcționare a pieței interne;</w:t>
      </w:r>
    </w:p>
    <w:p w14:paraId="761D492E" w14:textId="2F7CF87C" w:rsidR="00960B02" w:rsidRPr="009F15E8" w:rsidRDefault="00960B02" w:rsidP="00960B02">
      <w:pPr>
        <w:pStyle w:val="NormalBold"/>
        <w:widowControl/>
        <w:spacing w:after="240"/>
        <w:ind w:left="567" w:hanging="567"/>
        <w:rPr>
          <w:b w:val="0"/>
          <w:szCs w:val="24"/>
        </w:rPr>
      </w:pPr>
      <w:r w:rsidRPr="009F15E8">
        <w:rPr>
          <w:b w:val="0"/>
        </w:rPr>
        <w:t>3.</w:t>
      </w:r>
      <w:r w:rsidRPr="009F15E8">
        <w:rPr>
          <w:b w:val="0"/>
        </w:rPr>
        <w:tab/>
        <w:t xml:space="preserve">solicită Comisiei să </w:t>
      </w:r>
      <w:r w:rsidR="00B16394" w:rsidRPr="009F15E8">
        <w:rPr>
          <w:b w:val="0"/>
        </w:rPr>
        <w:t>abroge Decizia de punere în aplicare (UE) 2025/1898</w:t>
      </w:r>
      <w:r w:rsidRPr="009F15E8">
        <w:rPr>
          <w:b w:val="0"/>
        </w:rPr>
        <w:t>și să prezinte comitetului un nou proiect;</w:t>
      </w:r>
    </w:p>
    <w:p w14:paraId="5C8D70A8" w14:textId="77777777" w:rsidR="00960B02" w:rsidRPr="009F15E8" w:rsidRDefault="00960B02" w:rsidP="00960B02">
      <w:pPr>
        <w:pStyle w:val="NormalBold"/>
        <w:widowControl/>
        <w:spacing w:after="240"/>
        <w:ind w:left="567" w:hanging="567"/>
        <w:rPr>
          <w:b w:val="0"/>
          <w:szCs w:val="24"/>
        </w:rPr>
      </w:pPr>
      <w:r w:rsidRPr="009F15E8">
        <w:rPr>
          <w:b w:val="0"/>
        </w:rPr>
        <w:t>4.</w:t>
      </w:r>
      <w:r w:rsidRPr="009F15E8">
        <w:rPr>
          <w:b w:val="0"/>
        </w:rPr>
        <w:tab/>
        <w:t>invită Comisia să asigure convergența dintre standardele Uniunii și cele ale partenerilor săi în cadrul negocierilor privind acordurile de liber schimb, pentru a se respecta standardele de siguranță ale Uniunii;</w:t>
      </w:r>
    </w:p>
    <w:p w14:paraId="3927BC1E" w14:textId="77777777" w:rsidR="00960B02" w:rsidRPr="009F15E8" w:rsidRDefault="00960B02" w:rsidP="00960B02">
      <w:pPr>
        <w:pStyle w:val="NormalBold"/>
        <w:widowControl/>
        <w:spacing w:after="240"/>
        <w:ind w:left="567" w:hanging="567"/>
        <w:rPr>
          <w:b w:val="0"/>
          <w:szCs w:val="24"/>
        </w:rPr>
      </w:pPr>
      <w:r w:rsidRPr="009F15E8">
        <w:rPr>
          <w:b w:val="0"/>
        </w:rPr>
        <w:t>5.</w:t>
      </w:r>
      <w:r w:rsidRPr="009F15E8">
        <w:rPr>
          <w:b w:val="0"/>
        </w:rPr>
        <w:tab/>
        <w:t>invită Comisia să nu autorizeze porumbul modificat genetic din cauza riscurilor crescute pentru biodiversitate, siguranța alimentară și sănătatea lucrătorilor, în conformitate cu abordarea de tip „O singură sănătate”;</w:t>
      </w:r>
    </w:p>
    <w:p w14:paraId="446891A1" w14:textId="77777777" w:rsidR="00960B02" w:rsidRPr="009F15E8" w:rsidRDefault="00960B02" w:rsidP="00960B02">
      <w:pPr>
        <w:pStyle w:val="NormalBold"/>
        <w:widowControl/>
        <w:spacing w:after="240"/>
        <w:ind w:left="567" w:hanging="567"/>
        <w:rPr>
          <w:b w:val="0"/>
          <w:szCs w:val="24"/>
        </w:rPr>
      </w:pPr>
      <w:r w:rsidRPr="009F15E8">
        <w:rPr>
          <w:b w:val="0"/>
        </w:rPr>
        <w:t>6.</w:t>
      </w:r>
      <w:r w:rsidRPr="009F15E8">
        <w:rPr>
          <w:b w:val="0"/>
        </w:rPr>
        <w:tab/>
        <w:t>așteaptă din partea Comisiei să își îndeplinească de urgență angajamentul</w:t>
      </w:r>
      <w:r w:rsidRPr="009F15E8">
        <w:rPr>
          <w:rStyle w:val="FootnoteReference"/>
          <w:b w:val="0"/>
          <w:szCs w:val="24"/>
        </w:rPr>
        <w:footnoteReference w:id="22"/>
      </w:r>
      <w:r w:rsidRPr="009F15E8">
        <w:rPr>
          <w:b w:val="0"/>
        </w:rPr>
        <w:t xml:space="preserve"> de a prezenta o propunere care să garanteze că substanțele chimice periculoase interzise în Uniune nu sunt produse pentru export;</w:t>
      </w:r>
    </w:p>
    <w:p w14:paraId="7AA7B94F" w14:textId="77777777" w:rsidR="00960B02" w:rsidRPr="009F15E8" w:rsidRDefault="00960B02" w:rsidP="00960B02">
      <w:pPr>
        <w:pStyle w:val="NormalBold"/>
        <w:widowControl/>
        <w:spacing w:after="240"/>
        <w:ind w:left="567" w:hanging="567"/>
        <w:rPr>
          <w:b w:val="0"/>
          <w:szCs w:val="24"/>
        </w:rPr>
      </w:pPr>
      <w:r w:rsidRPr="009F15E8">
        <w:rPr>
          <w:b w:val="0"/>
        </w:rPr>
        <w:t>7.</w:t>
      </w:r>
      <w:r w:rsidRPr="009F15E8">
        <w:rPr>
          <w:b w:val="0"/>
        </w:rPr>
        <w:tab/>
        <w:t>salută faptul că, în sfârșit, Comisia a recunoscut, în scrisoarea din 11 septembrie 2020 adresată deputaților, că trebuie să se țină seama de sustenabilitate în deciziile de autorizare a OMG-urilor</w:t>
      </w:r>
      <w:r w:rsidRPr="009F15E8">
        <w:rPr>
          <w:rStyle w:val="FootnoteReference"/>
          <w:b w:val="0"/>
          <w:szCs w:val="24"/>
        </w:rPr>
        <w:footnoteReference w:id="23"/>
      </w:r>
      <w:r w:rsidRPr="009F15E8">
        <w:rPr>
          <w:b w:val="0"/>
        </w:rPr>
        <w:t>; se declară însă foarte dezamăgit de faptul că, din acel moment, Comisia a continuat să autorizeze importul de OMG-uri în Uniune, deși Parlamentul s-a opus încontinuu, iar majoritatea statelor membre au votat împotrivă;</w:t>
      </w:r>
    </w:p>
    <w:p w14:paraId="0F7CF427" w14:textId="77777777" w:rsidR="00960B02" w:rsidRPr="009F15E8" w:rsidRDefault="00960B02" w:rsidP="00960B02">
      <w:pPr>
        <w:pStyle w:val="NormalBold"/>
        <w:widowControl/>
        <w:spacing w:after="240"/>
        <w:ind w:left="567" w:hanging="567"/>
        <w:rPr>
          <w:b w:val="0"/>
          <w:szCs w:val="24"/>
        </w:rPr>
      </w:pPr>
      <w:r w:rsidRPr="009F15E8">
        <w:rPr>
          <w:b w:val="0"/>
        </w:rPr>
        <w:t>8.</w:t>
      </w:r>
      <w:r w:rsidRPr="009F15E8">
        <w:rPr>
          <w:b w:val="0"/>
        </w:rPr>
        <w:tab/>
        <w:t>îndeamnă din nou Comisia să țină seama de obligațiile Uniunii în temeiul acordurilor internaționale, precum Acordul de la Paris privind schimbările climatice, CBD a ONU și ODD ale ONU; solicită din nou ca proiectele de acte de punere în aplicare să fie însoțite de o expunere de motive în care să se explice modul în care acestea respectă principiul de „a nu aduce prejudicii”</w:t>
      </w:r>
      <w:r w:rsidRPr="009F15E8">
        <w:rPr>
          <w:rStyle w:val="FootnoteReference"/>
          <w:b w:val="0"/>
          <w:szCs w:val="24"/>
        </w:rPr>
        <w:footnoteReference w:id="24"/>
      </w:r>
      <w:r w:rsidRPr="009F15E8">
        <w:rPr>
          <w:b w:val="0"/>
        </w:rPr>
        <w:t>;</w:t>
      </w:r>
    </w:p>
    <w:p w14:paraId="47AF37BC" w14:textId="6E32EF1D" w:rsidR="00F71325" w:rsidRPr="009F15E8" w:rsidRDefault="00960B02" w:rsidP="00F71325">
      <w:pPr>
        <w:pStyle w:val="NormalBold"/>
        <w:widowControl/>
        <w:spacing w:after="240"/>
        <w:ind w:left="567" w:hanging="567"/>
      </w:pPr>
      <w:r w:rsidRPr="009F15E8">
        <w:rPr>
          <w:b w:val="0"/>
        </w:rPr>
        <w:t>9.</w:t>
      </w:r>
      <w:r w:rsidRPr="009F15E8">
        <w:rPr>
          <w:b w:val="0"/>
        </w:rPr>
        <w:tab/>
        <w:t>încredințează Președintei sarcina de a transmite prezenta rezoluție Consiliului și Comisiei, precum și guvernelor și parlamentelor statelor membre.</w:t>
      </w:r>
    </w:p>
    <w:p w14:paraId="27EF436E" w14:textId="1A6B9F0C" w:rsidR="00E365E1" w:rsidRPr="009F15E8" w:rsidRDefault="00E365E1" w:rsidP="008F69FE"/>
    <w:sectPr w:rsidR="00E365E1" w:rsidRPr="009F15E8" w:rsidSect="00F7132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D9FFF" w14:textId="77777777" w:rsidR="008F69FE" w:rsidRPr="00F71325" w:rsidRDefault="008F69FE">
      <w:r w:rsidRPr="00F71325">
        <w:separator/>
      </w:r>
    </w:p>
  </w:endnote>
  <w:endnote w:type="continuationSeparator" w:id="0">
    <w:p w14:paraId="3DEEB8C6" w14:textId="77777777" w:rsidR="008F69FE" w:rsidRPr="00F71325" w:rsidRDefault="008F69FE">
      <w:r w:rsidRPr="00F713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9F326" w14:textId="77777777" w:rsidR="00064002" w:rsidRPr="00F7132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A6E09" w14:textId="77777777" w:rsidR="00064002" w:rsidRPr="00F7132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8706" w14:textId="77777777" w:rsidR="00064002" w:rsidRPr="00F713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F2B152" w14:textId="77777777" w:rsidR="008F69FE" w:rsidRPr="00F71325" w:rsidRDefault="008F69FE">
      <w:r w:rsidRPr="00F71325">
        <w:separator/>
      </w:r>
    </w:p>
  </w:footnote>
  <w:footnote w:type="continuationSeparator" w:id="0">
    <w:p w14:paraId="7D1E2DF1" w14:textId="77777777" w:rsidR="008F69FE" w:rsidRPr="00F71325" w:rsidRDefault="008F69FE">
      <w:r w:rsidRPr="00F71325">
        <w:continuationSeparator/>
      </w:r>
    </w:p>
  </w:footnote>
  <w:footnote w:id="1">
    <w:p w14:paraId="7EB49325" w14:textId="019F2631" w:rsidR="00CC7BC6" w:rsidRPr="009F15E8" w:rsidRDefault="00CC7BC6" w:rsidP="00CC7BC6">
      <w:pPr>
        <w:pStyle w:val="FootnoteText"/>
        <w:ind w:left="567" w:hanging="567"/>
        <w:rPr>
          <w:lang w:val="fi-FI"/>
        </w:rPr>
      </w:pPr>
      <w:r w:rsidRPr="009F15E8">
        <w:rPr>
          <w:rStyle w:val="FootnoteReference"/>
          <w:sz w:val="24"/>
          <w:szCs w:val="24"/>
        </w:rPr>
        <w:footnoteRef/>
      </w:r>
      <w:r w:rsidRPr="009F15E8">
        <w:rPr>
          <w:lang w:val="fi-FI"/>
        </w:rPr>
        <w:t xml:space="preserve"> </w:t>
      </w:r>
      <w:r w:rsidRPr="009F15E8">
        <w:rPr>
          <w:lang w:val="fi-FI"/>
        </w:rPr>
        <w:tab/>
      </w:r>
      <w:r w:rsidRPr="009F15E8">
        <w:rPr>
          <w:sz w:val="24"/>
          <w:szCs w:val="24"/>
          <w:lang w:val="fi-FI"/>
        </w:rPr>
        <w:t xml:space="preserve">JO L, 2025/1898, 23.9.2025, ELI: </w:t>
      </w:r>
      <w:hyperlink r:id="rId1" w:history="1">
        <w:r w:rsidRPr="009F15E8">
          <w:rPr>
            <w:rStyle w:val="Hyperlink"/>
            <w:sz w:val="24"/>
            <w:szCs w:val="24"/>
            <w:lang w:val="fi-FI"/>
          </w:rPr>
          <w:t>http://data.europa.eu/eli/dec_impl/2025/1898/oj</w:t>
        </w:r>
      </w:hyperlink>
      <w:r w:rsidRPr="009F15E8">
        <w:rPr>
          <w:sz w:val="24"/>
          <w:szCs w:val="24"/>
          <w:lang w:val="fi-FI"/>
        </w:rPr>
        <w:t>.</w:t>
      </w:r>
    </w:p>
  </w:footnote>
  <w:footnote w:id="2">
    <w:p w14:paraId="3F5D729E" w14:textId="70A672EE" w:rsidR="00960B02" w:rsidRPr="009F15E8" w:rsidRDefault="00960B02" w:rsidP="00F71325">
      <w:pPr>
        <w:pStyle w:val="FootnoteText"/>
        <w:ind w:left="567" w:hanging="567"/>
        <w:rPr>
          <w:b/>
          <w:bCs/>
          <w:sz w:val="24"/>
          <w:lang w:val="ro-RO"/>
        </w:rPr>
      </w:pPr>
      <w:r w:rsidRPr="009F15E8">
        <w:rPr>
          <w:rStyle w:val="FootnoteReference"/>
          <w:sz w:val="24"/>
          <w:lang w:val="ro-RO"/>
        </w:rPr>
        <w:footnoteRef/>
      </w:r>
      <w:r w:rsidR="00F71325" w:rsidRPr="009F15E8">
        <w:rPr>
          <w:sz w:val="24"/>
          <w:lang w:val="ro-RO"/>
        </w:rPr>
        <w:t xml:space="preserve"> </w:t>
      </w:r>
      <w:r w:rsidR="00F71325" w:rsidRPr="009F15E8">
        <w:rPr>
          <w:sz w:val="24"/>
          <w:lang w:val="ro-RO"/>
        </w:rPr>
        <w:tab/>
      </w:r>
      <w:r w:rsidRPr="009F15E8">
        <w:rPr>
          <w:sz w:val="24"/>
          <w:lang w:val="ro-RO"/>
        </w:rPr>
        <w:t xml:space="preserve">JO L 268, 18.10.2003, p. </w:t>
      </w:r>
      <w:r w:rsidRPr="009F15E8">
        <w:rPr>
          <w:sz w:val="24"/>
          <w:lang w:val="ro-RO"/>
        </w:rPr>
        <w:t>1, ELI: </w:t>
      </w:r>
      <w:hyperlink r:id="rId2" w:history="1">
        <w:r w:rsidRPr="009F15E8">
          <w:rPr>
            <w:rStyle w:val="Hyperlink"/>
            <w:sz w:val="24"/>
            <w:lang w:val="ro-RO"/>
          </w:rPr>
          <w:t>http://data.europa.eu/eli/reg/2003/1829/oj</w:t>
        </w:r>
      </w:hyperlink>
      <w:r w:rsidRPr="009F15E8">
        <w:rPr>
          <w:sz w:val="24"/>
          <w:u w:val="single"/>
          <w:lang w:val="ro-RO"/>
        </w:rPr>
        <w:t>.</w:t>
      </w:r>
    </w:p>
  </w:footnote>
  <w:footnote w:id="3">
    <w:p w14:paraId="7F02E7B8" w14:textId="1DB256C9" w:rsidR="00960B02" w:rsidRPr="009F15E8" w:rsidRDefault="00960B02" w:rsidP="00F71325">
      <w:pPr>
        <w:pStyle w:val="FootnoteText"/>
        <w:ind w:left="567" w:hanging="567"/>
        <w:rPr>
          <w:sz w:val="24"/>
          <w:lang w:val="ro-RO"/>
        </w:rPr>
      </w:pPr>
      <w:r w:rsidRPr="009F15E8">
        <w:rPr>
          <w:rStyle w:val="FootnoteReference"/>
          <w:sz w:val="24"/>
          <w:lang w:val="ro-RO"/>
        </w:rPr>
        <w:footnoteRef/>
      </w:r>
      <w:r w:rsidR="00F71325" w:rsidRPr="009F15E8">
        <w:rPr>
          <w:sz w:val="24"/>
          <w:lang w:val="ro-RO"/>
        </w:rPr>
        <w:t xml:space="preserve"> </w:t>
      </w:r>
      <w:r w:rsidR="00F71325" w:rsidRPr="009F15E8">
        <w:rPr>
          <w:sz w:val="24"/>
          <w:lang w:val="ro-RO"/>
        </w:rPr>
        <w:tab/>
      </w:r>
      <w:r w:rsidRPr="009F15E8">
        <w:rPr>
          <w:sz w:val="24"/>
          <w:lang w:val="ro-RO"/>
        </w:rPr>
        <w:t xml:space="preserve">JO L 55, 28.2.2011, p. </w:t>
      </w:r>
      <w:r w:rsidRPr="009F15E8">
        <w:rPr>
          <w:sz w:val="24"/>
          <w:lang w:val="ro-RO"/>
        </w:rPr>
        <w:t xml:space="preserve">13, ELI: </w:t>
      </w:r>
      <w:hyperlink r:id="rId3" w:history="1">
        <w:r w:rsidRPr="009F15E8">
          <w:rPr>
            <w:rStyle w:val="Hyperlink"/>
            <w:sz w:val="24"/>
            <w:lang w:val="ro-RO"/>
          </w:rPr>
          <w:t>http://data.europa.eu/eli/reg/2011/182/oj</w:t>
        </w:r>
      </w:hyperlink>
      <w:r w:rsidRPr="009F15E8">
        <w:rPr>
          <w:sz w:val="24"/>
          <w:lang w:val="ro-RO"/>
        </w:rPr>
        <w:t>.</w:t>
      </w:r>
    </w:p>
  </w:footnote>
  <w:footnote w:id="4">
    <w:p w14:paraId="2D807342" w14:textId="0AEE6691" w:rsidR="00960B02" w:rsidRPr="009F15E8" w:rsidRDefault="00960B02" w:rsidP="00F71325">
      <w:pPr>
        <w:pStyle w:val="FootnoteText"/>
        <w:ind w:left="567" w:hanging="567"/>
        <w:rPr>
          <w:sz w:val="24"/>
          <w:lang w:val="ro-RO"/>
        </w:rPr>
      </w:pPr>
      <w:r w:rsidRPr="009F15E8">
        <w:rPr>
          <w:rStyle w:val="Funotenzeichen"/>
          <w:sz w:val="24"/>
          <w:lang w:val="ro-RO"/>
        </w:rPr>
        <w:footnoteRef/>
      </w:r>
      <w:r w:rsidR="00F71325" w:rsidRPr="009F15E8">
        <w:rPr>
          <w:sz w:val="24"/>
          <w:lang w:val="ro-RO"/>
        </w:rPr>
        <w:t xml:space="preserve"> </w:t>
      </w:r>
      <w:r w:rsidR="00F71325" w:rsidRPr="009F15E8">
        <w:rPr>
          <w:sz w:val="24"/>
          <w:lang w:val="ro-RO"/>
        </w:rPr>
        <w:tab/>
      </w:r>
      <w:r w:rsidRPr="009F15E8">
        <w:rPr>
          <w:sz w:val="24"/>
          <w:lang w:val="ro-RO"/>
        </w:rPr>
        <w:t>Avizul științific al Grupului EFSA pentru organisme modificate genetic intitulat „</w:t>
      </w:r>
      <w:proofErr w:type="spellStart"/>
      <w:r w:rsidRPr="009F15E8">
        <w:rPr>
          <w:sz w:val="24"/>
          <w:lang w:val="ro-RO"/>
        </w:rPr>
        <w:t>Assessment</w:t>
      </w:r>
      <w:proofErr w:type="spellEnd"/>
      <w:r w:rsidRPr="009F15E8">
        <w:rPr>
          <w:sz w:val="24"/>
          <w:lang w:val="ro-RO"/>
        </w:rPr>
        <w:t xml:space="preserve"> of </w:t>
      </w:r>
      <w:proofErr w:type="spellStart"/>
      <w:r w:rsidRPr="009F15E8">
        <w:rPr>
          <w:sz w:val="24"/>
          <w:lang w:val="ro-RO"/>
        </w:rPr>
        <w:t>genetically</w:t>
      </w:r>
      <w:proofErr w:type="spellEnd"/>
      <w:r w:rsidRPr="009F15E8">
        <w:rPr>
          <w:sz w:val="24"/>
          <w:lang w:val="ro-RO"/>
        </w:rPr>
        <w:t xml:space="preserve"> </w:t>
      </w:r>
      <w:proofErr w:type="spellStart"/>
      <w:r w:rsidRPr="009F15E8">
        <w:rPr>
          <w:sz w:val="24"/>
          <w:lang w:val="ro-RO"/>
        </w:rPr>
        <w:t>modified</w:t>
      </w:r>
      <w:proofErr w:type="spellEnd"/>
      <w:r w:rsidRPr="009F15E8">
        <w:rPr>
          <w:sz w:val="24"/>
          <w:lang w:val="ro-RO"/>
        </w:rPr>
        <w:t xml:space="preserve"> </w:t>
      </w:r>
      <w:proofErr w:type="spellStart"/>
      <w:r w:rsidRPr="009F15E8">
        <w:rPr>
          <w:sz w:val="24"/>
          <w:lang w:val="ro-RO"/>
        </w:rPr>
        <w:t>maize</w:t>
      </w:r>
      <w:proofErr w:type="spellEnd"/>
      <w:r w:rsidRPr="009F15E8">
        <w:rPr>
          <w:sz w:val="24"/>
          <w:lang w:val="ro-RO"/>
        </w:rPr>
        <w:t xml:space="preserve"> DP51291 (</w:t>
      </w:r>
      <w:proofErr w:type="spellStart"/>
      <w:r w:rsidRPr="009F15E8">
        <w:rPr>
          <w:sz w:val="24"/>
          <w:lang w:val="ro-RO"/>
        </w:rPr>
        <w:t>application</w:t>
      </w:r>
      <w:proofErr w:type="spellEnd"/>
      <w:r w:rsidRPr="009F15E8">
        <w:rPr>
          <w:sz w:val="24"/>
          <w:lang w:val="ro-RO"/>
        </w:rPr>
        <w:t xml:space="preserve"> GMFF-2021-0071)”. </w:t>
      </w:r>
      <w:r w:rsidRPr="009F15E8">
        <w:rPr>
          <w:sz w:val="24"/>
          <w:lang w:val="ro-RO"/>
        </w:rPr>
        <w:t xml:space="preserve">EFSA Journal 2024;22(11):9059; </w:t>
      </w:r>
      <w:hyperlink r:id="rId4" w:history="1">
        <w:r w:rsidRPr="009F15E8">
          <w:rPr>
            <w:rStyle w:val="Hyperlink"/>
            <w:sz w:val="24"/>
            <w:lang w:val="ro-RO"/>
          </w:rPr>
          <w:t>https://doi.org/10.2903/j.efsa.2024.9059</w:t>
        </w:r>
      </w:hyperlink>
      <w:r w:rsidRPr="009F15E8">
        <w:rPr>
          <w:sz w:val="24"/>
          <w:lang w:val="ro-RO"/>
        </w:rPr>
        <w:t xml:space="preserve">. </w:t>
      </w:r>
    </w:p>
  </w:footnote>
  <w:footnote w:id="5">
    <w:p w14:paraId="33D276BB" w14:textId="0DEB0F34" w:rsidR="00960B02" w:rsidRPr="009F15E8" w:rsidRDefault="00960B02" w:rsidP="00F71325">
      <w:pPr>
        <w:pStyle w:val="FootnoteText"/>
        <w:ind w:left="567" w:hanging="567"/>
        <w:rPr>
          <w:color w:val="000000" w:themeColor="text1"/>
          <w:sz w:val="24"/>
          <w:vertAlign w:val="superscript"/>
          <w:lang w:val="ro-RO"/>
        </w:rPr>
      </w:pPr>
      <w:r w:rsidRPr="009F15E8">
        <w:rPr>
          <w:rStyle w:val="FootnoteReference"/>
          <w:sz w:val="24"/>
          <w:lang w:val="ro-RO"/>
        </w:rPr>
        <w:footnoteRef/>
      </w:r>
      <w:r w:rsidR="00F71325" w:rsidRPr="009F15E8">
        <w:rPr>
          <w:sz w:val="24"/>
          <w:lang w:val="ro-RO"/>
        </w:rPr>
        <w:t xml:space="preserve"> </w:t>
      </w:r>
      <w:r w:rsidR="00F71325" w:rsidRPr="009F15E8">
        <w:rPr>
          <w:sz w:val="24"/>
          <w:lang w:val="ro-RO"/>
        </w:rPr>
        <w:tab/>
      </w:r>
      <w:r w:rsidRPr="009F15E8">
        <w:rPr>
          <w:sz w:val="24"/>
          <w:lang w:val="ro-RO"/>
        </w:rPr>
        <w:t>În cea de a opta legislatură, Parlamentul a adoptat 36 de rezoluții, iar în cea de a noua legislatură, Parlamentul a adoptat 38 de rezoluții în care se opune autorizării OMG-urilor.</w:t>
      </w:r>
      <w:r w:rsidRPr="009F15E8">
        <w:rPr>
          <w:color w:val="000000" w:themeColor="text1"/>
          <w:sz w:val="24"/>
          <w:lang w:val="ro-RO"/>
        </w:rPr>
        <w:t xml:space="preserve"> În plus, în cea de a zecea legislatură a sa, Parlamentul a adoptat următoarele rezoluții:</w:t>
      </w:r>
    </w:p>
    <w:p w14:paraId="2C21AFEA" w14:textId="7EF117C7" w:rsidR="00960B02" w:rsidRPr="009F15E8" w:rsidRDefault="00F71325" w:rsidP="00F71325">
      <w:pPr>
        <w:pStyle w:val="FootnoteText"/>
        <w:ind w:left="567" w:hanging="567"/>
        <w:rPr>
          <w:color w:val="000000" w:themeColor="text1"/>
          <w:sz w:val="24"/>
          <w:vertAlign w:val="superscript"/>
          <w:lang w:val="ro-RO"/>
        </w:rPr>
      </w:pPr>
      <w:r w:rsidRPr="009F15E8">
        <w:rPr>
          <w:color w:val="000000" w:themeColor="text1"/>
          <w:sz w:val="24"/>
          <w:lang w:val="ro-RO"/>
        </w:rPr>
        <w:t xml:space="preserve"> </w:t>
      </w:r>
      <w:r w:rsidRPr="009F15E8">
        <w:rPr>
          <w:color w:val="000000" w:themeColor="text1"/>
          <w:sz w:val="24"/>
          <w:lang w:val="ro-RO"/>
        </w:rPr>
        <w:tab/>
      </w:r>
      <w:r w:rsidR="00960B02" w:rsidRPr="009F15E8">
        <w:rPr>
          <w:color w:val="000000" w:themeColor="text1"/>
          <w:sz w:val="24"/>
          <w:lang w:val="ro-RO"/>
        </w:rPr>
        <w:t>–</w:t>
      </w:r>
      <w:r w:rsidR="00960B02" w:rsidRPr="009F15E8">
        <w:rPr>
          <w:color w:val="000000" w:themeColor="text1"/>
          <w:sz w:val="24"/>
          <w:lang w:val="ro-RO"/>
        </w:rPr>
        <w:tab/>
        <w:t xml:space="preserve">Rezoluția Parlamentului European din 26 noiembrie 2024 referitoare la Decizia de punere în aplicare a Comisiei (UE) 2024/2628 </w:t>
      </w:r>
      <w:r w:rsidR="00485543" w:rsidRPr="009F15E8">
        <w:rPr>
          <w:color w:val="000000" w:themeColor="text1"/>
          <w:sz w:val="24"/>
          <w:lang w:val="ro-RO"/>
        </w:rPr>
        <w:t xml:space="preserve">de </w:t>
      </w:r>
      <w:r w:rsidR="00960B02" w:rsidRPr="009F15E8">
        <w:rPr>
          <w:color w:val="000000" w:themeColor="text1"/>
          <w:sz w:val="24"/>
          <w:lang w:val="ro-RO"/>
        </w:rPr>
        <w:t>reînnoire</w:t>
      </w:r>
      <w:r w:rsidR="00485543" w:rsidRPr="009F15E8">
        <w:rPr>
          <w:color w:val="000000" w:themeColor="text1"/>
          <w:sz w:val="24"/>
          <w:lang w:val="ro-RO"/>
        </w:rPr>
        <w:t xml:space="preserve"> </w:t>
      </w:r>
      <w:r w:rsidR="00960B02" w:rsidRPr="009F15E8">
        <w:rPr>
          <w:color w:val="000000" w:themeColor="text1"/>
          <w:sz w:val="24"/>
          <w:lang w:val="ro-RO"/>
        </w:rPr>
        <w:t xml:space="preserve">a autorizației </w:t>
      </w:r>
      <w:r w:rsidR="00485543" w:rsidRPr="009F15E8">
        <w:rPr>
          <w:color w:val="000000" w:themeColor="text1"/>
          <w:sz w:val="24"/>
          <w:lang w:val="ro-RO"/>
        </w:rPr>
        <w:t xml:space="preserve">de </w:t>
      </w:r>
      <w:r w:rsidR="00960B02" w:rsidRPr="009F15E8">
        <w:rPr>
          <w:color w:val="000000" w:themeColor="text1"/>
          <w:sz w:val="24"/>
          <w:lang w:val="ro-RO"/>
        </w:rPr>
        <w:t xml:space="preserve">introducere pe piață a produselor care conțin, </w:t>
      </w:r>
      <w:r w:rsidR="00485543" w:rsidRPr="009F15E8">
        <w:rPr>
          <w:color w:val="000000" w:themeColor="text1"/>
          <w:sz w:val="24"/>
          <w:lang w:val="ro-RO"/>
        </w:rPr>
        <w:t>c0onstau în</w:t>
      </w:r>
      <w:r w:rsidR="00960B02" w:rsidRPr="009F15E8">
        <w:rPr>
          <w:color w:val="000000" w:themeColor="text1"/>
          <w:sz w:val="24"/>
          <w:lang w:val="ro-RO"/>
        </w:rPr>
        <w:t xml:space="preserve"> sau </w:t>
      </w:r>
      <w:r w:rsidR="00485543" w:rsidRPr="009F15E8">
        <w:rPr>
          <w:color w:val="000000" w:themeColor="text1"/>
          <w:sz w:val="24"/>
          <w:lang w:val="ro-RO"/>
        </w:rPr>
        <w:t xml:space="preserve">sunt </w:t>
      </w:r>
      <w:proofErr w:type="spellStart"/>
      <w:r w:rsidR="00960B02" w:rsidRPr="009F15E8">
        <w:rPr>
          <w:color w:val="000000" w:themeColor="text1"/>
          <w:sz w:val="24"/>
          <w:lang w:val="ro-RO"/>
        </w:rPr>
        <w:t>abricate</w:t>
      </w:r>
      <w:proofErr w:type="spellEnd"/>
      <w:r w:rsidR="00960B02" w:rsidRPr="009F15E8">
        <w:rPr>
          <w:color w:val="000000" w:themeColor="text1"/>
          <w:sz w:val="24"/>
          <w:lang w:val="ro-RO"/>
        </w:rPr>
        <w:t xml:space="preserve"> din porumb</w:t>
      </w:r>
      <w:r w:rsidR="00485543" w:rsidRPr="009F15E8">
        <w:rPr>
          <w:color w:val="000000" w:themeColor="text1"/>
          <w:sz w:val="24"/>
          <w:lang w:val="ro-RO"/>
        </w:rPr>
        <w:t>ul</w:t>
      </w:r>
      <w:r w:rsidR="00960B02" w:rsidRPr="009F15E8">
        <w:rPr>
          <w:color w:val="000000" w:themeColor="text1"/>
          <w:sz w:val="24"/>
          <w:lang w:val="ro-RO"/>
        </w:rPr>
        <w:t xml:space="preserve"> modificat genetic MON 89034 × 1507 × NK603, în temeiul Regulamentului (CE) nr. 1829/2003 al Parlamentului European și al Consiliului (JO C, C/2025/1797, 4.4.2025, ELI: </w:t>
      </w:r>
      <w:hyperlink r:id="rId5" w:history="1">
        <w:r w:rsidR="00960B02" w:rsidRPr="009F15E8">
          <w:rPr>
            <w:rStyle w:val="Hyperlink"/>
            <w:sz w:val="24"/>
            <w:lang w:val="ro-RO"/>
          </w:rPr>
          <w:t>http://data.europa.eu/eli/C/2025/1797/oj</w:t>
        </w:r>
      </w:hyperlink>
      <w:r w:rsidR="00960B02" w:rsidRPr="009F15E8">
        <w:rPr>
          <w:color w:val="000000" w:themeColor="text1"/>
          <w:sz w:val="24"/>
          <w:lang w:val="ro-RO"/>
        </w:rPr>
        <w:t>).</w:t>
      </w:r>
    </w:p>
    <w:p w14:paraId="23665E87" w14:textId="24CA4DC9" w:rsidR="00960B02" w:rsidRPr="009F15E8" w:rsidRDefault="00F71325" w:rsidP="00F71325">
      <w:pPr>
        <w:pStyle w:val="FootnoteText"/>
        <w:ind w:left="567" w:hanging="567"/>
        <w:rPr>
          <w:color w:val="000000" w:themeColor="text1"/>
          <w:sz w:val="24"/>
          <w:vertAlign w:val="superscript"/>
          <w:lang w:val="ro-RO"/>
        </w:rPr>
      </w:pPr>
      <w:r w:rsidRPr="009F15E8">
        <w:rPr>
          <w:color w:val="000000" w:themeColor="text1"/>
          <w:sz w:val="24"/>
          <w:lang w:val="ro-RO"/>
        </w:rPr>
        <w:t xml:space="preserve"> </w:t>
      </w:r>
      <w:r w:rsidRPr="009F15E8">
        <w:rPr>
          <w:color w:val="000000" w:themeColor="text1"/>
          <w:sz w:val="24"/>
          <w:lang w:val="ro-RO"/>
        </w:rPr>
        <w:tab/>
      </w:r>
      <w:r w:rsidR="00960B02" w:rsidRPr="009F15E8">
        <w:rPr>
          <w:color w:val="000000" w:themeColor="text1"/>
          <w:sz w:val="24"/>
          <w:lang w:val="ro-RO"/>
        </w:rPr>
        <w:t>–</w:t>
      </w:r>
      <w:r w:rsidR="00960B02" w:rsidRPr="009F15E8">
        <w:rPr>
          <w:color w:val="000000" w:themeColor="text1"/>
          <w:sz w:val="24"/>
          <w:lang w:val="ro-RO"/>
        </w:rPr>
        <w:tab/>
        <w:t xml:space="preserve">Rezoluția Parlamentului European din 26 noiembrie 2024 referitoare la Decizia de punere în aplicare (UE) 2024/2627 a Comisiei de autorizare a introducerii pe piață a produselor care conțin, </w:t>
      </w:r>
      <w:r w:rsidR="00485543" w:rsidRPr="009F15E8">
        <w:rPr>
          <w:color w:val="000000" w:themeColor="text1"/>
          <w:sz w:val="24"/>
          <w:lang w:val="ro-RO"/>
        </w:rPr>
        <w:t>constau în</w:t>
      </w:r>
      <w:r w:rsidR="00960B02" w:rsidRPr="009F15E8">
        <w:rPr>
          <w:color w:val="000000" w:themeColor="text1"/>
          <w:sz w:val="24"/>
          <w:lang w:val="ro-RO"/>
        </w:rPr>
        <w:t xml:space="preserve"> sau </w:t>
      </w:r>
      <w:r w:rsidR="00485543" w:rsidRPr="009F15E8">
        <w:rPr>
          <w:color w:val="000000" w:themeColor="text1"/>
          <w:sz w:val="24"/>
          <w:lang w:val="ro-RO"/>
        </w:rPr>
        <w:t xml:space="preserve">sunt </w:t>
      </w:r>
      <w:r w:rsidR="00960B02" w:rsidRPr="009F15E8">
        <w:rPr>
          <w:color w:val="000000" w:themeColor="text1"/>
          <w:sz w:val="24"/>
          <w:lang w:val="ro-RO"/>
        </w:rPr>
        <w:t xml:space="preserve">fabricate din bumbac modificat genetic COT102 în temeiul Regulamentului (CE) nr. 1829/2003 al Parlamentului European și al Consiliului (JO C, C/2025/1798, 4.4.2025, ELI: </w:t>
      </w:r>
      <w:hyperlink r:id="rId6" w:history="1">
        <w:r w:rsidR="00B16394" w:rsidRPr="009F15E8">
          <w:rPr>
            <w:rStyle w:val="Hyperlink"/>
            <w:sz w:val="24"/>
            <w:lang w:val="ro-RO"/>
          </w:rPr>
          <w:t>http://data.europa.eu/eli/C/2025/1798/oj</w:t>
        </w:r>
      </w:hyperlink>
      <w:r w:rsidR="00960B02" w:rsidRPr="009F15E8">
        <w:rPr>
          <w:color w:val="000000" w:themeColor="text1"/>
          <w:sz w:val="24"/>
          <w:lang w:val="ro-RO"/>
        </w:rPr>
        <w:t>).</w:t>
      </w:r>
    </w:p>
    <w:p w14:paraId="29453590" w14:textId="58815821" w:rsidR="00960B02" w:rsidRPr="009F15E8" w:rsidRDefault="00F71325" w:rsidP="00F71325">
      <w:pPr>
        <w:pStyle w:val="FootnoteText"/>
        <w:ind w:left="567" w:hanging="567"/>
        <w:rPr>
          <w:color w:val="000000" w:themeColor="text1"/>
          <w:sz w:val="24"/>
          <w:vertAlign w:val="superscript"/>
          <w:lang w:val="ro-RO"/>
        </w:rPr>
      </w:pPr>
      <w:r w:rsidRPr="009F15E8">
        <w:rPr>
          <w:color w:val="000000" w:themeColor="text1"/>
          <w:sz w:val="24"/>
          <w:lang w:val="ro-RO"/>
        </w:rPr>
        <w:t xml:space="preserve"> </w:t>
      </w:r>
      <w:r w:rsidRPr="009F15E8">
        <w:rPr>
          <w:color w:val="000000" w:themeColor="text1"/>
          <w:sz w:val="24"/>
          <w:lang w:val="ro-RO"/>
        </w:rPr>
        <w:tab/>
      </w:r>
      <w:r w:rsidR="00960B02" w:rsidRPr="009F15E8">
        <w:rPr>
          <w:color w:val="000000" w:themeColor="text1"/>
          <w:sz w:val="24"/>
          <w:lang w:val="ro-RO"/>
        </w:rPr>
        <w:t>–</w:t>
      </w:r>
      <w:r w:rsidR="00960B02" w:rsidRPr="009F15E8">
        <w:rPr>
          <w:color w:val="000000" w:themeColor="text1"/>
          <w:sz w:val="24"/>
          <w:lang w:val="ro-RO"/>
        </w:rPr>
        <w:tab/>
        <w:t xml:space="preserve">Rezoluția Parlamentului European din 26 noiembrie 2024 referitoare la Decizia de punere în aplicare a Comisiei (UE) 2024/2629 </w:t>
      </w:r>
      <w:r w:rsidR="00485543" w:rsidRPr="009F15E8">
        <w:rPr>
          <w:color w:val="000000" w:themeColor="text1"/>
          <w:sz w:val="24"/>
          <w:lang w:val="ro-RO"/>
        </w:rPr>
        <w:t xml:space="preserve">de </w:t>
      </w:r>
      <w:r w:rsidR="00960B02" w:rsidRPr="009F15E8">
        <w:rPr>
          <w:color w:val="000000" w:themeColor="text1"/>
          <w:sz w:val="24"/>
          <w:lang w:val="ro-RO"/>
        </w:rPr>
        <w:t>reînnoire</w:t>
      </w:r>
      <w:r w:rsidR="00485543" w:rsidRPr="009F15E8">
        <w:rPr>
          <w:color w:val="000000" w:themeColor="text1"/>
          <w:sz w:val="24"/>
          <w:lang w:val="ro-RO"/>
        </w:rPr>
        <w:t xml:space="preserve"> </w:t>
      </w:r>
      <w:r w:rsidR="00960B02" w:rsidRPr="009F15E8">
        <w:rPr>
          <w:color w:val="000000" w:themeColor="text1"/>
          <w:sz w:val="24"/>
          <w:lang w:val="ro-RO"/>
        </w:rPr>
        <w:t xml:space="preserve">a autorizației </w:t>
      </w:r>
      <w:r w:rsidR="00485543" w:rsidRPr="009F15E8">
        <w:rPr>
          <w:color w:val="000000" w:themeColor="text1"/>
          <w:sz w:val="24"/>
          <w:lang w:val="ro-RO"/>
        </w:rPr>
        <w:t xml:space="preserve">de </w:t>
      </w:r>
      <w:r w:rsidR="00960B02" w:rsidRPr="009F15E8">
        <w:rPr>
          <w:color w:val="000000" w:themeColor="text1"/>
          <w:sz w:val="24"/>
          <w:lang w:val="ro-RO"/>
        </w:rPr>
        <w:t xml:space="preserve">introducerea pe piață a produselor care conțin, </w:t>
      </w:r>
      <w:r w:rsidR="00485543" w:rsidRPr="009F15E8">
        <w:rPr>
          <w:color w:val="000000" w:themeColor="text1"/>
          <w:sz w:val="24"/>
          <w:lang w:val="ro-RO"/>
        </w:rPr>
        <w:t>constau în</w:t>
      </w:r>
      <w:r w:rsidR="00960B02" w:rsidRPr="009F15E8">
        <w:rPr>
          <w:color w:val="000000" w:themeColor="text1"/>
          <w:sz w:val="24"/>
          <w:lang w:val="ro-RO"/>
        </w:rPr>
        <w:t xml:space="preserve"> sau </w:t>
      </w:r>
      <w:r w:rsidR="00485543" w:rsidRPr="009F15E8">
        <w:rPr>
          <w:color w:val="000000" w:themeColor="text1"/>
          <w:sz w:val="24"/>
          <w:lang w:val="ro-RO"/>
        </w:rPr>
        <w:t xml:space="preserve">sunt </w:t>
      </w:r>
      <w:r w:rsidR="00960B02" w:rsidRPr="009F15E8">
        <w:rPr>
          <w:color w:val="000000" w:themeColor="text1"/>
          <w:sz w:val="24"/>
          <w:lang w:val="ro-RO"/>
        </w:rPr>
        <w:t xml:space="preserve">fabricate din porumb modificat genetic MON 89034 × 1507 × MON 88017 × 59122 și opt dintre </w:t>
      </w:r>
      <w:proofErr w:type="spellStart"/>
      <w:r w:rsidR="00960B02" w:rsidRPr="009F15E8">
        <w:rPr>
          <w:color w:val="000000" w:themeColor="text1"/>
          <w:sz w:val="24"/>
          <w:lang w:val="ro-RO"/>
        </w:rPr>
        <w:t>subcombinațiile</w:t>
      </w:r>
      <w:proofErr w:type="spellEnd"/>
      <w:r w:rsidR="00960B02" w:rsidRPr="009F15E8">
        <w:rPr>
          <w:color w:val="000000" w:themeColor="text1"/>
          <w:sz w:val="24"/>
          <w:lang w:val="ro-RO"/>
        </w:rPr>
        <w:t xml:space="preserve"> acestuia, în temeiul Regulamentului (CE) nr. 1829/2003 al Parlamentului European și al Consiliului (JO C, C/2025/1799, 4.4.2025, ELI: </w:t>
      </w:r>
      <w:hyperlink r:id="rId7" w:history="1">
        <w:r w:rsidR="00960B02" w:rsidRPr="009F15E8">
          <w:rPr>
            <w:rStyle w:val="Hyperlink"/>
            <w:sz w:val="24"/>
            <w:lang w:val="ro-RO"/>
          </w:rPr>
          <w:t>http://data.europa.eu/eli/C/2025/1799/oj</w:t>
        </w:r>
      </w:hyperlink>
      <w:r w:rsidR="00960B02" w:rsidRPr="009F15E8">
        <w:rPr>
          <w:color w:val="000000" w:themeColor="text1"/>
          <w:sz w:val="24"/>
          <w:lang w:val="ro-RO"/>
        </w:rPr>
        <w:t>).</w:t>
      </w:r>
    </w:p>
    <w:p w14:paraId="5F24AAF4" w14:textId="3AFF69C1" w:rsidR="00960B02" w:rsidRPr="009F15E8" w:rsidRDefault="00F71325" w:rsidP="00F71325">
      <w:pPr>
        <w:pStyle w:val="FootnoteText"/>
        <w:ind w:left="567" w:hanging="567"/>
        <w:rPr>
          <w:color w:val="000000" w:themeColor="text1"/>
          <w:sz w:val="24"/>
          <w:vertAlign w:val="superscript"/>
          <w:lang w:val="ro-RO"/>
        </w:rPr>
      </w:pPr>
      <w:r w:rsidRPr="009F15E8">
        <w:rPr>
          <w:color w:val="000000" w:themeColor="text1"/>
          <w:sz w:val="24"/>
          <w:lang w:val="ro-RO"/>
        </w:rPr>
        <w:t xml:space="preserve"> </w:t>
      </w:r>
      <w:r w:rsidRPr="009F15E8">
        <w:rPr>
          <w:color w:val="000000" w:themeColor="text1"/>
          <w:sz w:val="24"/>
          <w:lang w:val="ro-RO"/>
        </w:rPr>
        <w:tab/>
      </w:r>
      <w:r w:rsidR="00960B02" w:rsidRPr="009F15E8">
        <w:rPr>
          <w:color w:val="000000" w:themeColor="text1"/>
          <w:sz w:val="24"/>
          <w:lang w:val="ro-RO"/>
        </w:rPr>
        <w:t>–</w:t>
      </w:r>
      <w:r w:rsidR="00960B02" w:rsidRPr="009F15E8">
        <w:rPr>
          <w:color w:val="000000" w:themeColor="text1"/>
          <w:sz w:val="24"/>
          <w:lang w:val="ro-RO"/>
        </w:rPr>
        <w:tab/>
        <w:t xml:space="preserve">Rezoluția Parlamentului European din 26 noiembrie 2024 referitoare la Decizia de punere în aplicare (UE) 2024/1828 a Comisiei de reînnoire a autorizației de introducere pe piață a furajelor care conțin, constau în sau sunt fabricate din produse alimentare și furaje fabricate din porumb modificat genetic MON 810 în temeiul Regulamentului (CE) nr. 1829/2003 al Parlamentului European și al Consiliului și de abrogare a Deciziei de punere în aplicare (UE) 2017/1207 a Comisiei (JO C, C/2025/1800, 4.4.2025, ELI: </w:t>
      </w:r>
      <w:hyperlink r:id="rId8" w:history="1">
        <w:r w:rsidR="00960B02" w:rsidRPr="009F15E8">
          <w:rPr>
            <w:rStyle w:val="Hyperlink"/>
            <w:sz w:val="24"/>
            <w:lang w:val="ro-RO"/>
          </w:rPr>
          <w:t>http://data.europa.eu/eli/C/2025/1800/oj</w:t>
        </w:r>
      </w:hyperlink>
      <w:r w:rsidR="00960B02" w:rsidRPr="009F15E8">
        <w:rPr>
          <w:color w:val="000000" w:themeColor="text1"/>
          <w:sz w:val="24"/>
          <w:lang w:val="ro-RO"/>
        </w:rPr>
        <w:t>).</w:t>
      </w:r>
    </w:p>
    <w:p w14:paraId="1CBF4416" w14:textId="751EDC7F" w:rsidR="00960B02" w:rsidRPr="009F15E8" w:rsidRDefault="00F71325" w:rsidP="00F71325">
      <w:pPr>
        <w:pStyle w:val="FootnoteText"/>
        <w:ind w:left="567" w:hanging="567"/>
        <w:rPr>
          <w:color w:val="000000" w:themeColor="text1"/>
          <w:sz w:val="24"/>
          <w:vertAlign w:val="superscript"/>
          <w:lang w:val="ro-RO"/>
        </w:rPr>
      </w:pPr>
      <w:r w:rsidRPr="009F15E8">
        <w:rPr>
          <w:color w:val="000000" w:themeColor="text1"/>
          <w:sz w:val="24"/>
          <w:lang w:val="ro-RO"/>
        </w:rPr>
        <w:t xml:space="preserve"> </w:t>
      </w:r>
      <w:r w:rsidRPr="009F15E8">
        <w:rPr>
          <w:color w:val="000000" w:themeColor="text1"/>
          <w:sz w:val="24"/>
          <w:lang w:val="ro-RO"/>
        </w:rPr>
        <w:tab/>
      </w:r>
      <w:r w:rsidR="00960B02" w:rsidRPr="009F15E8">
        <w:rPr>
          <w:color w:val="000000" w:themeColor="text1"/>
          <w:sz w:val="24"/>
          <w:lang w:val="ro-RO"/>
        </w:rPr>
        <w:t>–</w:t>
      </w:r>
      <w:r w:rsidR="00960B02" w:rsidRPr="009F15E8">
        <w:rPr>
          <w:color w:val="000000" w:themeColor="text1"/>
          <w:sz w:val="24"/>
          <w:lang w:val="ro-RO"/>
        </w:rPr>
        <w:tab/>
        <w:t xml:space="preserve">Rezoluția Parlamentului European din 26 noiembrie 2024 referitoare la Decizia de punere în aplicare (UE) 2024/1822 a Comisiei de autorizare a introducerii pe piață a produselor care conțin, </w:t>
      </w:r>
      <w:r w:rsidR="001F19F4" w:rsidRPr="009F15E8">
        <w:rPr>
          <w:color w:val="000000" w:themeColor="text1"/>
          <w:sz w:val="24"/>
          <w:lang w:val="ro-RO"/>
        </w:rPr>
        <w:t>constau în</w:t>
      </w:r>
      <w:r w:rsidR="00960B02" w:rsidRPr="009F15E8">
        <w:rPr>
          <w:color w:val="000000" w:themeColor="text1"/>
          <w:sz w:val="24"/>
          <w:lang w:val="ro-RO"/>
        </w:rPr>
        <w:t xml:space="preserve"> sau </w:t>
      </w:r>
      <w:r w:rsidR="001F19F4" w:rsidRPr="009F15E8">
        <w:rPr>
          <w:color w:val="000000" w:themeColor="text1"/>
          <w:sz w:val="24"/>
          <w:lang w:val="ro-RO"/>
        </w:rPr>
        <w:t xml:space="preserve">sunt </w:t>
      </w:r>
      <w:r w:rsidR="00960B02" w:rsidRPr="009F15E8">
        <w:rPr>
          <w:color w:val="000000" w:themeColor="text1"/>
          <w:sz w:val="24"/>
          <w:lang w:val="ro-RO"/>
        </w:rPr>
        <w:t>fabricate din porumb</w:t>
      </w:r>
      <w:r w:rsidR="001F19F4" w:rsidRPr="009F15E8">
        <w:rPr>
          <w:color w:val="000000" w:themeColor="text1"/>
          <w:sz w:val="24"/>
          <w:lang w:val="ro-RO"/>
        </w:rPr>
        <w:t>ul</w:t>
      </w:r>
      <w:r w:rsidR="00960B02" w:rsidRPr="009F15E8">
        <w:rPr>
          <w:color w:val="000000" w:themeColor="text1"/>
          <w:sz w:val="24"/>
          <w:lang w:val="ro-RO"/>
        </w:rPr>
        <w:t xml:space="preserve"> modificat genetic DP915635 în temeiul Regulamentului (CE) nr. 1829/2003 al Parlamentului European și al Consiliului (JO C, C/2025/1801, 4.4.2025, ELI: </w:t>
      </w:r>
      <w:hyperlink r:id="rId9" w:history="1">
        <w:r w:rsidR="00960B02" w:rsidRPr="009F15E8">
          <w:rPr>
            <w:rStyle w:val="Hyperlink"/>
            <w:sz w:val="24"/>
            <w:lang w:val="ro-RO"/>
          </w:rPr>
          <w:t>http://data.europa.eu/eli/C/2025/1801/oj</w:t>
        </w:r>
      </w:hyperlink>
      <w:r w:rsidR="00960B02" w:rsidRPr="009F15E8">
        <w:rPr>
          <w:color w:val="000000" w:themeColor="text1"/>
          <w:sz w:val="24"/>
          <w:lang w:val="ro-RO"/>
        </w:rPr>
        <w:t>).</w:t>
      </w:r>
    </w:p>
    <w:p w14:paraId="70A3B39D" w14:textId="3BFDDB17" w:rsidR="00960B02" w:rsidRPr="009F15E8" w:rsidRDefault="00F71325" w:rsidP="00F71325">
      <w:pPr>
        <w:pStyle w:val="FootnoteText"/>
        <w:ind w:left="567" w:hanging="567"/>
        <w:rPr>
          <w:color w:val="000000" w:themeColor="text1"/>
          <w:sz w:val="24"/>
          <w:vertAlign w:val="superscript"/>
          <w:lang w:val="ro-RO"/>
        </w:rPr>
      </w:pPr>
      <w:r w:rsidRPr="009F15E8">
        <w:rPr>
          <w:color w:val="000000" w:themeColor="text1"/>
          <w:sz w:val="24"/>
          <w:lang w:val="ro-RO"/>
        </w:rPr>
        <w:t xml:space="preserve"> </w:t>
      </w:r>
      <w:r w:rsidRPr="009F15E8">
        <w:rPr>
          <w:color w:val="000000" w:themeColor="text1"/>
          <w:sz w:val="24"/>
          <w:lang w:val="ro-RO"/>
        </w:rPr>
        <w:tab/>
      </w:r>
      <w:r w:rsidR="00960B02" w:rsidRPr="009F15E8">
        <w:rPr>
          <w:color w:val="000000" w:themeColor="text1"/>
          <w:sz w:val="24"/>
          <w:lang w:val="ro-RO"/>
        </w:rPr>
        <w:t>–</w:t>
      </w:r>
      <w:r w:rsidR="00960B02" w:rsidRPr="009F15E8">
        <w:rPr>
          <w:color w:val="000000" w:themeColor="text1"/>
          <w:sz w:val="24"/>
          <w:lang w:val="ro-RO"/>
        </w:rPr>
        <w:tab/>
        <w:t xml:space="preserve">Rezoluția Parlamentului European din 26 noiembrie 2024 referitoare la Decizia de punere în aplicare (UE) 2024/1826 a Comisiei de autorizare a introducerii pe piață a produselor care conțin, </w:t>
      </w:r>
      <w:r w:rsidR="000C6D71" w:rsidRPr="009F15E8">
        <w:rPr>
          <w:color w:val="000000" w:themeColor="text1"/>
          <w:sz w:val="24"/>
          <w:lang w:val="ro-RO"/>
        </w:rPr>
        <w:t>constau în</w:t>
      </w:r>
      <w:r w:rsidR="00960B02" w:rsidRPr="009F15E8">
        <w:rPr>
          <w:color w:val="000000" w:themeColor="text1"/>
          <w:sz w:val="24"/>
          <w:lang w:val="ro-RO"/>
        </w:rPr>
        <w:t xml:space="preserve"> sau </w:t>
      </w:r>
      <w:r w:rsidR="000C6D71" w:rsidRPr="009F15E8">
        <w:rPr>
          <w:color w:val="000000" w:themeColor="text1"/>
          <w:sz w:val="24"/>
          <w:lang w:val="ro-RO"/>
        </w:rPr>
        <w:t xml:space="preserve">sunt </w:t>
      </w:r>
      <w:r w:rsidR="00960B02" w:rsidRPr="009F15E8">
        <w:rPr>
          <w:color w:val="000000" w:themeColor="text1"/>
          <w:sz w:val="24"/>
          <w:lang w:val="ro-RO"/>
        </w:rPr>
        <w:t xml:space="preserve">fabricate din porumb modificat genetic DP23211 în temeiul Regulamentului (CE) nr. 1829/2003 al Parlamentului European și al Consiliului (JO C, C/2025/1802, 4.4.2025, ELI: </w:t>
      </w:r>
      <w:hyperlink r:id="rId10" w:history="1">
        <w:r w:rsidR="00960B02" w:rsidRPr="009F15E8">
          <w:rPr>
            <w:rStyle w:val="Hyperlink"/>
            <w:sz w:val="24"/>
            <w:lang w:val="ro-RO"/>
          </w:rPr>
          <w:t>http://data.europa.eu/eli/C/2025/1802/oj</w:t>
        </w:r>
      </w:hyperlink>
      <w:r w:rsidR="00960B02" w:rsidRPr="009F15E8">
        <w:rPr>
          <w:color w:val="000000" w:themeColor="text1"/>
          <w:sz w:val="24"/>
          <w:lang w:val="ro-RO"/>
        </w:rPr>
        <w:t>).</w:t>
      </w:r>
    </w:p>
    <w:p w14:paraId="532E9402" w14:textId="7E914C42" w:rsidR="00960B02" w:rsidRPr="009F15E8" w:rsidRDefault="00F71325" w:rsidP="00F71325">
      <w:pPr>
        <w:pStyle w:val="FootnoteText"/>
        <w:ind w:left="567" w:hanging="567"/>
        <w:rPr>
          <w:color w:val="000000" w:themeColor="text1"/>
          <w:sz w:val="24"/>
          <w:vertAlign w:val="superscript"/>
          <w:lang w:val="ro-RO"/>
        </w:rPr>
      </w:pPr>
      <w:r w:rsidRPr="009F15E8">
        <w:rPr>
          <w:color w:val="000000" w:themeColor="text1"/>
          <w:sz w:val="24"/>
          <w:lang w:val="ro-RO"/>
        </w:rPr>
        <w:t xml:space="preserve"> </w:t>
      </w:r>
      <w:r w:rsidRPr="009F15E8">
        <w:rPr>
          <w:color w:val="000000" w:themeColor="text1"/>
          <w:sz w:val="24"/>
          <w:lang w:val="ro-RO"/>
        </w:rPr>
        <w:tab/>
      </w:r>
      <w:r w:rsidR="00960B02" w:rsidRPr="009F15E8">
        <w:rPr>
          <w:color w:val="000000" w:themeColor="text1"/>
          <w:sz w:val="24"/>
          <w:lang w:val="ro-RO"/>
        </w:rPr>
        <w:t>–</w:t>
      </w:r>
      <w:r w:rsidR="00960B02" w:rsidRPr="009F15E8">
        <w:rPr>
          <w:color w:val="000000" w:themeColor="text1"/>
          <w:sz w:val="24"/>
          <w:lang w:val="ro-RO"/>
        </w:rPr>
        <w:tab/>
        <w:t xml:space="preserve">Rezoluția Parlamentului European din 26 noiembrie 2024 referitoare la Decizia de punere în aplicare (UE) 2024/2618 a Comisiei de autorizare a introducerii pe piață a produselor care conțin, constau în sau sunt fabricate din porumb modificat genetic DP202216, în temeiul Regulamentului (CE) nr. 1829/2003 al Parlamentului European și al Consiliului (JO C, C/2025/1803, 4.4.2025, ELI:  </w:t>
      </w:r>
      <w:hyperlink r:id="rId11" w:history="1">
        <w:r w:rsidR="00960B02" w:rsidRPr="009F15E8">
          <w:rPr>
            <w:rStyle w:val="Hyperlink"/>
            <w:sz w:val="24"/>
            <w:lang w:val="ro-RO"/>
          </w:rPr>
          <w:t>http://data.europa.eu/eli/C/2025/1803/oj</w:t>
        </w:r>
      </w:hyperlink>
      <w:r w:rsidR="00960B02" w:rsidRPr="009F15E8">
        <w:rPr>
          <w:color w:val="000000" w:themeColor="text1"/>
          <w:sz w:val="24"/>
          <w:lang w:val="ro-RO"/>
        </w:rPr>
        <w:t>).</w:t>
      </w:r>
    </w:p>
    <w:p w14:paraId="3CF0E1E0" w14:textId="14CACB03" w:rsidR="00960B02" w:rsidRPr="009F15E8" w:rsidRDefault="00F71325" w:rsidP="00F71325">
      <w:pPr>
        <w:pStyle w:val="FootnoteText"/>
        <w:ind w:left="567" w:hanging="567"/>
        <w:rPr>
          <w:color w:val="000000" w:themeColor="text1"/>
          <w:sz w:val="24"/>
          <w:vertAlign w:val="superscript"/>
          <w:lang w:val="ro-RO"/>
        </w:rPr>
      </w:pPr>
      <w:r w:rsidRPr="009F15E8">
        <w:rPr>
          <w:color w:val="000000" w:themeColor="text1"/>
          <w:sz w:val="24"/>
          <w:lang w:val="ro-RO"/>
        </w:rPr>
        <w:t xml:space="preserve"> </w:t>
      </w:r>
      <w:r w:rsidRPr="009F15E8">
        <w:rPr>
          <w:color w:val="000000" w:themeColor="text1"/>
          <w:sz w:val="24"/>
          <w:lang w:val="ro-RO"/>
        </w:rPr>
        <w:tab/>
      </w:r>
      <w:r w:rsidR="00960B02" w:rsidRPr="009F15E8">
        <w:rPr>
          <w:color w:val="000000" w:themeColor="text1"/>
          <w:sz w:val="24"/>
          <w:lang w:val="ro-RO"/>
        </w:rPr>
        <w:t>–</w:t>
      </w:r>
      <w:r w:rsidR="00960B02" w:rsidRPr="009F15E8">
        <w:rPr>
          <w:color w:val="000000" w:themeColor="text1"/>
          <w:sz w:val="24"/>
          <w:lang w:val="ro-RO"/>
        </w:rPr>
        <w:tab/>
        <w:t xml:space="preserve">Rezoluția Parlamentului European din 26 noiembrie 2024 referitoare la proiectul de decizie de punere în aplicare a Comisiei de autorizare a introducerii pe piață a produselor care conțin, </w:t>
      </w:r>
      <w:r w:rsidR="00D55E96" w:rsidRPr="009F15E8">
        <w:rPr>
          <w:color w:val="000000" w:themeColor="text1"/>
          <w:sz w:val="24"/>
          <w:lang w:val="ro-RO"/>
        </w:rPr>
        <w:t>constau în</w:t>
      </w:r>
      <w:r w:rsidR="00960B02" w:rsidRPr="009F15E8">
        <w:rPr>
          <w:color w:val="000000" w:themeColor="text1"/>
          <w:sz w:val="24"/>
          <w:lang w:val="ro-RO"/>
        </w:rPr>
        <w:t xml:space="preserve"> sau </w:t>
      </w:r>
      <w:r w:rsidR="00D55E96" w:rsidRPr="009F15E8">
        <w:rPr>
          <w:color w:val="000000" w:themeColor="text1"/>
          <w:sz w:val="24"/>
          <w:lang w:val="ro-RO"/>
        </w:rPr>
        <w:t xml:space="preserve">sunt </w:t>
      </w:r>
      <w:r w:rsidR="00960B02" w:rsidRPr="009F15E8">
        <w:rPr>
          <w:color w:val="000000" w:themeColor="text1"/>
          <w:sz w:val="24"/>
          <w:lang w:val="ro-RO"/>
        </w:rPr>
        <w:t xml:space="preserve">fabricate din porumb modificat genetic MON 94804, în temeiul Regulamentului (CE) nr. 1829/2003 al Parlamentului European și al Consiliului (JO C, C/2025/1804, 4.4.2025, ELI:  </w:t>
      </w:r>
      <w:hyperlink r:id="rId12" w:history="1">
        <w:r w:rsidR="00960B02" w:rsidRPr="009F15E8">
          <w:rPr>
            <w:rStyle w:val="Hyperlink"/>
            <w:sz w:val="24"/>
            <w:lang w:val="ro-RO"/>
          </w:rPr>
          <w:t>http://data.europa.eu/eli/C/2025/1804/oj</w:t>
        </w:r>
      </w:hyperlink>
      <w:r w:rsidR="00960B02" w:rsidRPr="009F15E8">
        <w:rPr>
          <w:color w:val="000000" w:themeColor="text1"/>
          <w:sz w:val="24"/>
          <w:lang w:val="ro-RO"/>
        </w:rPr>
        <w:t>).</w:t>
      </w:r>
    </w:p>
    <w:p w14:paraId="00161D5B" w14:textId="32EB852F" w:rsidR="00960B02" w:rsidRPr="009F15E8" w:rsidRDefault="00F71325" w:rsidP="00F71325">
      <w:pPr>
        <w:pStyle w:val="FootnoteText"/>
        <w:ind w:left="567" w:hanging="567"/>
        <w:rPr>
          <w:sz w:val="24"/>
          <w:vertAlign w:val="superscript"/>
          <w:lang w:val="ro-RO"/>
        </w:rPr>
      </w:pPr>
      <w:r w:rsidRPr="009F15E8">
        <w:rPr>
          <w:color w:val="000000" w:themeColor="text1"/>
          <w:sz w:val="24"/>
          <w:lang w:val="ro-RO"/>
        </w:rPr>
        <w:t xml:space="preserve"> </w:t>
      </w:r>
      <w:r w:rsidRPr="009F15E8">
        <w:rPr>
          <w:color w:val="000000" w:themeColor="text1"/>
          <w:sz w:val="24"/>
          <w:lang w:val="ro-RO"/>
        </w:rPr>
        <w:tab/>
      </w:r>
      <w:r w:rsidR="00960B02" w:rsidRPr="009F15E8">
        <w:rPr>
          <w:color w:val="000000" w:themeColor="text1"/>
          <w:sz w:val="24"/>
          <w:lang w:val="ro-RO"/>
        </w:rPr>
        <w:t>–</w:t>
      </w:r>
      <w:r w:rsidR="00960B02" w:rsidRPr="009F15E8">
        <w:rPr>
          <w:color w:val="000000" w:themeColor="text1"/>
          <w:sz w:val="24"/>
          <w:lang w:val="ro-RO"/>
        </w:rPr>
        <w:tab/>
      </w:r>
      <w:r w:rsidR="00960B02" w:rsidRPr="009F15E8">
        <w:rPr>
          <w:sz w:val="24"/>
          <w:lang w:val="ro-RO"/>
        </w:rPr>
        <w:t xml:space="preserve">Rezoluția Parlamentului European din 12 februarie 2025 referitoare la proiectul de decizie de punere în aplicare a Comisiei de autorizare a introducerii pe piață a produselor care conțin, sunt compuse sau fabricate din porumb modificat genetic DP910521, în temeiul Regulamentului (CE) nr. 1829/2003 al Parlamentului European și al Consiliului (JO C, C/2025/2246, 29.4.2025, ELI: </w:t>
      </w:r>
      <w:hyperlink r:id="rId13" w:tooltip="Oferă acces la acest document prin intermediul adresei URI a identificatorului său european de legislație (ELI)." w:history="1">
        <w:r w:rsidR="00960B02" w:rsidRPr="009F15E8">
          <w:rPr>
            <w:rStyle w:val="Hyperlink"/>
            <w:sz w:val="24"/>
            <w:lang w:val="ro-RO"/>
          </w:rPr>
          <w:t>http://data.europa.eu/eli/C/2025/2246/oj</w:t>
        </w:r>
      </w:hyperlink>
      <w:r w:rsidR="00960B02" w:rsidRPr="009F15E8">
        <w:rPr>
          <w:sz w:val="24"/>
          <w:lang w:val="ro-RO"/>
        </w:rPr>
        <w:t>).</w:t>
      </w:r>
    </w:p>
    <w:p w14:paraId="6B70CA67" w14:textId="10612A74" w:rsidR="00960B02" w:rsidRPr="009F15E8" w:rsidRDefault="00F71325" w:rsidP="00F71325">
      <w:pPr>
        <w:pStyle w:val="FootnoteText"/>
        <w:ind w:left="567" w:hanging="567"/>
        <w:rPr>
          <w:sz w:val="24"/>
          <w:vertAlign w:val="superscript"/>
          <w:lang w:val="ro-RO"/>
        </w:rPr>
      </w:pPr>
      <w:r w:rsidRPr="009F15E8">
        <w:rPr>
          <w:sz w:val="24"/>
          <w:lang w:val="ro-RO"/>
        </w:rPr>
        <w:t xml:space="preserve"> </w:t>
      </w:r>
      <w:r w:rsidRPr="009F15E8">
        <w:rPr>
          <w:sz w:val="24"/>
          <w:lang w:val="ro-RO"/>
        </w:rPr>
        <w:tab/>
      </w:r>
      <w:r w:rsidR="00960B02" w:rsidRPr="009F15E8">
        <w:rPr>
          <w:sz w:val="24"/>
          <w:lang w:val="ro-RO"/>
        </w:rPr>
        <w:t>–</w:t>
      </w:r>
      <w:r w:rsidR="00960B02" w:rsidRPr="009F15E8">
        <w:rPr>
          <w:sz w:val="24"/>
          <w:lang w:val="ro-RO"/>
        </w:rPr>
        <w:tab/>
        <w:t xml:space="preserve">Rezoluția Parlamentului European din 12 februarie 2025 referitoare la proiectul de decizie de punere în aplicare a Comisiei de autorizare a introducerii pe piață a produselor care conțin, sunt compuse sau fabricate din porumb modificat genetic MON 95275, în temeiul Regulamentului (CE) nr. 1829/2003 al Parlamentului European și al Consiliului (JO C, C/2025/2247, 29.4.2025, ELI: </w:t>
      </w:r>
      <w:hyperlink r:id="rId14" w:tooltip="Oferă acces la acest document prin intermediul adresei URI a identificatorului său european de legislație (ELI)." w:history="1">
        <w:r w:rsidR="00960B02" w:rsidRPr="009F15E8">
          <w:rPr>
            <w:rStyle w:val="Hyperlink"/>
            <w:sz w:val="24"/>
            <w:lang w:val="ro-RO"/>
          </w:rPr>
          <w:t>http://data.europa.eu/eli/C/2025/2247/oj</w:t>
        </w:r>
      </w:hyperlink>
      <w:r w:rsidR="00960B02" w:rsidRPr="009F15E8">
        <w:rPr>
          <w:sz w:val="24"/>
          <w:lang w:val="ro-RO"/>
        </w:rPr>
        <w:t>).</w:t>
      </w:r>
    </w:p>
    <w:p w14:paraId="6111C0E9" w14:textId="7AA65777" w:rsidR="00960B02" w:rsidRPr="009F15E8" w:rsidRDefault="00F71325" w:rsidP="00F71325">
      <w:pPr>
        <w:pStyle w:val="FootnoteText"/>
        <w:ind w:left="567" w:hanging="567"/>
        <w:rPr>
          <w:sz w:val="24"/>
          <w:lang w:val="ro-RO"/>
        </w:rPr>
      </w:pPr>
      <w:r w:rsidRPr="009F15E8">
        <w:rPr>
          <w:sz w:val="24"/>
          <w:lang w:val="ro-RO"/>
        </w:rPr>
        <w:t xml:space="preserve"> </w:t>
      </w:r>
      <w:r w:rsidRPr="009F15E8">
        <w:rPr>
          <w:sz w:val="24"/>
          <w:lang w:val="ro-RO"/>
        </w:rPr>
        <w:tab/>
      </w:r>
      <w:r w:rsidR="00960B02" w:rsidRPr="009F15E8">
        <w:rPr>
          <w:sz w:val="24"/>
          <w:lang w:val="ro-RO"/>
        </w:rPr>
        <w:t>–</w:t>
      </w:r>
      <w:r w:rsidR="00960B02" w:rsidRPr="009F15E8">
        <w:rPr>
          <w:sz w:val="24"/>
          <w:lang w:val="ro-RO"/>
        </w:rPr>
        <w:tab/>
        <w:t>Rezoluția Parlamentului European din 8 mai 2025 referitoare la proiectul de decizie de punere în aplicare a Comisiei de autorizare a introducerii pe piață a produselor care conțin, constau în sau sunt fabricate din soia modificată genetic MON 87705 × MON 87708 × MON 89788, în temeiul Regulamentului (CE) nr. 1829/2003 al Parlamentului European și al Consiliului (P10_TA(2025)0106).</w:t>
      </w:r>
    </w:p>
  </w:footnote>
  <w:footnote w:id="6">
    <w:p w14:paraId="01229D10" w14:textId="4881C148" w:rsidR="00960B02" w:rsidRPr="009F15E8" w:rsidRDefault="00960B02" w:rsidP="00F71325">
      <w:pPr>
        <w:pStyle w:val="FootnoteText"/>
        <w:ind w:left="567" w:hanging="567"/>
        <w:rPr>
          <w:sz w:val="24"/>
          <w:lang w:val="ro-RO"/>
        </w:rPr>
      </w:pPr>
      <w:r w:rsidRPr="009F15E8">
        <w:rPr>
          <w:rStyle w:val="FootnoteReference"/>
          <w:sz w:val="24"/>
          <w:lang w:val="ro-RO"/>
        </w:rPr>
        <w:footnoteRef/>
      </w:r>
      <w:r w:rsidR="00F71325" w:rsidRPr="009F15E8">
        <w:rPr>
          <w:sz w:val="24"/>
          <w:lang w:val="ro-RO"/>
        </w:rPr>
        <w:t xml:space="preserve"> </w:t>
      </w:r>
      <w:r w:rsidR="00F71325" w:rsidRPr="009F15E8">
        <w:rPr>
          <w:sz w:val="24"/>
          <w:lang w:val="ro-RO"/>
        </w:rPr>
        <w:tab/>
      </w:r>
      <w:r w:rsidRPr="009F15E8">
        <w:rPr>
          <w:sz w:val="24"/>
          <w:lang w:val="ro-RO"/>
        </w:rPr>
        <w:t>Regulamentul (CE) nr. 1107/2009 al Parlamentului European și al Consiliului din 21 octombrie 2009 privind introducerea pe piață a produselor fitosanitare și de abrogare a Directivelor 79/117/CEE și 91/414/CEE ale Consiliului (JO L 309, 24.11.2009, p. </w:t>
      </w:r>
      <w:r w:rsidRPr="009F15E8">
        <w:rPr>
          <w:sz w:val="24"/>
          <w:lang w:val="ro-RO"/>
        </w:rPr>
        <w:t xml:space="preserve">1, ELI:  </w:t>
      </w:r>
      <w:hyperlink r:id="rId15" w:tooltip="Oferă acces la acest document prin intermediul adresei URI a identificatorului său european de legislație (ELI)." w:history="1">
        <w:r w:rsidRPr="009F15E8">
          <w:rPr>
            <w:rStyle w:val="Hyperlink"/>
            <w:sz w:val="24"/>
            <w:lang w:val="ro-RO"/>
          </w:rPr>
          <w:t>http://data.europa.eu/eli/reg/2009/1107/oj</w:t>
        </w:r>
      </w:hyperlink>
      <w:r w:rsidRPr="009F15E8">
        <w:rPr>
          <w:sz w:val="24"/>
          <w:lang w:val="ro-RO"/>
        </w:rPr>
        <w:t>).</w:t>
      </w:r>
    </w:p>
  </w:footnote>
  <w:footnote w:id="7">
    <w:p w14:paraId="27F0304D" w14:textId="442E765E" w:rsidR="00960B02" w:rsidRPr="009F15E8" w:rsidRDefault="00960B02" w:rsidP="00F71325">
      <w:pPr>
        <w:pStyle w:val="FootnoteText"/>
        <w:ind w:left="567" w:hanging="567"/>
        <w:rPr>
          <w:sz w:val="24"/>
          <w:lang w:val="ro-RO"/>
        </w:rPr>
      </w:pPr>
      <w:r w:rsidRPr="009F15E8">
        <w:rPr>
          <w:rStyle w:val="FootnoteReference"/>
          <w:sz w:val="24"/>
          <w:lang w:val="ro-RO"/>
        </w:rPr>
        <w:footnoteRef/>
      </w:r>
      <w:r w:rsidR="00F71325" w:rsidRPr="009F15E8">
        <w:rPr>
          <w:sz w:val="24"/>
          <w:lang w:val="ro-RO"/>
        </w:rPr>
        <w:t xml:space="preserve"> </w:t>
      </w:r>
      <w:r w:rsidR="00F71325" w:rsidRPr="009F15E8">
        <w:rPr>
          <w:sz w:val="24"/>
          <w:lang w:val="ro-RO"/>
        </w:rPr>
        <w:tab/>
      </w:r>
      <w:hyperlink r:id="rId16" w:history="1">
        <w:r w:rsidRPr="009F15E8">
          <w:rPr>
            <w:rStyle w:val="Hyperlink"/>
            <w:sz w:val="24"/>
            <w:lang w:val="ro-RO"/>
          </w:rPr>
          <w:t>https://www.testbiotech.org/wp-content/uploads/2024/12/Testbiotech_comment_‌maize_DP51291.pdf</w:t>
        </w:r>
      </w:hyperlink>
      <w:r w:rsidRPr="009F15E8">
        <w:rPr>
          <w:sz w:val="24"/>
          <w:lang w:val="ro-RO"/>
        </w:rPr>
        <w:t>.</w:t>
      </w:r>
    </w:p>
  </w:footnote>
  <w:footnote w:id="8">
    <w:p w14:paraId="4479CA5F" w14:textId="35EF53E0" w:rsidR="00960B02" w:rsidRPr="009F15E8" w:rsidRDefault="00960B02" w:rsidP="00F71325">
      <w:pPr>
        <w:pStyle w:val="FootnoteText"/>
        <w:ind w:left="567" w:hanging="567"/>
        <w:rPr>
          <w:sz w:val="24"/>
          <w:lang w:val="ro-RO"/>
        </w:rPr>
      </w:pPr>
      <w:r w:rsidRPr="009F15E8">
        <w:rPr>
          <w:rStyle w:val="FootnoteReference"/>
          <w:sz w:val="24"/>
          <w:lang w:val="ro-RO"/>
        </w:rPr>
        <w:footnoteRef/>
      </w:r>
      <w:r w:rsidR="00F71325" w:rsidRPr="009F15E8">
        <w:rPr>
          <w:sz w:val="24"/>
          <w:lang w:val="ro-RO"/>
        </w:rPr>
        <w:t xml:space="preserve"> </w:t>
      </w:r>
      <w:r w:rsidR="00F71325" w:rsidRPr="009F15E8">
        <w:rPr>
          <w:sz w:val="24"/>
          <w:lang w:val="ro-RO"/>
        </w:rPr>
        <w:tab/>
      </w:r>
      <w:r w:rsidRPr="009F15E8">
        <w:rPr>
          <w:sz w:val="24"/>
          <w:lang w:val="ro-RO"/>
        </w:rPr>
        <w:t>Regulamentul de punere în aplicare (UE) nr. 503/2013 al Comisiei din 3 aprilie 2013 privind cererile de autorizare a alimentelor și furajelor modificate genetic în conformitate cu Regulamentul (CE) nr. 1829/2003 al Parlamentului European și al Consiliului și de modificare a Regulamentelor (CE) nr. 641/2004 și (CE) nr. 1981/2006 ale Comisiei (JO L 157, 8.6.2013, p. </w:t>
      </w:r>
      <w:r w:rsidRPr="009F15E8">
        <w:rPr>
          <w:sz w:val="24"/>
          <w:lang w:val="ro-RO"/>
        </w:rPr>
        <w:t xml:space="preserve">1, ELI:  </w:t>
      </w:r>
      <w:hyperlink r:id="rId17" w:history="1">
        <w:r w:rsidRPr="009F15E8">
          <w:rPr>
            <w:rStyle w:val="Hyperlink"/>
            <w:sz w:val="24"/>
            <w:lang w:val="ro-RO"/>
          </w:rPr>
          <w:t>http://data.europa.eu/eli/reg_impl/2013/503/oj</w:t>
        </w:r>
      </w:hyperlink>
      <w:r w:rsidRPr="009F15E8">
        <w:rPr>
          <w:sz w:val="24"/>
          <w:lang w:val="ro-RO"/>
        </w:rPr>
        <w:t>).</w:t>
      </w:r>
    </w:p>
  </w:footnote>
  <w:footnote w:id="9">
    <w:p w14:paraId="0F558009" w14:textId="59C5EBCC" w:rsidR="00960B02" w:rsidRPr="009F15E8" w:rsidRDefault="00960B02" w:rsidP="00F71325">
      <w:pPr>
        <w:pStyle w:val="FootnoteText"/>
        <w:ind w:left="567" w:hanging="567"/>
        <w:rPr>
          <w:sz w:val="24"/>
          <w:lang w:val="ro-RO"/>
        </w:rPr>
      </w:pPr>
      <w:r w:rsidRPr="009F15E8">
        <w:rPr>
          <w:rStyle w:val="FootnoteReference"/>
          <w:sz w:val="24"/>
          <w:lang w:val="ro-RO"/>
        </w:rPr>
        <w:footnoteRef/>
      </w:r>
      <w:r w:rsidR="00F71325" w:rsidRPr="009F15E8">
        <w:rPr>
          <w:sz w:val="24"/>
          <w:lang w:val="ro-RO"/>
        </w:rPr>
        <w:t xml:space="preserve"> </w:t>
      </w:r>
      <w:r w:rsidR="00F71325" w:rsidRPr="009F15E8">
        <w:rPr>
          <w:sz w:val="24"/>
          <w:lang w:val="ro-RO"/>
        </w:rPr>
        <w:tab/>
      </w:r>
      <w:proofErr w:type="spellStart"/>
      <w:r w:rsidRPr="009F15E8">
        <w:rPr>
          <w:sz w:val="24"/>
          <w:lang w:val="ro-RO"/>
        </w:rPr>
        <w:t>Trtikova</w:t>
      </w:r>
      <w:proofErr w:type="spellEnd"/>
      <w:r w:rsidRPr="009F15E8">
        <w:rPr>
          <w:sz w:val="24"/>
          <w:lang w:val="ro-RO"/>
        </w:rPr>
        <w:t xml:space="preserve">, M., </w:t>
      </w:r>
      <w:proofErr w:type="spellStart"/>
      <w:r w:rsidRPr="009F15E8">
        <w:rPr>
          <w:sz w:val="24"/>
          <w:lang w:val="ro-RO"/>
        </w:rPr>
        <w:t>Wikmark</w:t>
      </w:r>
      <w:proofErr w:type="spellEnd"/>
      <w:r w:rsidRPr="009F15E8">
        <w:rPr>
          <w:sz w:val="24"/>
          <w:lang w:val="ro-RO"/>
        </w:rPr>
        <w:t xml:space="preserve"> O. G., </w:t>
      </w:r>
      <w:proofErr w:type="spellStart"/>
      <w:r w:rsidRPr="009F15E8">
        <w:rPr>
          <w:sz w:val="24"/>
          <w:lang w:val="ro-RO"/>
        </w:rPr>
        <w:t>Zemp</w:t>
      </w:r>
      <w:proofErr w:type="spellEnd"/>
      <w:r w:rsidRPr="009F15E8">
        <w:rPr>
          <w:sz w:val="24"/>
          <w:lang w:val="ro-RO"/>
        </w:rPr>
        <w:t xml:space="preserve">, N., Widmer, A., </w:t>
      </w:r>
      <w:proofErr w:type="spellStart"/>
      <w:r w:rsidRPr="009F15E8">
        <w:rPr>
          <w:sz w:val="24"/>
          <w:lang w:val="ro-RO"/>
        </w:rPr>
        <w:t>Hilbeck</w:t>
      </w:r>
      <w:proofErr w:type="spellEnd"/>
      <w:r w:rsidRPr="009F15E8">
        <w:rPr>
          <w:sz w:val="24"/>
          <w:lang w:val="ro-RO"/>
        </w:rPr>
        <w:t>, A., (2015) ‘</w:t>
      </w:r>
      <w:proofErr w:type="spellStart"/>
      <w:r w:rsidRPr="009F15E8">
        <w:rPr>
          <w:sz w:val="24"/>
          <w:lang w:val="ro-RO"/>
        </w:rPr>
        <w:t>Transgene</w:t>
      </w:r>
      <w:proofErr w:type="spellEnd"/>
      <w:r w:rsidRPr="009F15E8">
        <w:rPr>
          <w:sz w:val="24"/>
          <w:lang w:val="ro-RO"/>
        </w:rPr>
        <w:t xml:space="preserve"> </w:t>
      </w:r>
      <w:proofErr w:type="spellStart"/>
      <w:r w:rsidRPr="009F15E8">
        <w:rPr>
          <w:sz w:val="24"/>
          <w:lang w:val="ro-RO"/>
        </w:rPr>
        <w:t>Expression</w:t>
      </w:r>
      <w:proofErr w:type="spellEnd"/>
      <w:r w:rsidRPr="009F15E8">
        <w:rPr>
          <w:sz w:val="24"/>
          <w:lang w:val="ro-RO"/>
        </w:rPr>
        <w:t xml:space="preserve"> </w:t>
      </w:r>
      <w:proofErr w:type="spellStart"/>
      <w:r w:rsidRPr="009F15E8">
        <w:rPr>
          <w:sz w:val="24"/>
          <w:lang w:val="ro-RO"/>
        </w:rPr>
        <w:t>and</w:t>
      </w:r>
      <w:proofErr w:type="spellEnd"/>
      <w:r w:rsidRPr="009F15E8">
        <w:rPr>
          <w:sz w:val="24"/>
          <w:lang w:val="ro-RO"/>
        </w:rPr>
        <w:t xml:space="preserve"> </w:t>
      </w:r>
      <w:proofErr w:type="spellStart"/>
      <w:r w:rsidRPr="009F15E8">
        <w:rPr>
          <w:sz w:val="24"/>
          <w:lang w:val="ro-RO"/>
        </w:rPr>
        <w:t>Bt</w:t>
      </w:r>
      <w:proofErr w:type="spellEnd"/>
      <w:r w:rsidRPr="009F15E8">
        <w:rPr>
          <w:sz w:val="24"/>
          <w:lang w:val="ro-RO"/>
        </w:rPr>
        <w:t xml:space="preserve"> </w:t>
      </w:r>
      <w:proofErr w:type="spellStart"/>
      <w:r w:rsidRPr="009F15E8">
        <w:rPr>
          <w:sz w:val="24"/>
          <w:lang w:val="ro-RO"/>
        </w:rPr>
        <w:t>Protein</w:t>
      </w:r>
      <w:proofErr w:type="spellEnd"/>
      <w:r w:rsidRPr="009F15E8">
        <w:rPr>
          <w:sz w:val="24"/>
          <w:lang w:val="ro-RO"/>
        </w:rPr>
        <w:t xml:space="preserve"> Content in </w:t>
      </w:r>
      <w:proofErr w:type="spellStart"/>
      <w:r w:rsidRPr="009F15E8">
        <w:rPr>
          <w:sz w:val="24"/>
          <w:lang w:val="ro-RO"/>
        </w:rPr>
        <w:t>Transgenic</w:t>
      </w:r>
      <w:proofErr w:type="spellEnd"/>
      <w:r w:rsidRPr="009F15E8">
        <w:rPr>
          <w:sz w:val="24"/>
          <w:lang w:val="ro-RO"/>
        </w:rPr>
        <w:t xml:space="preserve"> </w:t>
      </w:r>
      <w:proofErr w:type="spellStart"/>
      <w:r w:rsidRPr="009F15E8">
        <w:rPr>
          <w:sz w:val="24"/>
          <w:lang w:val="ro-RO"/>
        </w:rPr>
        <w:t>Bt</w:t>
      </w:r>
      <w:proofErr w:type="spellEnd"/>
      <w:r w:rsidRPr="009F15E8">
        <w:rPr>
          <w:sz w:val="24"/>
          <w:lang w:val="ro-RO"/>
        </w:rPr>
        <w:t xml:space="preserve"> </w:t>
      </w:r>
      <w:proofErr w:type="spellStart"/>
      <w:r w:rsidRPr="009F15E8">
        <w:rPr>
          <w:sz w:val="24"/>
          <w:lang w:val="ro-RO"/>
        </w:rPr>
        <w:t>Maize</w:t>
      </w:r>
      <w:proofErr w:type="spellEnd"/>
      <w:r w:rsidRPr="009F15E8">
        <w:rPr>
          <w:sz w:val="24"/>
          <w:lang w:val="ro-RO"/>
        </w:rPr>
        <w:t xml:space="preserve"> (MON810) </w:t>
      </w:r>
      <w:proofErr w:type="spellStart"/>
      <w:r w:rsidRPr="009F15E8">
        <w:rPr>
          <w:sz w:val="24"/>
          <w:lang w:val="ro-RO"/>
        </w:rPr>
        <w:t>under</w:t>
      </w:r>
      <w:proofErr w:type="spellEnd"/>
      <w:r w:rsidRPr="009F15E8">
        <w:rPr>
          <w:sz w:val="24"/>
          <w:lang w:val="ro-RO"/>
        </w:rPr>
        <w:t xml:space="preserve"> Optimal </w:t>
      </w:r>
      <w:proofErr w:type="spellStart"/>
      <w:r w:rsidRPr="009F15E8">
        <w:rPr>
          <w:sz w:val="24"/>
          <w:lang w:val="ro-RO"/>
        </w:rPr>
        <w:t>and</w:t>
      </w:r>
      <w:proofErr w:type="spellEnd"/>
      <w:r w:rsidRPr="009F15E8">
        <w:rPr>
          <w:sz w:val="24"/>
          <w:lang w:val="ro-RO"/>
        </w:rPr>
        <w:t xml:space="preserve"> </w:t>
      </w:r>
      <w:proofErr w:type="spellStart"/>
      <w:r w:rsidRPr="009F15E8">
        <w:rPr>
          <w:sz w:val="24"/>
          <w:lang w:val="ro-RO"/>
        </w:rPr>
        <w:t>Stressful</w:t>
      </w:r>
      <w:proofErr w:type="spellEnd"/>
      <w:r w:rsidRPr="009F15E8">
        <w:rPr>
          <w:sz w:val="24"/>
          <w:lang w:val="ro-RO"/>
        </w:rPr>
        <w:t xml:space="preserve"> </w:t>
      </w:r>
      <w:proofErr w:type="spellStart"/>
      <w:r w:rsidRPr="009F15E8">
        <w:rPr>
          <w:sz w:val="24"/>
          <w:lang w:val="ro-RO"/>
        </w:rPr>
        <w:t>Environmental</w:t>
      </w:r>
      <w:proofErr w:type="spellEnd"/>
      <w:r w:rsidRPr="009F15E8">
        <w:rPr>
          <w:sz w:val="24"/>
          <w:lang w:val="ro-RO"/>
        </w:rPr>
        <w:t xml:space="preserve"> </w:t>
      </w:r>
      <w:proofErr w:type="spellStart"/>
      <w:r w:rsidRPr="009F15E8">
        <w:rPr>
          <w:sz w:val="24"/>
          <w:lang w:val="ro-RO"/>
        </w:rPr>
        <w:t>Conditions</w:t>
      </w:r>
      <w:proofErr w:type="spellEnd"/>
      <w:r w:rsidRPr="009F15E8">
        <w:rPr>
          <w:sz w:val="24"/>
          <w:lang w:val="ro-RO"/>
        </w:rPr>
        <w:t xml:space="preserve">’, </w:t>
      </w:r>
      <w:proofErr w:type="spellStart"/>
      <w:r w:rsidRPr="009F15E8">
        <w:rPr>
          <w:sz w:val="24"/>
          <w:lang w:val="ro-RO"/>
        </w:rPr>
        <w:t>PLoS</w:t>
      </w:r>
      <w:proofErr w:type="spellEnd"/>
      <w:r w:rsidRPr="009F15E8">
        <w:rPr>
          <w:sz w:val="24"/>
          <w:lang w:val="ro-RO"/>
        </w:rPr>
        <w:t xml:space="preserve"> ONE 10(4): e0123011, </w:t>
      </w:r>
      <w:hyperlink r:id="rId18" w:history="1">
        <w:r w:rsidRPr="009F15E8">
          <w:rPr>
            <w:rStyle w:val="Hyperlink"/>
            <w:sz w:val="24"/>
            <w:lang w:val="ro-RO"/>
          </w:rPr>
          <w:t>https://doi.org/10.1371/journal.pone.0123011</w:t>
        </w:r>
      </w:hyperlink>
      <w:r w:rsidRPr="009F15E8">
        <w:rPr>
          <w:sz w:val="24"/>
          <w:lang w:val="ro-RO"/>
        </w:rPr>
        <w:t>.</w:t>
      </w:r>
    </w:p>
  </w:footnote>
  <w:footnote w:id="10">
    <w:p w14:paraId="5E1D8913" w14:textId="782C5961" w:rsidR="00960B02" w:rsidRPr="009F15E8" w:rsidRDefault="00960B02" w:rsidP="00F71325">
      <w:pPr>
        <w:pStyle w:val="FootnoteText"/>
        <w:ind w:left="567" w:hanging="567"/>
        <w:rPr>
          <w:sz w:val="24"/>
          <w:lang w:val="ro-RO"/>
        </w:rPr>
      </w:pPr>
      <w:r w:rsidRPr="009F15E8">
        <w:rPr>
          <w:rStyle w:val="FootnoteReference"/>
          <w:sz w:val="24"/>
          <w:lang w:val="ro-RO"/>
        </w:rPr>
        <w:footnoteRef/>
      </w:r>
      <w:r w:rsidR="00F71325" w:rsidRPr="009F15E8">
        <w:rPr>
          <w:sz w:val="24"/>
          <w:lang w:val="ro-RO"/>
        </w:rPr>
        <w:t xml:space="preserve"> </w:t>
      </w:r>
      <w:r w:rsidR="00F71325" w:rsidRPr="009F15E8">
        <w:rPr>
          <w:sz w:val="24"/>
          <w:lang w:val="ro-RO"/>
        </w:rPr>
        <w:tab/>
      </w:r>
      <w:r w:rsidRPr="009F15E8">
        <w:rPr>
          <w:sz w:val="24"/>
          <w:lang w:val="ro-RO"/>
        </w:rPr>
        <w:t xml:space="preserve">A se vedea, de exemplu, Schulz, R., </w:t>
      </w:r>
      <w:proofErr w:type="spellStart"/>
      <w:r w:rsidRPr="009F15E8">
        <w:rPr>
          <w:sz w:val="24"/>
          <w:lang w:val="ro-RO"/>
        </w:rPr>
        <w:t>Bub</w:t>
      </w:r>
      <w:proofErr w:type="spellEnd"/>
      <w:r w:rsidRPr="009F15E8">
        <w:rPr>
          <w:sz w:val="24"/>
          <w:lang w:val="ro-RO"/>
        </w:rPr>
        <w:t xml:space="preserve">, S., </w:t>
      </w:r>
      <w:proofErr w:type="spellStart"/>
      <w:r w:rsidRPr="009F15E8">
        <w:rPr>
          <w:sz w:val="24"/>
          <w:lang w:val="ro-RO"/>
        </w:rPr>
        <w:t>Petschick</w:t>
      </w:r>
      <w:proofErr w:type="spellEnd"/>
      <w:r w:rsidRPr="009F15E8">
        <w:rPr>
          <w:sz w:val="24"/>
          <w:lang w:val="ro-RO"/>
        </w:rPr>
        <w:t xml:space="preserve">, L. L., </w:t>
      </w:r>
      <w:proofErr w:type="spellStart"/>
      <w:r w:rsidRPr="009F15E8">
        <w:rPr>
          <w:sz w:val="24"/>
          <w:lang w:val="ro-RO"/>
        </w:rPr>
        <w:t>Stehle</w:t>
      </w:r>
      <w:proofErr w:type="spellEnd"/>
      <w:r w:rsidRPr="009F15E8">
        <w:rPr>
          <w:sz w:val="24"/>
          <w:lang w:val="ro-RO"/>
        </w:rPr>
        <w:t>, S., Wolfram, J. (2021), „</w:t>
      </w:r>
      <w:proofErr w:type="spellStart"/>
      <w:r w:rsidRPr="009F15E8">
        <w:rPr>
          <w:sz w:val="24"/>
          <w:lang w:val="ro-RO"/>
        </w:rPr>
        <w:t>Applied</w:t>
      </w:r>
      <w:proofErr w:type="spellEnd"/>
      <w:r w:rsidRPr="009F15E8">
        <w:rPr>
          <w:sz w:val="24"/>
          <w:lang w:val="ro-RO"/>
        </w:rPr>
        <w:t xml:space="preserve"> pesticide </w:t>
      </w:r>
      <w:proofErr w:type="spellStart"/>
      <w:r w:rsidRPr="009F15E8">
        <w:rPr>
          <w:sz w:val="24"/>
          <w:lang w:val="ro-RO"/>
        </w:rPr>
        <w:t>toxicity</w:t>
      </w:r>
      <w:proofErr w:type="spellEnd"/>
      <w:r w:rsidRPr="009F15E8">
        <w:rPr>
          <w:sz w:val="24"/>
          <w:lang w:val="ro-RO"/>
        </w:rPr>
        <w:t xml:space="preserve"> </w:t>
      </w:r>
      <w:proofErr w:type="spellStart"/>
      <w:r w:rsidRPr="009F15E8">
        <w:rPr>
          <w:sz w:val="24"/>
          <w:lang w:val="ro-RO"/>
        </w:rPr>
        <w:t>shifts</w:t>
      </w:r>
      <w:proofErr w:type="spellEnd"/>
      <w:r w:rsidRPr="009F15E8">
        <w:rPr>
          <w:sz w:val="24"/>
          <w:lang w:val="ro-RO"/>
        </w:rPr>
        <w:t xml:space="preserve"> </w:t>
      </w:r>
      <w:proofErr w:type="spellStart"/>
      <w:r w:rsidRPr="009F15E8">
        <w:rPr>
          <w:sz w:val="24"/>
          <w:lang w:val="ro-RO"/>
        </w:rPr>
        <w:t>toward</w:t>
      </w:r>
      <w:proofErr w:type="spellEnd"/>
      <w:r w:rsidRPr="009F15E8">
        <w:rPr>
          <w:sz w:val="24"/>
          <w:lang w:val="ro-RO"/>
        </w:rPr>
        <w:t xml:space="preserve"> </w:t>
      </w:r>
      <w:proofErr w:type="spellStart"/>
      <w:r w:rsidRPr="009F15E8">
        <w:rPr>
          <w:sz w:val="24"/>
          <w:lang w:val="ro-RO"/>
        </w:rPr>
        <w:t>plants</w:t>
      </w:r>
      <w:proofErr w:type="spellEnd"/>
      <w:r w:rsidRPr="009F15E8">
        <w:rPr>
          <w:sz w:val="24"/>
          <w:lang w:val="ro-RO"/>
        </w:rPr>
        <w:t xml:space="preserve"> </w:t>
      </w:r>
      <w:proofErr w:type="spellStart"/>
      <w:r w:rsidRPr="009F15E8">
        <w:rPr>
          <w:sz w:val="24"/>
          <w:lang w:val="ro-RO"/>
        </w:rPr>
        <w:t>and</w:t>
      </w:r>
      <w:proofErr w:type="spellEnd"/>
      <w:r w:rsidRPr="009F15E8">
        <w:rPr>
          <w:sz w:val="24"/>
          <w:lang w:val="ro-RO"/>
        </w:rPr>
        <w:t xml:space="preserve"> </w:t>
      </w:r>
      <w:proofErr w:type="spellStart"/>
      <w:r w:rsidRPr="009F15E8">
        <w:rPr>
          <w:sz w:val="24"/>
          <w:lang w:val="ro-RO"/>
        </w:rPr>
        <w:t>invertebrates</w:t>
      </w:r>
      <w:proofErr w:type="spellEnd"/>
      <w:r w:rsidRPr="009F15E8">
        <w:rPr>
          <w:sz w:val="24"/>
          <w:lang w:val="ro-RO"/>
        </w:rPr>
        <w:t xml:space="preserve">, </w:t>
      </w:r>
      <w:proofErr w:type="spellStart"/>
      <w:r w:rsidRPr="009F15E8">
        <w:rPr>
          <w:sz w:val="24"/>
          <w:lang w:val="ro-RO"/>
        </w:rPr>
        <w:t>even</w:t>
      </w:r>
      <w:proofErr w:type="spellEnd"/>
      <w:r w:rsidRPr="009F15E8">
        <w:rPr>
          <w:sz w:val="24"/>
          <w:lang w:val="ro-RO"/>
        </w:rPr>
        <w:t xml:space="preserve"> in GM </w:t>
      </w:r>
      <w:proofErr w:type="spellStart"/>
      <w:r w:rsidRPr="009F15E8">
        <w:rPr>
          <w:sz w:val="24"/>
          <w:lang w:val="ro-RO"/>
        </w:rPr>
        <w:t>crops</w:t>
      </w:r>
      <w:proofErr w:type="spellEnd"/>
      <w:r w:rsidRPr="009F15E8">
        <w:rPr>
          <w:sz w:val="24"/>
          <w:lang w:val="ro-RO"/>
        </w:rPr>
        <w:t xml:space="preserve">”, </w:t>
      </w:r>
      <w:proofErr w:type="spellStart"/>
      <w:r w:rsidRPr="009F15E8">
        <w:rPr>
          <w:sz w:val="24"/>
          <w:lang w:val="ro-RO"/>
        </w:rPr>
        <w:t>Science</w:t>
      </w:r>
      <w:proofErr w:type="spellEnd"/>
      <w:r w:rsidRPr="009F15E8">
        <w:rPr>
          <w:sz w:val="24"/>
          <w:lang w:val="ro-RO"/>
        </w:rPr>
        <w:t xml:space="preserve"> 372(6537), p. </w:t>
      </w:r>
      <w:r w:rsidRPr="009F15E8">
        <w:rPr>
          <w:sz w:val="24"/>
          <w:lang w:val="ro-RO"/>
        </w:rPr>
        <w:t xml:space="preserve">81-84, </w:t>
      </w:r>
      <w:hyperlink r:id="rId19" w:history="1">
        <w:r w:rsidRPr="009F15E8">
          <w:rPr>
            <w:rStyle w:val="Hyperlink"/>
            <w:sz w:val="24"/>
            <w:lang w:val="ro-RO"/>
          </w:rPr>
          <w:t>https://doi.org/10.1126/science.abe1148</w:t>
        </w:r>
      </w:hyperlink>
      <w:r w:rsidRPr="009F15E8">
        <w:rPr>
          <w:sz w:val="24"/>
          <w:lang w:val="ro-RO"/>
        </w:rPr>
        <w:t xml:space="preserve">; </w:t>
      </w:r>
      <w:proofErr w:type="spellStart"/>
      <w:r w:rsidRPr="009F15E8">
        <w:rPr>
          <w:sz w:val="24"/>
          <w:lang w:val="ro-RO"/>
        </w:rPr>
        <w:t>Bonny</w:t>
      </w:r>
      <w:proofErr w:type="spellEnd"/>
      <w:r w:rsidRPr="009F15E8">
        <w:rPr>
          <w:sz w:val="24"/>
          <w:lang w:val="ro-RO"/>
        </w:rPr>
        <w:t>, S., „</w:t>
      </w:r>
      <w:proofErr w:type="spellStart"/>
      <w:r w:rsidRPr="009F15E8">
        <w:rPr>
          <w:sz w:val="24"/>
          <w:lang w:val="ro-RO"/>
        </w:rPr>
        <w:t>Gengenetically</w:t>
      </w:r>
      <w:proofErr w:type="spellEnd"/>
      <w:r w:rsidRPr="009F15E8">
        <w:rPr>
          <w:sz w:val="24"/>
          <w:lang w:val="ro-RO"/>
        </w:rPr>
        <w:t xml:space="preserve"> </w:t>
      </w:r>
      <w:proofErr w:type="spellStart"/>
      <w:r w:rsidRPr="009F15E8">
        <w:rPr>
          <w:sz w:val="24"/>
          <w:lang w:val="ro-RO"/>
        </w:rPr>
        <w:t>Modified</w:t>
      </w:r>
      <w:proofErr w:type="spellEnd"/>
      <w:r w:rsidRPr="009F15E8">
        <w:rPr>
          <w:sz w:val="24"/>
          <w:lang w:val="ro-RO"/>
        </w:rPr>
        <w:t xml:space="preserve"> </w:t>
      </w:r>
      <w:proofErr w:type="spellStart"/>
      <w:r w:rsidRPr="009F15E8">
        <w:rPr>
          <w:sz w:val="24"/>
          <w:lang w:val="ro-RO"/>
        </w:rPr>
        <w:t>Herbicide</w:t>
      </w:r>
      <w:proofErr w:type="spellEnd"/>
      <w:r w:rsidRPr="009F15E8">
        <w:rPr>
          <w:sz w:val="24"/>
          <w:lang w:val="ro-RO"/>
        </w:rPr>
        <w:t xml:space="preserve">-Tolerant </w:t>
      </w:r>
      <w:proofErr w:type="spellStart"/>
      <w:r w:rsidRPr="009F15E8">
        <w:rPr>
          <w:sz w:val="24"/>
          <w:lang w:val="ro-RO"/>
        </w:rPr>
        <w:t>Crops</w:t>
      </w:r>
      <w:proofErr w:type="spellEnd"/>
      <w:r w:rsidRPr="009F15E8">
        <w:rPr>
          <w:sz w:val="24"/>
          <w:lang w:val="ro-RO"/>
        </w:rPr>
        <w:t xml:space="preserve">, </w:t>
      </w:r>
      <w:proofErr w:type="spellStart"/>
      <w:r w:rsidRPr="009F15E8">
        <w:rPr>
          <w:sz w:val="24"/>
          <w:lang w:val="ro-RO"/>
        </w:rPr>
        <w:t>Weeds</w:t>
      </w:r>
      <w:proofErr w:type="spellEnd"/>
      <w:r w:rsidRPr="009F15E8">
        <w:rPr>
          <w:sz w:val="24"/>
          <w:lang w:val="ro-RO"/>
        </w:rPr>
        <w:t xml:space="preserve">, </w:t>
      </w:r>
      <w:proofErr w:type="spellStart"/>
      <w:r w:rsidRPr="009F15E8">
        <w:rPr>
          <w:sz w:val="24"/>
          <w:lang w:val="ro-RO"/>
        </w:rPr>
        <w:t>and</w:t>
      </w:r>
      <w:proofErr w:type="spellEnd"/>
      <w:r w:rsidRPr="009F15E8">
        <w:rPr>
          <w:sz w:val="24"/>
          <w:lang w:val="ro-RO"/>
        </w:rPr>
        <w:t xml:space="preserve"> </w:t>
      </w:r>
      <w:proofErr w:type="spellStart"/>
      <w:r w:rsidRPr="009F15E8">
        <w:rPr>
          <w:sz w:val="24"/>
          <w:lang w:val="ro-RO"/>
        </w:rPr>
        <w:t>Herbicides</w:t>
      </w:r>
      <w:proofErr w:type="spellEnd"/>
      <w:r w:rsidRPr="009F15E8">
        <w:rPr>
          <w:sz w:val="24"/>
          <w:lang w:val="ro-RO"/>
        </w:rPr>
        <w:t xml:space="preserve">: Prezentare generală și impact”, </w:t>
      </w:r>
      <w:proofErr w:type="spellStart"/>
      <w:r w:rsidRPr="009F15E8">
        <w:rPr>
          <w:sz w:val="24"/>
          <w:lang w:val="ro-RO"/>
        </w:rPr>
        <w:t>Environmental</w:t>
      </w:r>
      <w:proofErr w:type="spellEnd"/>
      <w:r w:rsidRPr="009F15E8">
        <w:rPr>
          <w:sz w:val="24"/>
          <w:lang w:val="ro-RO"/>
        </w:rPr>
        <w:t xml:space="preserve"> Management, ianuarie 2016; 57 (1), p. 31-48, </w:t>
      </w:r>
      <w:hyperlink r:id="rId20" w:history="1">
        <w:r w:rsidRPr="009F15E8">
          <w:rPr>
            <w:rStyle w:val="Hyperlink"/>
            <w:sz w:val="24"/>
            <w:lang w:val="ro-RO"/>
          </w:rPr>
          <w:t>https://www.ncbi.nlm.nih.gov/pubmed/26296738</w:t>
        </w:r>
      </w:hyperlink>
      <w:r w:rsidRPr="009F15E8">
        <w:rPr>
          <w:sz w:val="24"/>
          <w:lang w:val="ro-RO"/>
        </w:rPr>
        <w:t xml:space="preserve">; și </w:t>
      </w:r>
      <w:proofErr w:type="spellStart"/>
      <w:r w:rsidRPr="009F15E8">
        <w:rPr>
          <w:sz w:val="24"/>
          <w:lang w:val="ro-RO"/>
        </w:rPr>
        <w:t>Benbrook</w:t>
      </w:r>
      <w:proofErr w:type="spellEnd"/>
      <w:r w:rsidRPr="009F15E8">
        <w:rPr>
          <w:sz w:val="24"/>
          <w:lang w:val="ro-RO"/>
        </w:rPr>
        <w:t>, C. M., „</w:t>
      </w:r>
      <w:proofErr w:type="spellStart"/>
      <w:r w:rsidRPr="009F15E8">
        <w:rPr>
          <w:sz w:val="24"/>
          <w:lang w:val="ro-RO"/>
        </w:rPr>
        <w:t>Impacts</w:t>
      </w:r>
      <w:proofErr w:type="spellEnd"/>
      <w:r w:rsidRPr="009F15E8">
        <w:rPr>
          <w:sz w:val="24"/>
          <w:lang w:val="ro-RO"/>
        </w:rPr>
        <w:t xml:space="preserve"> of </w:t>
      </w:r>
      <w:proofErr w:type="spellStart"/>
      <w:r w:rsidRPr="009F15E8">
        <w:rPr>
          <w:sz w:val="24"/>
          <w:lang w:val="ro-RO"/>
        </w:rPr>
        <w:t>genetically</w:t>
      </w:r>
      <w:proofErr w:type="spellEnd"/>
      <w:r w:rsidRPr="009F15E8">
        <w:rPr>
          <w:sz w:val="24"/>
          <w:lang w:val="ro-RO"/>
        </w:rPr>
        <w:t xml:space="preserve"> </w:t>
      </w:r>
      <w:proofErr w:type="spellStart"/>
      <w:r w:rsidRPr="009F15E8">
        <w:rPr>
          <w:sz w:val="24"/>
          <w:lang w:val="ro-RO"/>
        </w:rPr>
        <w:t>engineered</w:t>
      </w:r>
      <w:proofErr w:type="spellEnd"/>
      <w:r w:rsidRPr="009F15E8">
        <w:rPr>
          <w:sz w:val="24"/>
          <w:lang w:val="ro-RO"/>
        </w:rPr>
        <w:t xml:space="preserve"> </w:t>
      </w:r>
      <w:proofErr w:type="spellStart"/>
      <w:r w:rsidRPr="009F15E8">
        <w:rPr>
          <w:sz w:val="24"/>
          <w:lang w:val="ro-RO"/>
        </w:rPr>
        <w:t>crops</w:t>
      </w:r>
      <w:proofErr w:type="spellEnd"/>
      <w:r w:rsidRPr="009F15E8">
        <w:rPr>
          <w:sz w:val="24"/>
          <w:lang w:val="ro-RO"/>
        </w:rPr>
        <w:t xml:space="preserve"> on pesticide </w:t>
      </w:r>
      <w:proofErr w:type="spellStart"/>
      <w:r w:rsidRPr="009F15E8">
        <w:rPr>
          <w:sz w:val="24"/>
          <w:lang w:val="ro-RO"/>
        </w:rPr>
        <w:t>use</w:t>
      </w:r>
      <w:proofErr w:type="spellEnd"/>
      <w:r w:rsidRPr="009F15E8">
        <w:rPr>
          <w:sz w:val="24"/>
          <w:lang w:val="ro-RO"/>
        </w:rPr>
        <w:t xml:space="preserve"> in </w:t>
      </w:r>
      <w:proofErr w:type="spellStart"/>
      <w:r w:rsidRPr="009F15E8">
        <w:rPr>
          <w:sz w:val="24"/>
          <w:lang w:val="ro-RO"/>
        </w:rPr>
        <w:t>the</w:t>
      </w:r>
      <w:proofErr w:type="spellEnd"/>
      <w:r w:rsidRPr="009F15E8">
        <w:rPr>
          <w:sz w:val="24"/>
          <w:lang w:val="ro-RO"/>
        </w:rPr>
        <w:t xml:space="preserve"> U.S. – </w:t>
      </w:r>
      <w:proofErr w:type="spellStart"/>
      <w:r w:rsidRPr="009F15E8">
        <w:rPr>
          <w:sz w:val="24"/>
          <w:lang w:val="ro-RO"/>
        </w:rPr>
        <w:t>the</w:t>
      </w:r>
      <w:proofErr w:type="spellEnd"/>
      <w:r w:rsidRPr="009F15E8">
        <w:rPr>
          <w:sz w:val="24"/>
          <w:lang w:val="ro-RO"/>
        </w:rPr>
        <w:t xml:space="preserve"> </w:t>
      </w:r>
      <w:proofErr w:type="spellStart"/>
      <w:r w:rsidRPr="009F15E8">
        <w:rPr>
          <w:sz w:val="24"/>
          <w:lang w:val="ro-RO"/>
        </w:rPr>
        <w:t>first</w:t>
      </w:r>
      <w:proofErr w:type="spellEnd"/>
      <w:r w:rsidRPr="009F15E8">
        <w:rPr>
          <w:sz w:val="24"/>
          <w:lang w:val="ro-RO"/>
        </w:rPr>
        <w:t xml:space="preserve"> </w:t>
      </w:r>
      <w:proofErr w:type="spellStart"/>
      <w:r w:rsidRPr="009F15E8">
        <w:rPr>
          <w:sz w:val="24"/>
          <w:lang w:val="ro-RO"/>
        </w:rPr>
        <w:t>sixteen</w:t>
      </w:r>
      <w:proofErr w:type="spellEnd"/>
      <w:r w:rsidRPr="009F15E8">
        <w:rPr>
          <w:sz w:val="24"/>
          <w:lang w:val="ro-RO"/>
        </w:rPr>
        <w:t xml:space="preserve"> </w:t>
      </w:r>
      <w:proofErr w:type="spellStart"/>
      <w:r w:rsidRPr="009F15E8">
        <w:rPr>
          <w:sz w:val="24"/>
          <w:lang w:val="ro-RO"/>
        </w:rPr>
        <w:t>years</w:t>
      </w:r>
      <w:proofErr w:type="spellEnd"/>
      <w:r w:rsidRPr="009F15E8">
        <w:rPr>
          <w:sz w:val="24"/>
          <w:lang w:val="ro-RO"/>
        </w:rPr>
        <w:t xml:space="preserve">”, </w:t>
      </w:r>
      <w:proofErr w:type="spellStart"/>
      <w:r w:rsidRPr="009F15E8">
        <w:rPr>
          <w:sz w:val="24"/>
          <w:lang w:val="ro-RO"/>
        </w:rPr>
        <w:t>Environmental</w:t>
      </w:r>
      <w:proofErr w:type="spellEnd"/>
      <w:r w:rsidRPr="009F15E8">
        <w:rPr>
          <w:sz w:val="24"/>
          <w:lang w:val="ro-RO"/>
        </w:rPr>
        <w:t xml:space="preserve"> </w:t>
      </w:r>
      <w:proofErr w:type="spellStart"/>
      <w:r w:rsidRPr="009F15E8">
        <w:rPr>
          <w:sz w:val="24"/>
          <w:lang w:val="ro-RO"/>
        </w:rPr>
        <w:t>Sciences</w:t>
      </w:r>
      <w:proofErr w:type="spellEnd"/>
      <w:r w:rsidRPr="009F15E8">
        <w:rPr>
          <w:sz w:val="24"/>
          <w:lang w:val="ro-RO"/>
        </w:rPr>
        <w:t xml:space="preserve"> Europe, 28 septembrie 2012, vol. 24(24), </w:t>
      </w:r>
      <w:hyperlink r:id="rId21" w:history="1">
        <w:r w:rsidRPr="009F15E8">
          <w:rPr>
            <w:rStyle w:val="Hyperlink"/>
            <w:sz w:val="24"/>
            <w:lang w:val="ro-RO"/>
          </w:rPr>
          <w:t>https://enveurope.springeropen.com/articles/10.1186/2190-4715-24-24</w:t>
        </w:r>
      </w:hyperlink>
      <w:r w:rsidRPr="009F15E8">
        <w:rPr>
          <w:sz w:val="24"/>
          <w:lang w:val="ro-RO"/>
        </w:rPr>
        <w:t>.</w:t>
      </w:r>
    </w:p>
  </w:footnote>
  <w:footnote w:id="11">
    <w:p w14:paraId="2E207366" w14:textId="147D4AF0" w:rsidR="00960B02" w:rsidRPr="009F15E8" w:rsidRDefault="00960B02" w:rsidP="00F71325">
      <w:pPr>
        <w:pStyle w:val="FootnoteText"/>
        <w:ind w:left="567" w:hanging="567"/>
        <w:rPr>
          <w:sz w:val="24"/>
          <w:lang w:val="ro-RO"/>
        </w:rPr>
      </w:pPr>
      <w:r w:rsidRPr="009F15E8">
        <w:rPr>
          <w:rStyle w:val="FootnoteReference"/>
          <w:sz w:val="24"/>
          <w:lang w:val="ro-RO"/>
        </w:rPr>
        <w:footnoteRef/>
      </w:r>
      <w:r w:rsidR="00F71325" w:rsidRPr="009F15E8">
        <w:rPr>
          <w:sz w:val="24"/>
          <w:lang w:val="ro-RO"/>
        </w:rPr>
        <w:t xml:space="preserve"> </w:t>
      </w:r>
      <w:r w:rsidR="00F71325" w:rsidRPr="009F15E8">
        <w:rPr>
          <w:sz w:val="24"/>
          <w:lang w:val="ro-RO"/>
        </w:rPr>
        <w:tab/>
      </w:r>
      <w:r w:rsidRPr="009F15E8">
        <w:rPr>
          <w:sz w:val="24"/>
          <w:lang w:val="ro-RO"/>
        </w:rPr>
        <w:t xml:space="preserve">Pentru o analiză, a se vedea </w:t>
      </w:r>
      <w:proofErr w:type="spellStart"/>
      <w:r w:rsidRPr="009F15E8">
        <w:rPr>
          <w:sz w:val="24"/>
          <w:lang w:val="ro-RO"/>
        </w:rPr>
        <w:t>Rubio</w:t>
      </w:r>
      <w:proofErr w:type="spellEnd"/>
      <w:r w:rsidRPr="009F15E8">
        <w:rPr>
          <w:sz w:val="24"/>
          <w:lang w:val="ro-RO"/>
        </w:rPr>
        <w:t xml:space="preserve">-Infante, N., </w:t>
      </w:r>
      <w:proofErr w:type="spellStart"/>
      <w:r w:rsidRPr="009F15E8">
        <w:rPr>
          <w:sz w:val="24"/>
          <w:lang w:val="ro-RO"/>
        </w:rPr>
        <w:t>Moreno-Fierros</w:t>
      </w:r>
      <w:proofErr w:type="spellEnd"/>
      <w:r w:rsidRPr="009F15E8">
        <w:rPr>
          <w:sz w:val="24"/>
          <w:lang w:val="ro-RO"/>
        </w:rPr>
        <w:t xml:space="preserve">, L., „An </w:t>
      </w:r>
      <w:proofErr w:type="spellStart"/>
      <w:r w:rsidRPr="009F15E8">
        <w:rPr>
          <w:sz w:val="24"/>
          <w:lang w:val="ro-RO"/>
        </w:rPr>
        <w:t>overview</w:t>
      </w:r>
      <w:proofErr w:type="spellEnd"/>
      <w:r w:rsidRPr="009F15E8">
        <w:rPr>
          <w:sz w:val="24"/>
          <w:lang w:val="ro-RO"/>
        </w:rPr>
        <w:t xml:space="preserve"> of </w:t>
      </w:r>
      <w:proofErr w:type="spellStart"/>
      <w:r w:rsidRPr="009F15E8">
        <w:rPr>
          <w:sz w:val="24"/>
          <w:lang w:val="ro-RO"/>
        </w:rPr>
        <w:t>the</w:t>
      </w:r>
      <w:proofErr w:type="spellEnd"/>
      <w:r w:rsidRPr="009F15E8">
        <w:rPr>
          <w:sz w:val="24"/>
          <w:lang w:val="ro-RO"/>
        </w:rPr>
        <w:t xml:space="preserve"> </w:t>
      </w:r>
      <w:proofErr w:type="spellStart"/>
      <w:r w:rsidRPr="009F15E8">
        <w:rPr>
          <w:sz w:val="24"/>
          <w:lang w:val="ro-RO"/>
        </w:rPr>
        <w:t>safety</w:t>
      </w:r>
      <w:proofErr w:type="spellEnd"/>
      <w:r w:rsidRPr="009F15E8">
        <w:rPr>
          <w:sz w:val="24"/>
          <w:lang w:val="ro-RO"/>
        </w:rPr>
        <w:t xml:space="preserve"> </w:t>
      </w:r>
      <w:proofErr w:type="spellStart"/>
      <w:r w:rsidRPr="009F15E8">
        <w:rPr>
          <w:sz w:val="24"/>
          <w:lang w:val="ro-RO"/>
        </w:rPr>
        <w:t>and</w:t>
      </w:r>
      <w:proofErr w:type="spellEnd"/>
      <w:r w:rsidRPr="009F15E8">
        <w:rPr>
          <w:sz w:val="24"/>
          <w:lang w:val="ro-RO"/>
        </w:rPr>
        <w:t xml:space="preserve"> </w:t>
      </w:r>
      <w:proofErr w:type="spellStart"/>
      <w:r w:rsidRPr="009F15E8">
        <w:rPr>
          <w:sz w:val="24"/>
          <w:lang w:val="ro-RO"/>
        </w:rPr>
        <w:t>biological</w:t>
      </w:r>
      <w:proofErr w:type="spellEnd"/>
      <w:r w:rsidRPr="009F15E8">
        <w:rPr>
          <w:sz w:val="24"/>
          <w:lang w:val="ro-RO"/>
        </w:rPr>
        <w:t xml:space="preserve"> </w:t>
      </w:r>
      <w:proofErr w:type="spellStart"/>
      <w:r w:rsidRPr="009F15E8">
        <w:rPr>
          <w:sz w:val="24"/>
          <w:lang w:val="ro-RO"/>
        </w:rPr>
        <w:t>effects</w:t>
      </w:r>
      <w:proofErr w:type="spellEnd"/>
      <w:r w:rsidRPr="009F15E8">
        <w:rPr>
          <w:sz w:val="24"/>
          <w:lang w:val="ro-RO"/>
        </w:rPr>
        <w:t xml:space="preserve"> of </w:t>
      </w:r>
      <w:proofErr w:type="spellStart"/>
      <w:r w:rsidRPr="009F15E8">
        <w:rPr>
          <w:sz w:val="24"/>
          <w:lang w:val="ro-RO"/>
        </w:rPr>
        <w:t>Bacillus</w:t>
      </w:r>
      <w:proofErr w:type="spellEnd"/>
      <w:r w:rsidRPr="009F15E8">
        <w:rPr>
          <w:sz w:val="24"/>
          <w:lang w:val="ro-RO"/>
        </w:rPr>
        <w:t xml:space="preserve"> </w:t>
      </w:r>
      <w:proofErr w:type="spellStart"/>
      <w:r w:rsidRPr="009F15E8">
        <w:rPr>
          <w:sz w:val="24"/>
          <w:lang w:val="ro-RO"/>
        </w:rPr>
        <w:t>thuringiensis</w:t>
      </w:r>
      <w:proofErr w:type="spellEnd"/>
      <w:r w:rsidRPr="009F15E8">
        <w:rPr>
          <w:sz w:val="24"/>
          <w:lang w:val="ro-RO"/>
        </w:rPr>
        <w:t> </w:t>
      </w:r>
      <w:proofErr w:type="spellStart"/>
      <w:r w:rsidRPr="009F15E8">
        <w:rPr>
          <w:sz w:val="24"/>
          <w:lang w:val="ro-RO"/>
        </w:rPr>
        <w:t>Cry</w:t>
      </w:r>
      <w:proofErr w:type="spellEnd"/>
      <w:r w:rsidRPr="009F15E8">
        <w:rPr>
          <w:sz w:val="24"/>
          <w:lang w:val="ro-RO"/>
        </w:rPr>
        <w:t xml:space="preserve"> </w:t>
      </w:r>
      <w:proofErr w:type="spellStart"/>
      <w:r w:rsidRPr="009F15E8">
        <w:rPr>
          <w:sz w:val="24"/>
          <w:lang w:val="ro-RO"/>
        </w:rPr>
        <w:t>toxins</w:t>
      </w:r>
      <w:proofErr w:type="spellEnd"/>
      <w:r w:rsidRPr="009F15E8">
        <w:rPr>
          <w:sz w:val="24"/>
          <w:lang w:val="ro-RO"/>
        </w:rPr>
        <w:t xml:space="preserve"> in </w:t>
      </w:r>
      <w:proofErr w:type="spellStart"/>
      <w:r w:rsidRPr="009F15E8">
        <w:rPr>
          <w:sz w:val="24"/>
          <w:lang w:val="ro-RO"/>
        </w:rPr>
        <w:t>mammals</w:t>
      </w:r>
      <w:proofErr w:type="spellEnd"/>
      <w:r w:rsidRPr="009F15E8">
        <w:rPr>
          <w:sz w:val="24"/>
          <w:lang w:val="ro-RO"/>
        </w:rPr>
        <w:t xml:space="preserve">” (Studiu asupra siguranței și efectelor biologice ale toxinelor </w:t>
      </w:r>
      <w:proofErr w:type="spellStart"/>
      <w:r w:rsidRPr="009F15E8">
        <w:rPr>
          <w:sz w:val="24"/>
          <w:lang w:val="ro-RO"/>
        </w:rPr>
        <w:t>Cry</w:t>
      </w:r>
      <w:proofErr w:type="spellEnd"/>
      <w:r w:rsidRPr="009F15E8">
        <w:rPr>
          <w:sz w:val="24"/>
          <w:lang w:val="ro-RO"/>
        </w:rPr>
        <w:t xml:space="preserve"> ale </w:t>
      </w:r>
      <w:proofErr w:type="spellStart"/>
      <w:r w:rsidRPr="009F15E8">
        <w:rPr>
          <w:sz w:val="24"/>
          <w:lang w:val="ro-RO"/>
        </w:rPr>
        <w:t>Bacillus</w:t>
      </w:r>
      <w:proofErr w:type="spellEnd"/>
      <w:r w:rsidRPr="009F15E8">
        <w:rPr>
          <w:sz w:val="24"/>
          <w:lang w:val="ro-RO"/>
        </w:rPr>
        <w:t xml:space="preserve"> </w:t>
      </w:r>
      <w:proofErr w:type="spellStart"/>
      <w:r w:rsidRPr="009F15E8">
        <w:rPr>
          <w:sz w:val="24"/>
          <w:lang w:val="ro-RO"/>
        </w:rPr>
        <w:t>thuringiensis</w:t>
      </w:r>
      <w:proofErr w:type="spellEnd"/>
      <w:r w:rsidRPr="009F15E8">
        <w:rPr>
          <w:sz w:val="24"/>
          <w:lang w:val="ro-RO"/>
        </w:rPr>
        <w:t xml:space="preserve"> la mamifere), Journal of </w:t>
      </w:r>
      <w:proofErr w:type="spellStart"/>
      <w:r w:rsidRPr="009F15E8">
        <w:rPr>
          <w:sz w:val="24"/>
          <w:lang w:val="ro-RO"/>
        </w:rPr>
        <w:t>Applied</w:t>
      </w:r>
      <w:proofErr w:type="spellEnd"/>
      <w:r w:rsidRPr="009F15E8">
        <w:rPr>
          <w:sz w:val="24"/>
          <w:lang w:val="ro-RO"/>
        </w:rPr>
        <w:t xml:space="preserve"> </w:t>
      </w:r>
      <w:proofErr w:type="spellStart"/>
      <w:r w:rsidRPr="009F15E8">
        <w:rPr>
          <w:sz w:val="24"/>
          <w:lang w:val="ro-RO"/>
        </w:rPr>
        <w:t>Toxicology</w:t>
      </w:r>
      <w:proofErr w:type="spellEnd"/>
      <w:r w:rsidRPr="009F15E8">
        <w:rPr>
          <w:sz w:val="24"/>
          <w:lang w:val="ro-RO"/>
        </w:rPr>
        <w:t>, mai 2016, 36(5), p. </w:t>
      </w:r>
      <w:r w:rsidRPr="009F15E8">
        <w:rPr>
          <w:sz w:val="24"/>
          <w:lang w:val="ro-RO"/>
        </w:rPr>
        <w:t xml:space="preserve">630 648, </w:t>
      </w:r>
      <w:hyperlink r:id="rId22" w:history="1">
        <w:r w:rsidRPr="009F15E8">
          <w:rPr>
            <w:rStyle w:val="Hyperlink"/>
            <w:sz w:val="24"/>
            <w:lang w:val="ro-RO"/>
          </w:rPr>
          <w:t>https://onlinelibrary.wiley.com/doi/full/10.1002/jat.3252</w:t>
        </w:r>
      </w:hyperlink>
      <w:r w:rsidRPr="009F15E8">
        <w:rPr>
          <w:sz w:val="24"/>
          <w:lang w:val="ro-RO"/>
        </w:rPr>
        <w:t>.</w:t>
      </w:r>
    </w:p>
  </w:footnote>
  <w:footnote w:id="12">
    <w:p w14:paraId="2DF7CD33" w14:textId="48745FAD" w:rsidR="00960B02" w:rsidRPr="009F15E8" w:rsidRDefault="00960B02" w:rsidP="00F71325">
      <w:pPr>
        <w:pStyle w:val="FootnoteText"/>
        <w:ind w:left="567" w:hanging="567"/>
        <w:rPr>
          <w:sz w:val="24"/>
          <w:lang w:val="ro-RO"/>
        </w:rPr>
      </w:pPr>
      <w:r w:rsidRPr="009F15E8">
        <w:rPr>
          <w:rStyle w:val="FootnoteReference"/>
          <w:sz w:val="24"/>
          <w:lang w:val="ro-RO"/>
        </w:rPr>
        <w:footnoteRef/>
      </w:r>
      <w:r w:rsidR="00F71325" w:rsidRPr="009F15E8">
        <w:rPr>
          <w:sz w:val="24"/>
          <w:lang w:val="ro-RO"/>
        </w:rPr>
        <w:t xml:space="preserve"> </w:t>
      </w:r>
      <w:r w:rsidR="00F71325" w:rsidRPr="009F15E8">
        <w:rPr>
          <w:sz w:val="24"/>
          <w:lang w:val="ro-RO"/>
        </w:rPr>
        <w:tab/>
      </w:r>
      <w:proofErr w:type="spellStart"/>
      <w:r w:rsidRPr="009F15E8">
        <w:rPr>
          <w:sz w:val="24"/>
          <w:lang w:val="ro-RO"/>
        </w:rPr>
        <w:t>Bøhn</w:t>
      </w:r>
      <w:proofErr w:type="spellEnd"/>
      <w:r w:rsidRPr="009F15E8">
        <w:rPr>
          <w:sz w:val="24"/>
          <w:lang w:val="ro-RO"/>
        </w:rPr>
        <w:t xml:space="preserve">, T., </w:t>
      </w:r>
      <w:proofErr w:type="spellStart"/>
      <w:r w:rsidRPr="009F15E8">
        <w:rPr>
          <w:sz w:val="24"/>
          <w:lang w:val="ro-RO"/>
        </w:rPr>
        <w:t>Macagnan</w:t>
      </w:r>
      <w:proofErr w:type="spellEnd"/>
      <w:r w:rsidRPr="009F15E8">
        <w:rPr>
          <w:sz w:val="24"/>
          <w:lang w:val="ro-RO"/>
        </w:rPr>
        <w:t xml:space="preserve"> Rover, C., </w:t>
      </w:r>
      <w:proofErr w:type="spellStart"/>
      <w:r w:rsidRPr="009F15E8">
        <w:rPr>
          <w:sz w:val="24"/>
          <w:lang w:val="ro-RO"/>
        </w:rPr>
        <w:t>Semenchuk</w:t>
      </w:r>
      <w:proofErr w:type="spellEnd"/>
      <w:r w:rsidRPr="009F15E8">
        <w:rPr>
          <w:sz w:val="24"/>
          <w:lang w:val="ro-RO"/>
        </w:rPr>
        <w:t>, P. R., „</w:t>
      </w:r>
      <w:proofErr w:type="spellStart"/>
      <w:r w:rsidRPr="009F15E8">
        <w:rPr>
          <w:i/>
          <w:sz w:val="24"/>
          <w:lang w:val="ro-RO"/>
        </w:rPr>
        <w:t>Daphnia</w:t>
      </w:r>
      <w:proofErr w:type="spellEnd"/>
      <w:r w:rsidRPr="009F15E8">
        <w:rPr>
          <w:i/>
          <w:sz w:val="24"/>
          <w:lang w:val="ro-RO"/>
        </w:rPr>
        <w:t xml:space="preserve"> magna</w:t>
      </w:r>
      <w:r w:rsidRPr="009F15E8">
        <w:rPr>
          <w:sz w:val="24"/>
          <w:lang w:val="ro-RO"/>
        </w:rPr>
        <w:t xml:space="preserve"> </w:t>
      </w:r>
      <w:proofErr w:type="spellStart"/>
      <w:r w:rsidRPr="009F15E8">
        <w:rPr>
          <w:sz w:val="24"/>
          <w:lang w:val="ro-RO"/>
        </w:rPr>
        <w:t>negatively</w:t>
      </w:r>
      <w:proofErr w:type="spellEnd"/>
      <w:r w:rsidRPr="009F15E8">
        <w:rPr>
          <w:sz w:val="24"/>
          <w:lang w:val="ro-RO"/>
        </w:rPr>
        <w:t xml:space="preserve"> </w:t>
      </w:r>
      <w:proofErr w:type="spellStart"/>
      <w:r w:rsidRPr="009F15E8">
        <w:rPr>
          <w:sz w:val="24"/>
          <w:lang w:val="ro-RO"/>
        </w:rPr>
        <w:t>affected</w:t>
      </w:r>
      <w:proofErr w:type="spellEnd"/>
      <w:r w:rsidRPr="009F15E8">
        <w:rPr>
          <w:sz w:val="24"/>
          <w:lang w:val="ro-RO"/>
        </w:rPr>
        <w:t xml:space="preserve"> </w:t>
      </w:r>
      <w:proofErr w:type="spellStart"/>
      <w:r w:rsidRPr="009F15E8">
        <w:rPr>
          <w:sz w:val="24"/>
          <w:lang w:val="ro-RO"/>
        </w:rPr>
        <w:t>by</w:t>
      </w:r>
      <w:proofErr w:type="spellEnd"/>
      <w:r w:rsidRPr="009F15E8">
        <w:rPr>
          <w:sz w:val="24"/>
          <w:lang w:val="ro-RO"/>
        </w:rPr>
        <w:t xml:space="preserve"> </w:t>
      </w:r>
      <w:proofErr w:type="spellStart"/>
      <w:r w:rsidRPr="009F15E8">
        <w:rPr>
          <w:sz w:val="24"/>
          <w:lang w:val="ro-RO"/>
        </w:rPr>
        <w:t>chronic</w:t>
      </w:r>
      <w:proofErr w:type="spellEnd"/>
      <w:r w:rsidRPr="009F15E8">
        <w:rPr>
          <w:sz w:val="24"/>
          <w:lang w:val="ro-RO"/>
        </w:rPr>
        <w:t xml:space="preserve"> </w:t>
      </w:r>
      <w:proofErr w:type="spellStart"/>
      <w:r w:rsidRPr="009F15E8">
        <w:rPr>
          <w:sz w:val="24"/>
          <w:lang w:val="ro-RO"/>
        </w:rPr>
        <w:t>exposure</w:t>
      </w:r>
      <w:proofErr w:type="spellEnd"/>
      <w:r w:rsidRPr="009F15E8">
        <w:rPr>
          <w:sz w:val="24"/>
          <w:lang w:val="ro-RO"/>
        </w:rPr>
        <w:t xml:space="preserve"> </w:t>
      </w:r>
      <w:proofErr w:type="spellStart"/>
      <w:r w:rsidRPr="009F15E8">
        <w:rPr>
          <w:sz w:val="24"/>
          <w:lang w:val="ro-RO"/>
        </w:rPr>
        <w:t>to</w:t>
      </w:r>
      <w:proofErr w:type="spellEnd"/>
      <w:r w:rsidRPr="009F15E8">
        <w:rPr>
          <w:sz w:val="24"/>
          <w:lang w:val="ro-RO"/>
        </w:rPr>
        <w:t xml:space="preserve"> </w:t>
      </w:r>
      <w:proofErr w:type="spellStart"/>
      <w:r w:rsidRPr="009F15E8">
        <w:rPr>
          <w:sz w:val="24"/>
          <w:lang w:val="ro-RO"/>
        </w:rPr>
        <w:t>purified</w:t>
      </w:r>
      <w:proofErr w:type="spellEnd"/>
      <w:r w:rsidRPr="009F15E8">
        <w:rPr>
          <w:sz w:val="24"/>
          <w:lang w:val="ro-RO"/>
        </w:rPr>
        <w:t xml:space="preserve"> </w:t>
      </w:r>
      <w:proofErr w:type="spellStart"/>
      <w:r w:rsidRPr="009F15E8">
        <w:rPr>
          <w:sz w:val="24"/>
          <w:lang w:val="ro-RO"/>
        </w:rPr>
        <w:t>Cry-toxins</w:t>
      </w:r>
      <w:proofErr w:type="spellEnd"/>
      <w:r w:rsidRPr="009F15E8">
        <w:rPr>
          <w:sz w:val="24"/>
          <w:lang w:val="ro-RO"/>
        </w:rPr>
        <w:t xml:space="preserve">”, </w:t>
      </w:r>
      <w:proofErr w:type="spellStart"/>
      <w:r w:rsidRPr="009F15E8">
        <w:rPr>
          <w:sz w:val="24"/>
          <w:lang w:val="ro-RO"/>
        </w:rPr>
        <w:t>Food</w:t>
      </w:r>
      <w:proofErr w:type="spellEnd"/>
      <w:r w:rsidRPr="009F15E8">
        <w:rPr>
          <w:sz w:val="24"/>
          <w:lang w:val="ro-RO"/>
        </w:rPr>
        <w:t xml:space="preserve"> </w:t>
      </w:r>
      <w:proofErr w:type="spellStart"/>
      <w:r w:rsidRPr="009F15E8">
        <w:rPr>
          <w:sz w:val="24"/>
          <w:lang w:val="ro-RO"/>
        </w:rPr>
        <w:t>and</w:t>
      </w:r>
      <w:proofErr w:type="spellEnd"/>
      <w:r w:rsidRPr="009F15E8">
        <w:rPr>
          <w:sz w:val="24"/>
          <w:lang w:val="ro-RO"/>
        </w:rPr>
        <w:t xml:space="preserve"> </w:t>
      </w:r>
      <w:proofErr w:type="spellStart"/>
      <w:r w:rsidRPr="009F15E8">
        <w:rPr>
          <w:sz w:val="24"/>
          <w:lang w:val="ro-RO"/>
        </w:rPr>
        <w:t>Chemical</w:t>
      </w:r>
      <w:proofErr w:type="spellEnd"/>
      <w:r w:rsidRPr="009F15E8">
        <w:rPr>
          <w:sz w:val="24"/>
          <w:lang w:val="ro-RO"/>
        </w:rPr>
        <w:t xml:space="preserve"> </w:t>
      </w:r>
      <w:proofErr w:type="spellStart"/>
      <w:r w:rsidRPr="009F15E8">
        <w:rPr>
          <w:sz w:val="24"/>
          <w:lang w:val="ro-RO"/>
        </w:rPr>
        <w:t>Toxicology</w:t>
      </w:r>
      <w:proofErr w:type="spellEnd"/>
      <w:r w:rsidRPr="009F15E8">
        <w:rPr>
          <w:sz w:val="24"/>
          <w:lang w:val="ro-RO"/>
        </w:rPr>
        <w:t>, mai 2016, volumul 91, p. </w:t>
      </w:r>
      <w:r w:rsidRPr="009F15E8">
        <w:rPr>
          <w:sz w:val="24"/>
          <w:lang w:val="ro-RO"/>
        </w:rPr>
        <w:t xml:space="preserve">130-140, </w:t>
      </w:r>
      <w:hyperlink r:id="rId23" w:history="1">
        <w:r w:rsidRPr="009F15E8">
          <w:rPr>
            <w:rStyle w:val="Hyperlink"/>
            <w:sz w:val="24"/>
            <w:lang w:val="ro-RO"/>
          </w:rPr>
          <w:t>https://doi.org/10.1016/j.fct.2016.03.009</w:t>
        </w:r>
      </w:hyperlink>
      <w:r w:rsidRPr="009F15E8">
        <w:rPr>
          <w:sz w:val="24"/>
          <w:lang w:val="ro-RO"/>
        </w:rPr>
        <w:t>.</w:t>
      </w:r>
    </w:p>
  </w:footnote>
  <w:footnote w:id="13">
    <w:p w14:paraId="1687D966" w14:textId="63403F95" w:rsidR="00960B02" w:rsidRPr="009F15E8" w:rsidRDefault="00960B02" w:rsidP="00F71325">
      <w:pPr>
        <w:pStyle w:val="FootnoteText"/>
        <w:ind w:left="567" w:hanging="567"/>
        <w:rPr>
          <w:sz w:val="24"/>
          <w:lang w:val="ro-RO"/>
        </w:rPr>
      </w:pPr>
      <w:r w:rsidRPr="009F15E8">
        <w:rPr>
          <w:rStyle w:val="FootnoteReference"/>
          <w:sz w:val="24"/>
          <w:lang w:val="ro-RO"/>
        </w:rPr>
        <w:footnoteRef/>
      </w:r>
      <w:r w:rsidR="00F71325" w:rsidRPr="009F15E8">
        <w:rPr>
          <w:sz w:val="24"/>
          <w:lang w:val="ro-RO"/>
        </w:rPr>
        <w:t xml:space="preserve"> </w:t>
      </w:r>
      <w:r w:rsidR="00F71325" w:rsidRPr="009F15E8">
        <w:rPr>
          <w:sz w:val="24"/>
          <w:lang w:val="ro-RO"/>
        </w:rPr>
        <w:tab/>
      </w:r>
      <w:proofErr w:type="spellStart"/>
      <w:r w:rsidRPr="009F15E8">
        <w:rPr>
          <w:sz w:val="24"/>
          <w:lang w:val="ro-RO"/>
        </w:rPr>
        <w:t>Trtikova</w:t>
      </w:r>
      <w:proofErr w:type="spellEnd"/>
      <w:r w:rsidRPr="009F15E8">
        <w:rPr>
          <w:sz w:val="24"/>
          <w:lang w:val="ro-RO"/>
        </w:rPr>
        <w:t xml:space="preserve">, M., Lohn, A., </w:t>
      </w:r>
      <w:proofErr w:type="spellStart"/>
      <w:r w:rsidRPr="009F15E8">
        <w:rPr>
          <w:sz w:val="24"/>
          <w:lang w:val="ro-RO"/>
        </w:rPr>
        <w:t>Binimelis</w:t>
      </w:r>
      <w:proofErr w:type="spellEnd"/>
      <w:r w:rsidRPr="009F15E8">
        <w:rPr>
          <w:sz w:val="24"/>
          <w:lang w:val="ro-RO"/>
        </w:rPr>
        <w:t xml:space="preserve">, R., </w:t>
      </w:r>
      <w:proofErr w:type="spellStart"/>
      <w:r w:rsidRPr="009F15E8">
        <w:rPr>
          <w:sz w:val="24"/>
          <w:lang w:val="ro-RO"/>
        </w:rPr>
        <w:t>Chapela</w:t>
      </w:r>
      <w:proofErr w:type="spellEnd"/>
      <w:r w:rsidRPr="009F15E8">
        <w:rPr>
          <w:sz w:val="24"/>
          <w:lang w:val="ro-RO"/>
        </w:rPr>
        <w:t xml:space="preserve">, I., </w:t>
      </w:r>
      <w:proofErr w:type="spellStart"/>
      <w:r w:rsidRPr="009F15E8">
        <w:rPr>
          <w:sz w:val="24"/>
          <w:lang w:val="ro-RO"/>
        </w:rPr>
        <w:t>Oehen</w:t>
      </w:r>
      <w:proofErr w:type="spellEnd"/>
      <w:r w:rsidRPr="009F15E8">
        <w:rPr>
          <w:sz w:val="24"/>
          <w:lang w:val="ro-RO"/>
        </w:rPr>
        <w:t xml:space="preserve">, B., </w:t>
      </w:r>
      <w:proofErr w:type="spellStart"/>
      <w:r w:rsidRPr="009F15E8">
        <w:rPr>
          <w:sz w:val="24"/>
          <w:lang w:val="ro-RO"/>
        </w:rPr>
        <w:t>Zemp</w:t>
      </w:r>
      <w:proofErr w:type="spellEnd"/>
      <w:r w:rsidRPr="009F15E8">
        <w:rPr>
          <w:sz w:val="24"/>
          <w:lang w:val="ro-RO"/>
        </w:rPr>
        <w:t xml:space="preserve">, N., Widmer, A., </w:t>
      </w:r>
      <w:proofErr w:type="spellStart"/>
      <w:r w:rsidRPr="009F15E8">
        <w:rPr>
          <w:sz w:val="24"/>
          <w:lang w:val="ro-RO"/>
        </w:rPr>
        <w:t>Hilbeck</w:t>
      </w:r>
      <w:proofErr w:type="spellEnd"/>
      <w:r w:rsidRPr="009F15E8">
        <w:rPr>
          <w:sz w:val="24"/>
          <w:lang w:val="ro-RO"/>
        </w:rPr>
        <w:t>, A., (2017), „</w:t>
      </w:r>
      <w:proofErr w:type="spellStart"/>
      <w:r w:rsidRPr="009F15E8">
        <w:rPr>
          <w:sz w:val="24"/>
          <w:lang w:val="ro-RO"/>
        </w:rPr>
        <w:t>Teosinte</w:t>
      </w:r>
      <w:proofErr w:type="spellEnd"/>
      <w:r w:rsidRPr="009F15E8">
        <w:rPr>
          <w:sz w:val="24"/>
          <w:lang w:val="ro-RO"/>
        </w:rPr>
        <w:t xml:space="preserve"> in Europe – </w:t>
      </w:r>
      <w:proofErr w:type="spellStart"/>
      <w:r w:rsidRPr="009F15E8">
        <w:rPr>
          <w:sz w:val="24"/>
          <w:lang w:val="ro-RO"/>
        </w:rPr>
        <w:t>Searching</w:t>
      </w:r>
      <w:proofErr w:type="spellEnd"/>
      <w:r w:rsidRPr="009F15E8">
        <w:rPr>
          <w:sz w:val="24"/>
          <w:lang w:val="ro-RO"/>
        </w:rPr>
        <w:t xml:space="preserve"> for </w:t>
      </w:r>
      <w:proofErr w:type="spellStart"/>
      <w:r w:rsidRPr="009F15E8">
        <w:rPr>
          <w:sz w:val="24"/>
          <w:lang w:val="ro-RO"/>
        </w:rPr>
        <w:t>the</w:t>
      </w:r>
      <w:proofErr w:type="spellEnd"/>
      <w:r w:rsidRPr="009F15E8">
        <w:rPr>
          <w:sz w:val="24"/>
          <w:lang w:val="ro-RO"/>
        </w:rPr>
        <w:t xml:space="preserve"> </w:t>
      </w:r>
      <w:proofErr w:type="spellStart"/>
      <w:r w:rsidRPr="009F15E8">
        <w:rPr>
          <w:sz w:val="24"/>
          <w:lang w:val="ro-RO"/>
        </w:rPr>
        <w:t>Origin</w:t>
      </w:r>
      <w:proofErr w:type="spellEnd"/>
      <w:r w:rsidRPr="009F15E8">
        <w:rPr>
          <w:sz w:val="24"/>
          <w:lang w:val="ro-RO"/>
        </w:rPr>
        <w:t xml:space="preserve"> of a </w:t>
      </w:r>
      <w:proofErr w:type="spellStart"/>
      <w:r w:rsidRPr="009F15E8">
        <w:rPr>
          <w:sz w:val="24"/>
          <w:lang w:val="ro-RO"/>
        </w:rPr>
        <w:t>Novel</w:t>
      </w:r>
      <w:proofErr w:type="spellEnd"/>
      <w:r w:rsidRPr="009F15E8">
        <w:rPr>
          <w:sz w:val="24"/>
          <w:lang w:val="ro-RO"/>
        </w:rPr>
        <w:t xml:space="preserve"> </w:t>
      </w:r>
      <w:proofErr w:type="spellStart"/>
      <w:r w:rsidRPr="009F15E8">
        <w:rPr>
          <w:sz w:val="24"/>
          <w:lang w:val="ro-RO"/>
        </w:rPr>
        <w:t>Weed</w:t>
      </w:r>
      <w:proofErr w:type="spellEnd"/>
      <w:r w:rsidRPr="009F15E8">
        <w:rPr>
          <w:sz w:val="24"/>
          <w:lang w:val="ro-RO"/>
        </w:rPr>
        <w:t xml:space="preserve">”, rapoarte științifice, 7: 1560, </w:t>
      </w:r>
      <w:hyperlink r:id="rId24" w:history="1">
        <w:r w:rsidRPr="009F15E8">
          <w:rPr>
            <w:rStyle w:val="Hyperlink"/>
            <w:sz w:val="24"/>
            <w:lang w:val="ro-RO"/>
          </w:rPr>
          <w:t>https://doi.org/10.1038/s41598-017-01478-w</w:t>
        </w:r>
      </w:hyperlink>
      <w:r w:rsidRPr="009F15E8">
        <w:rPr>
          <w:sz w:val="24"/>
          <w:lang w:val="ro-RO"/>
        </w:rPr>
        <w:t>.</w:t>
      </w:r>
    </w:p>
  </w:footnote>
  <w:footnote w:id="14">
    <w:p w14:paraId="74ABD68C" w14:textId="7CDA9821" w:rsidR="00960B02" w:rsidRPr="009F15E8" w:rsidRDefault="00960B02" w:rsidP="00F71325">
      <w:pPr>
        <w:pStyle w:val="FootnoteText"/>
        <w:ind w:left="567" w:hanging="567"/>
        <w:rPr>
          <w:sz w:val="24"/>
          <w:lang w:val="ro-RO"/>
        </w:rPr>
      </w:pPr>
      <w:r w:rsidRPr="009F15E8">
        <w:rPr>
          <w:rStyle w:val="FootnoteReference"/>
          <w:sz w:val="24"/>
          <w:lang w:val="ro-RO"/>
        </w:rPr>
        <w:footnoteRef/>
      </w:r>
      <w:r w:rsidR="00F71325" w:rsidRPr="009F15E8">
        <w:rPr>
          <w:sz w:val="24"/>
          <w:lang w:val="ro-RO"/>
        </w:rPr>
        <w:t xml:space="preserve"> </w:t>
      </w:r>
      <w:r w:rsidR="00F71325" w:rsidRPr="009F15E8">
        <w:rPr>
          <w:sz w:val="24"/>
          <w:lang w:val="ro-RO"/>
        </w:rPr>
        <w:tab/>
      </w:r>
      <w:r w:rsidRPr="009F15E8">
        <w:rPr>
          <w:sz w:val="24"/>
          <w:lang w:val="ro-RO"/>
        </w:rPr>
        <w:t xml:space="preserve">„Strategic </w:t>
      </w:r>
      <w:proofErr w:type="spellStart"/>
      <w:r w:rsidRPr="009F15E8">
        <w:rPr>
          <w:sz w:val="24"/>
          <w:lang w:val="ro-RO"/>
        </w:rPr>
        <w:t>Dialogue</w:t>
      </w:r>
      <w:proofErr w:type="spellEnd"/>
      <w:r w:rsidRPr="009F15E8">
        <w:rPr>
          <w:sz w:val="24"/>
          <w:lang w:val="ro-RO"/>
        </w:rPr>
        <w:t xml:space="preserve"> on </w:t>
      </w:r>
      <w:proofErr w:type="spellStart"/>
      <w:r w:rsidRPr="009F15E8">
        <w:rPr>
          <w:sz w:val="24"/>
          <w:lang w:val="ro-RO"/>
        </w:rPr>
        <w:t>the</w:t>
      </w:r>
      <w:proofErr w:type="spellEnd"/>
      <w:r w:rsidRPr="009F15E8">
        <w:rPr>
          <w:sz w:val="24"/>
          <w:lang w:val="ro-RO"/>
        </w:rPr>
        <w:t xml:space="preserve"> </w:t>
      </w:r>
      <w:proofErr w:type="spellStart"/>
      <w:r w:rsidRPr="009F15E8">
        <w:rPr>
          <w:sz w:val="24"/>
          <w:lang w:val="ro-RO"/>
        </w:rPr>
        <w:t>Future</w:t>
      </w:r>
      <w:proofErr w:type="spellEnd"/>
      <w:r w:rsidRPr="009F15E8">
        <w:rPr>
          <w:sz w:val="24"/>
          <w:lang w:val="ro-RO"/>
        </w:rPr>
        <w:t xml:space="preserve"> of EU </w:t>
      </w:r>
      <w:proofErr w:type="spellStart"/>
      <w:r w:rsidRPr="009F15E8">
        <w:rPr>
          <w:sz w:val="24"/>
          <w:lang w:val="ro-RO"/>
        </w:rPr>
        <w:t>Agriculture</w:t>
      </w:r>
      <w:proofErr w:type="spellEnd"/>
      <w:r w:rsidRPr="009F15E8">
        <w:rPr>
          <w:sz w:val="24"/>
          <w:lang w:val="ro-RO"/>
        </w:rPr>
        <w:t xml:space="preserve"> – A </w:t>
      </w:r>
      <w:proofErr w:type="spellStart"/>
      <w:r w:rsidRPr="009F15E8">
        <w:rPr>
          <w:sz w:val="24"/>
          <w:lang w:val="ro-RO"/>
        </w:rPr>
        <w:t>shared</w:t>
      </w:r>
      <w:proofErr w:type="spellEnd"/>
      <w:r w:rsidRPr="009F15E8">
        <w:rPr>
          <w:sz w:val="24"/>
          <w:lang w:val="ro-RO"/>
        </w:rPr>
        <w:t xml:space="preserve"> prospect for </w:t>
      </w:r>
      <w:proofErr w:type="spellStart"/>
      <w:r w:rsidRPr="009F15E8">
        <w:rPr>
          <w:sz w:val="24"/>
          <w:lang w:val="ro-RO"/>
        </w:rPr>
        <w:t>farming</w:t>
      </w:r>
      <w:proofErr w:type="spellEnd"/>
      <w:r w:rsidRPr="009F15E8">
        <w:rPr>
          <w:sz w:val="24"/>
          <w:lang w:val="ro-RO"/>
        </w:rPr>
        <w:t xml:space="preserve"> </w:t>
      </w:r>
      <w:proofErr w:type="spellStart"/>
      <w:r w:rsidRPr="009F15E8">
        <w:rPr>
          <w:sz w:val="24"/>
          <w:lang w:val="ro-RO"/>
        </w:rPr>
        <w:t>and</w:t>
      </w:r>
      <w:proofErr w:type="spellEnd"/>
      <w:r w:rsidRPr="009F15E8">
        <w:rPr>
          <w:sz w:val="24"/>
          <w:lang w:val="ro-RO"/>
        </w:rPr>
        <w:t xml:space="preserve"> </w:t>
      </w:r>
      <w:proofErr w:type="spellStart"/>
      <w:r w:rsidRPr="009F15E8">
        <w:rPr>
          <w:sz w:val="24"/>
          <w:lang w:val="ro-RO"/>
        </w:rPr>
        <w:t>food</w:t>
      </w:r>
      <w:proofErr w:type="spellEnd"/>
      <w:r w:rsidRPr="009F15E8">
        <w:rPr>
          <w:sz w:val="24"/>
          <w:lang w:val="ro-RO"/>
        </w:rPr>
        <w:t xml:space="preserve"> in Europe”, septembrie 2024, </w:t>
      </w:r>
      <w:hyperlink r:id="rId25" w:history="1">
        <w:r w:rsidRPr="009F15E8">
          <w:rPr>
            <w:rStyle w:val="Hyperlink"/>
            <w:sz w:val="24"/>
            <w:lang w:val="ro-RO"/>
          </w:rPr>
          <w:t>https://agriculture.ec.europa.eu/document/download/171329ff-0f50-4fa5-946f-aea11032172e_en?filename=strategic-dialogue-report-2024_en.pdf</w:t>
        </w:r>
      </w:hyperlink>
      <w:r w:rsidRPr="009F15E8">
        <w:rPr>
          <w:sz w:val="24"/>
          <w:lang w:val="ro-RO"/>
        </w:rPr>
        <w:t xml:space="preserve">. </w:t>
      </w:r>
    </w:p>
  </w:footnote>
  <w:footnote w:id="15">
    <w:p w14:paraId="7F52B769" w14:textId="5C451902" w:rsidR="00960B02" w:rsidRPr="009F15E8" w:rsidRDefault="00960B02" w:rsidP="00F71325">
      <w:pPr>
        <w:pStyle w:val="FootnoteText"/>
        <w:ind w:left="567" w:hanging="567"/>
        <w:rPr>
          <w:sz w:val="24"/>
          <w:lang w:val="ro-RO"/>
        </w:rPr>
      </w:pPr>
      <w:r w:rsidRPr="009F15E8">
        <w:rPr>
          <w:rStyle w:val="FootnoteReference"/>
          <w:sz w:val="24"/>
          <w:lang w:val="ro-RO"/>
        </w:rPr>
        <w:footnoteRef/>
      </w:r>
      <w:r w:rsidR="00F71325" w:rsidRPr="009F15E8">
        <w:rPr>
          <w:sz w:val="24"/>
          <w:lang w:val="ro-RO"/>
        </w:rPr>
        <w:t xml:space="preserve"> </w:t>
      </w:r>
      <w:r w:rsidR="00F71325" w:rsidRPr="009F15E8">
        <w:rPr>
          <w:sz w:val="24"/>
          <w:lang w:val="ro-RO"/>
        </w:rPr>
        <w:tab/>
      </w:r>
      <w:hyperlink r:id="rId26" w:history="1">
        <w:r w:rsidRPr="009F15E8">
          <w:rPr>
            <w:rStyle w:val="Hyperlink"/>
            <w:sz w:val="24"/>
            <w:lang w:val="ro-RO"/>
          </w:rPr>
          <w:t>https://www.ohchr.org/en/documents/thematic-reports/ahrc3448-report-special-rapporteur-right-food</w:t>
        </w:r>
      </w:hyperlink>
      <w:r w:rsidRPr="009F15E8">
        <w:rPr>
          <w:sz w:val="24"/>
          <w:lang w:val="ro-RO"/>
        </w:rPr>
        <w:t>.</w:t>
      </w:r>
    </w:p>
  </w:footnote>
  <w:footnote w:id="16">
    <w:p w14:paraId="23532F68" w14:textId="56443B5A" w:rsidR="00960B02" w:rsidRPr="009F15E8" w:rsidRDefault="00960B02" w:rsidP="00F71325">
      <w:pPr>
        <w:pStyle w:val="FootnoteText"/>
        <w:ind w:left="567" w:hanging="567"/>
        <w:rPr>
          <w:sz w:val="24"/>
          <w:lang w:val="ro-RO"/>
        </w:rPr>
      </w:pPr>
      <w:r w:rsidRPr="009F15E8">
        <w:rPr>
          <w:rStyle w:val="FootnoteReference"/>
          <w:sz w:val="24"/>
          <w:lang w:val="ro-RO"/>
        </w:rPr>
        <w:footnoteRef/>
      </w:r>
      <w:r w:rsidR="00F71325" w:rsidRPr="009F15E8">
        <w:rPr>
          <w:sz w:val="24"/>
          <w:lang w:val="ro-RO"/>
        </w:rPr>
        <w:t xml:space="preserve"> </w:t>
      </w:r>
      <w:r w:rsidR="00F71325" w:rsidRPr="009F15E8">
        <w:rPr>
          <w:sz w:val="24"/>
          <w:lang w:val="ro-RO"/>
        </w:rPr>
        <w:tab/>
      </w:r>
      <w:hyperlink r:id="rId27" w:history="1">
        <w:r w:rsidRPr="009F15E8">
          <w:rPr>
            <w:rStyle w:val="Hyperlink"/>
            <w:sz w:val="24"/>
            <w:lang w:val="ro-RO"/>
          </w:rPr>
          <w:t>https://www.un.org/sustainabledevelopment/health/</w:t>
        </w:r>
      </w:hyperlink>
      <w:r w:rsidRPr="009F15E8">
        <w:rPr>
          <w:sz w:val="24"/>
          <w:lang w:val="ro-RO"/>
        </w:rPr>
        <w:t>.</w:t>
      </w:r>
    </w:p>
  </w:footnote>
  <w:footnote w:id="17">
    <w:p w14:paraId="494E70C9" w14:textId="7B8D0FE2" w:rsidR="00960B02" w:rsidRPr="009F15E8" w:rsidRDefault="00960B02" w:rsidP="00F71325">
      <w:pPr>
        <w:pStyle w:val="FootnoteText"/>
        <w:ind w:left="567" w:hanging="567"/>
        <w:rPr>
          <w:sz w:val="24"/>
          <w:lang w:val="ro-RO"/>
        </w:rPr>
      </w:pPr>
      <w:r w:rsidRPr="009F15E8">
        <w:rPr>
          <w:rStyle w:val="FootnoteReference"/>
          <w:sz w:val="24"/>
          <w:lang w:val="ro-RO"/>
        </w:rPr>
        <w:footnoteRef/>
      </w:r>
      <w:r w:rsidR="00F71325" w:rsidRPr="009F15E8">
        <w:rPr>
          <w:sz w:val="24"/>
          <w:lang w:val="ro-RO"/>
        </w:rPr>
        <w:t xml:space="preserve"> </w:t>
      </w:r>
      <w:r w:rsidR="00F71325" w:rsidRPr="009F15E8">
        <w:rPr>
          <w:sz w:val="24"/>
          <w:lang w:val="ro-RO"/>
        </w:rPr>
        <w:tab/>
      </w:r>
      <w:hyperlink r:id="rId28" w:history="1">
        <w:r w:rsidRPr="009F15E8">
          <w:rPr>
            <w:rStyle w:val="Hyperlink"/>
            <w:sz w:val="24"/>
            <w:lang w:val="ro-RO"/>
          </w:rPr>
          <w:t>https://ec.europa.eu/commission/presscorner/detail/ro/ip_22_7834</w:t>
        </w:r>
      </w:hyperlink>
      <w:r w:rsidRPr="009F15E8">
        <w:rPr>
          <w:sz w:val="24"/>
          <w:lang w:val="ro-RO"/>
        </w:rPr>
        <w:t>.</w:t>
      </w:r>
    </w:p>
  </w:footnote>
  <w:footnote w:id="18">
    <w:p w14:paraId="6149BE36" w14:textId="6EFDD1C0" w:rsidR="00960B02" w:rsidRPr="009F15E8" w:rsidRDefault="00960B02" w:rsidP="00F71325">
      <w:pPr>
        <w:pStyle w:val="FootnoteText"/>
        <w:ind w:left="567" w:hanging="567"/>
        <w:rPr>
          <w:sz w:val="24"/>
          <w:lang w:val="ro-RO"/>
        </w:rPr>
      </w:pPr>
      <w:r w:rsidRPr="009F15E8">
        <w:rPr>
          <w:rStyle w:val="FootnoteReference"/>
          <w:sz w:val="24"/>
          <w:lang w:val="ro-RO"/>
        </w:rPr>
        <w:footnoteRef/>
      </w:r>
      <w:r w:rsidR="00F71325" w:rsidRPr="009F15E8">
        <w:rPr>
          <w:sz w:val="24"/>
          <w:lang w:val="ro-RO"/>
        </w:rPr>
        <w:t xml:space="preserve"> </w:t>
      </w:r>
      <w:r w:rsidR="00F71325" w:rsidRPr="009F15E8">
        <w:rPr>
          <w:sz w:val="24"/>
          <w:lang w:val="ro-RO"/>
        </w:rPr>
        <w:tab/>
      </w:r>
      <w:hyperlink r:id="rId29" w:history="1">
        <w:r w:rsidRPr="009F15E8">
          <w:rPr>
            <w:rStyle w:val="Hyperlink"/>
            <w:sz w:val="24"/>
            <w:lang w:val="ro-RO"/>
          </w:rPr>
          <w:t>https://commission.europa.eu/document/2c64e540-c07a-4376-a1da-368d289f4afe_en</w:t>
        </w:r>
      </w:hyperlink>
      <w:r w:rsidRPr="009F15E8">
        <w:rPr>
          <w:sz w:val="24"/>
          <w:lang w:val="ro-RO"/>
        </w:rPr>
        <w:t>.</w:t>
      </w:r>
    </w:p>
  </w:footnote>
  <w:footnote w:id="19">
    <w:p w14:paraId="65130CBC" w14:textId="4518C4DC" w:rsidR="00960B02" w:rsidRPr="009F15E8" w:rsidRDefault="00960B02" w:rsidP="00F71325">
      <w:pPr>
        <w:pStyle w:val="FootnoteText"/>
        <w:ind w:left="567" w:hanging="567"/>
        <w:rPr>
          <w:sz w:val="24"/>
          <w:lang w:val="ro-RO"/>
        </w:rPr>
      </w:pPr>
      <w:r w:rsidRPr="009F15E8">
        <w:rPr>
          <w:rStyle w:val="FootnoteReference"/>
          <w:sz w:val="24"/>
          <w:lang w:val="ro-RO"/>
        </w:rPr>
        <w:footnoteRef/>
      </w:r>
      <w:r w:rsidR="00F71325" w:rsidRPr="009F15E8">
        <w:rPr>
          <w:sz w:val="24"/>
          <w:lang w:val="ro-RO"/>
        </w:rPr>
        <w:t xml:space="preserve"> </w:t>
      </w:r>
      <w:r w:rsidR="00F71325" w:rsidRPr="009F15E8">
        <w:rPr>
          <w:sz w:val="24"/>
          <w:lang w:val="ro-RO"/>
        </w:rPr>
        <w:tab/>
      </w:r>
      <w:r w:rsidRPr="009F15E8">
        <w:rPr>
          <w:sz w:val="24"/>
          <w:lang w:val="ro-RO"/>
        </w:rPr>
        <w:t>Comisia „poate”, și nu „trebuie”, să acorde o autorizație dacă nu există o majoritate calificată a statelor membre în Comitetul de apel care să susțină o decizie favorabilă, în conformitate cu articolul 6 alineatul (3) din Regulamentul (UE) nr. 182/2011.</w:t>
      </w:r>
    </w:p>
  </w:footnote>
  <w:footnote w:id="20">
    <w:p w14:paraId="26DC7073" w14:textId="6F9B1A50" w:rsidR="00960B02" w:rsidRPr="009F15E8" w:rsidRDefault="00960B02" w:rsidP="00F71325">
      <w:pPr>
        <w:pStyle w:val="FootnoteText"/>
        <w:ind w:left="567" w:hanging="567"/>
        <w:rPr>
          <w:sz w:val="24"/>
          <w:lang w:val="ro-RO"/>
        </w:rPr>
      </w:pPr>
      <w:r w:rsidRPr="009F15E8">
        <w:rPr>
          <w:rStyle w:val="FootnoteReference"/>
          <w:sz w:val="24"/>
          <w:lang w:val="ro-RO"/>
        </w:rPr>
        <w:footnoteRef/>
      </w:r>
      <w:r w:rsidR="00F71325" w:rsidRPr="009F15E8">
        <w:rPr>
          <w:sz w:val="24"/>
          <w:lang w:val="ro-RO"/>
        </w:rPr>
        <w:t xml:space="preserve"> </w:t>
      </w:r>
      <w:r w:rsidR="00F71325" w:rsidRPr="009F15E8">
        <w:rPr>
          <w:sz w:val="24"/>
          <w:lang w:val="ro-RO"/>
        </w:rPr>
        <w:tab/>
      </w:r>
      <w:hyperlink r:id="rId30" w:history="1">
        <w:r w:rsidRPr="009F15E8">
          <w:rPr>
            <w:rStyle w:val="Hyperlink"/>
            <w:sz w:val="24"/>
            <w:lang w:val="ro-RO"/>
          </w:rPr>
          <w:t>https://food.ec.europa.eu/document/download/ee1a5aed-5303-4c32-bb59-813143a1df47_en?filename=sc_modif-genet_20250613_sum.pdf</w:t>
        </w:r>
      </w:hyperlink>
      <w:r w:rsidRPr="009F15E8">
        <w:rPr>
          <w:sz w:val="24"/>
          <w:lang w:val="ro-RO"/>
        </w:rPr>
        <w:t>.</w:t>
      </w:r>
    </w:p>
  </w:footnote>
  <w:footnote w:id="21">
    <w:p w14:paraId="71D2B1AF" w14:textId="5AC0A1AD" w:rsidR="00960B02" w:rsidRPr="009F15E8" w:rsidRDefault="00960B02" w:rsidP="00F71325">
      <w:pPr>
        <w:pStyle w:val="FootnoteText"/>
        <w:ind w:left="567" w:hanging="567"/>
        <w:rPr>
          <w:sz w:val="24"/>
          <w:lang w:val="ro-RO"/>
        </w:rPr>
      </w:pPr>
      <w:r w:rsidRPr="009F15E8">
        <w:rPr>
          <w:rStyle w:val="FootnoteReference"/>
          <w:sz w:val="24"/>
          <w:lang w:val="ro-RO"/>
        </w:rPr>
        <w:footnoteRef/>
      </w:r>
      <w:r w:rsidR="00F71325" w:rsidRPr="009F15E8">
        <w:rPr>
          <w:sz w:val="24"/>
          <w:lang w:val="ro-RO"/>
        </w:rPr>
        <w:t xml:space="preserve"> </w:t>
      </w:r>
      <w:r w:rsidR="00F71325" w:rsidRPr="009F15E8">
        <w:rPr>
          <w:sz w:val="24"/>
          <w:lang w:val="ro-RO"/>
        </w:rPr>
        <w:tab/>
      </w:r>
      <w:r w:rsidRPr="009F15E8">
        <w:rPr>
          <w:sz w:val="24"/>
          <w:lang w:val="ro-RO"/>
        </w:rPr>
        <w:t>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(JO L 31, 1.2.2002, p. </w:t>
      </w:r>
      <w:r w:rsidRPr="009F15E8">
        <w:rPr>
          <w:sz w:val="24"/>
          <w:lang w:val="ro-RO"/>
        </w:rPr>
        <w:t xml:space="preserve">1, ELI: </w:t>
      </w:r>
      <w:hyperlink r:id="rId31" w:history="1">
        <w:r w:rsidRPr="009F15E8">
          <w:rPr>
            <w:rStyle w:val="Hyperlink"/>
            <w:sz w:val="24"/>
            <w:lang w:val="ro-RO"/>
          </w:rPr>
          <w:t>http://data.europa.eu/eli/reg/2002/178/oj</w:t>
        </w:r>
      </w:hyperlink>
      <w:r w:rsidRPr="009F15E8">
        <w:rPr>
          <w:sz w:val="24"/>
          <w:lang w:val="ro-RO"/>
        </w:rPr>
        <w:t>).</w:t>
      </w:r>
    </w:p>
  </w:footnote>
  <w:footnote w:id="22">
    <w:p w14:paraId="3AF77279" w14:textId="6FDDA466" w:rsidR="00960B02" w:rsidRPr="009F15E8" w:rsidRDefault="00960B02" w:rsidP="00F71325">
      <w:pPr>
        <w:pStyle w:val="FootnoteText"/>
        <w:ind w:left="567" w:hanging="567"/>
        <w:rPr>
          <w:sz w:val="24"/>
          <w:lang w:val="ro-RO"/>
        </w:rPr>
      </w:pPr>
      <w:r w:rsidRPr="009F15E8">
        <w:rPr>
          <w:rStyle w:val="FootnoteReference"/>
          <w:sz w:val="24"/>
          <w:lang w:val="ro-RO"/>
        </w:rPr>
        <w:footnoteRef/>
      </w:r>
      <w:r w:rsidR="00F71325" w:rsidRPr="009F15E8">
        <w:rPr>
          <w:sz w:val="24"/>
          <w:lang w:val="ro-RO"/>
        </w:rPr>
        <w:t xml:space="preserve"> </w:t>
      </w:r>
      <w:r w:rsidR="00F71325" w:rsidRPr="009F15E8">
        <w:rPr>
          <w:sz w:val="24"/>
          <w:lang w:val="ro-RO"/>
        </w:rPr>
        <w:tab/>
      </w:r>
      <w:r w:rsidRPr="009F15E8">
        <w:rPr>
          <w:sz w:val="24"/>
          <w:lang w:val="ro-RO"/>
        </w:rPr>
        <w:t xml:space="preserve">Astfel cum se indică în anexa la comunicarea Comisiei din 14 octombrie 2020 intitulată „Strategia pentru promovarea sustenabilității în domeniul substanțelor chimice – Către un mediu fără substanțe toxice”, COM(2020)0667, </w:t>
      </w:r>
      <w:hyperlink r:id="rId32" w:anchor="document2" w:history="1">
        <w:r w:rsidRPr="009F15E8">
          <w:rPr>
            <w:rStyle w:val="Hyperlink"/>
            <w:sz w:val="24"/>
            <w:lang w:val="ro-RO"/>
          </w:rPr>
          <w:t>https://eur-lex.europa.eu/legal-content/RO/TXT/?uri=COM%3A2020%3A667%3AFIN#document2</w:t>
        </w:r>
      </w:hyperlink>
      <w:r w:rsidRPr="009F15E8">
        <w:rPr>
          <w:sz w:val="24"/>
          <w:lang w:val="ro-RO"/>
        </w:rPr>
        <w:t>.</w:t>
      </w:r>
    </w:p>
  </w:footnote>
  <w:footnote w:id="23">
    <w:p w14:paraId="41EF5503" w14:textId="5345761C" w:rsidR="00960B02" w:rsidRPr="009F15E8" w:rsidRDefault="00960B02" w:rsidP="00F71325">
      <w:pPr>
        <w:pStyle w:val="FootnoteText"/>
        <w:ind w:left="567" w:hanging="567"/>
        <w:rPr>
          <w:sz w:val="24"/>
          <w:lang w:val="ro-RO"/>
        </w:rPr>
      </w:pPr>
      <w:r w:rsidRPr="009F15E8">
        <w:rPr>
          <w:rStyle w:val="FootnoteReference"/>
          <w:sz w:val="24"/>
          <w:lang w:val="ro-RO"/>
        </w:rPr>
        <w:footnoteRef/>
      </w:r>
      <w:r w:rsidR="00F71325" w:rsidRPr="009F15E8">
        <w:rPr>
          <w:sz w:val="24"/>
          <w:lang w:val="ro-RO"/>
        </w:rPr>
        <w:t xml:space="preserve"> </w:t>
      </w:r>
      <w:r w:rsidR="00F71325" w:rsidRPr="009F15E8">
        <w:rPr>
          <w:sz w:val="24"/>
          <w:lang w:val="ro-RO"/>
        </w:rPr>
        <w:tab/>
      </w:r>
      <w:hyperlink r:id="rId33" w:history="1">
        <w:r w:rsidRPr="009F15E8">
          <w:rPr>
            <w:rStyle w:val="Hyperlink"/>
            <w:sz w:val="24"/>
            <w:lang w:val="ro-RO"/>
          </w:rPr>
          <w:t>https://tillymetz.lu/wp-content/uploads/2020/09/Co-signed-letter-MEP-Metz.pdf</w:t>
        </w:r>
      </w:hyperlink>
      <w:r w:rsidRPr="009F15E8">
        <w:rPr>
          <w:sz w:val="24"/>
          <w:lang w:val="ro-RO"/>
        </w:rPr>
        <w:t xml:space="preserve">. </w:t>
      </w:r>
    </w:p>
  </w:footnote>
  <w:footnote w:id="24">
    <w:p w14:paraId="159D31C1" w14:textId="5BAB485B" w:rsidR="00960B02" w:rsidRPr="00F71325" w:rsidRDefault="00960B02" w:rsidP="00F71325">
      <w:pPr>
        <w:pStyle w:val="FootnoteText"/>
        <w:ind w:left="567" w:hanging="567"/>
        <w:rPr>
          <w:sz w:val="24"/>
          <w:lang w:val="ro-RO"/>
        </w:rPr>
      </w:pPr>
      <w:r w:rsidRPr="009F15E8">
        <w:rPr>
          <w:rStyle w:val="FootnoteReference"/>
          <w:sz w:val="24"/>
          <w:lang w:val="ro-RO"/>
        </w:rPr>
        <w:footnoteRef/>
      </w:r>
      <w:r w:rsidR="00F71325" w:rsidRPr="009F15E8">
        <w:rPr>
          <w:sz w:val="24"/>
          <w:lang w:val="ro-RO"/>
        </w:rPr>
        <w:t xml:space="preserve"> </w:t>
      </w:r>
      <w:r w:rsidR="00F71325" w:rsidRPr="009F15E8">
        <w:rPr>
          <w:sz w:val="24"/>
          <w:lang w:val="ro-RO"/>
        </w:rPr>
        <w:tab/>
      </w:r>
      <w:r w:rsidRPr="009F15E8">
        <w:rPr>
          <w:sz w:val="24"/>
          <w:lang w:val="ro-RO"/>
        </w:rPr>
        <w:t>Rezoluția Parlamentului European din 15 ianuarie 2020 referitoare la Pactul ecologic european (JO C 270, 7.7.2021, p. 2), punctul 102.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71C0A" w14:textId="77777777" w:rsidR="00064002" w:rsidRPr="00F7132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79D00" w14:textId="77777777" w:rsidR="00064002" w:rsidRPr="00F7132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E1EF3" w14:textId="77777777" w:rsidR="00064002" w:rsidRPr="00F713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34258561">
    <w:abstractNumId w:val="9"/>
  </w:num>
  <w:num w:numId="2" w16cid:durableId="2037999940">
    <w:abstractNumId w:val="9"/>
  </w:num>
  <w:num w:numId="3" w16cid:durableId="1778525144">
    <w:abstractNumId w:val="7"/>
  </w:num>
  <w:num w:numId="4" w16cid:durableId="1713071887">
    <w:abstractNumId w:val="7"/>
  </w:num>
  <w:num w:numId="5" w16cid:durableId="1458913047">
    <w:abstractNumId w:val="6"/>
  </w:num>
  <w:num w:numId="6" w16cid:durableId="580330490">
    <w:abstractNumId w:val="6"/>
  </w:num>
  <w:num w:numId="7" w16cid:durableId="1110735411">
    <w:abstractNumId w:val="5"/>
  </w:num>
  <w:num w:numId="8" w16cid:durableId="1474640403">
    <w:abstractNumId w:val="5"/>
  </w:num>
  <w:num w:numId="9" w16cid:durableId="1620334735">
    <w:abstractNumId w:val="4"/>
  </w:num>
  <w:num w:numId="10" w16cid:durableId="12534042">
    <w:abstractNumId w:val="4"/>
  </w:num>
  <w:num w:numId="11" w16cid:durableId="1326470327">
    <w:abstractNumId w:val="8"/>
  </w:num>
  <w:num w:numId="12" w16cid:durableId="1143735084">
    <w:abstractNumId w:val="8"/>
  </w:num>
  <w:num w:numId="13" w16cid:durableId="537207474">
    <w:abstractNumId w:val="3"/>
  </w:num>
  <w:num w:numId="14" w16cid:durableId="1119301814">
    <w:abstractNumId w:val="3"/>
  </w:num>
  <w:num w:numId="15" w16cid:durableId="1760446775">
    <w:abstractNumId w:val="2"/>
  </w:num>
  <w:num w:numId="16" w16cid:durableId="1478106778">
    <w:abstractNumId w:val="2"/>
  </w:num>
  <w:num w:numId="17" w16cid:durableId="371659522">
    <w:abstractNumId w:val="1"/>
  </w:num>
  <w:num w:numId="18" w16cid:durableId="763498236">
    <w:abstractNumId w:val="1"/>
  </w:num>
  <w:num w:numId="19" w16cid:durableId="1759018254">
    <w:abstractNumId w:val="0"/>
  </w:num>
  <w:num w:numId="20" w16cid:durableId="1847403375">
    <w:abstractNumId w:val="0"/>
  </w:num>
  <w:num w:numId="21" w16cid:durableId="124281407">
    <w:abstractNumId w:val="9"/>
  </w:num>
  <w:num w:numId="22" w16cid:durableId="667636901">
    <w:abstractNumId w:val="7"/>
  </w:num>
  <w:num w:numId="23" w16cid:durableId="681055343">
    <w:abstractNumId w:val="6"/>
  </w:num>
  <w:num w:numId="24" w16cid:durableId="1599406208">
    <w:abstractNumId w:val="5"/>
  </w:num>
  <w:num w:numId="25" w16cid:durableId="754666091">
    <w:abstractNumId w:val="4"/>
  </w:num>
  <w:num w:numId="26" w16cid:durableId="1452747407">
    <w:abstractNumId w:val="8"/>
  </w:num>
  <w:num w:numId="27" w16cid:durableId="1879509563">
    <w:abstractNumId w:val="3"/>
  </w:num>
  <w:num w:numId="28" w16cid:durableId="1771391841">
    <w:abstractNumId w:val="2"/>
  </w:num>
  <w:num w:numId="29" w16cid:durableId="844245757">
    <w:abstractNumId w:val="1"/>
  </w:num>
  <w:num w:numId="30" w16cid:durableId="882906169">
    <w:abstractNumId w:val="0"/>
  </w:num>
  <w:num w:numId="31" w16cid:durableId="917132955">
    <w:abstractNumId w:val="9"/>
  </w:num>
  <w:num w:numId="32" w16cid:durableId="651257792">
    <w:abstractNumId w:val="7"/>
  </w:num>
  <w:num w:numId="33" w16cid:durableId="1265110785">
    <w:abstractNumId w:val="6"/>
  </w:num>
  <w:num w:numId="34" w16cid:durableId="1051996851">
    <w:abstractNumId w:val="5"/>
  </w:num>
  <w:num w:numId="35" w16cid:durableId="1384451974">
    <w:abstractNumId w:val="4"/>
  </w:num>
  <w:num w:numId="36" w16cid:durableId="883566145">
    <w:abstractNumId w:val="8"/>
  </w:num>
  <w:num w:numId="37" w16cid:durableId="747964315">
    <w:abstractNumId w:val="3"/>
  </w:num>
  <w:num w:numId="38" w16cid:durableId="1186479439">
    <w:abstractNumId w:val="2"/>
  </w:num>
  <w:num w:numId="39" w16cid:durableId="402291858">
    <w:abstractNumId w:val="1"/>
  </w:num>
  <w:num w:numId="40" w16cid:durableId="221139210">
    <w:abstractNumId w:val="0"/>
  </w:num>
  <w:num w:numId="41" w16cid:durableId="1549956334">
    <w:abstractNumId w:val="10"/>
  </w:num>
  <w:num w:numId="42" w16cid:durableId="1263294841">
    <w:abstractNumId w:val="10"/>
  </w:num>
  <w:num w:numId="43" w16cid:durableId="1315795894">
    <w:abstractNumId w:val="10"/>
  </w:num>
  <w:num w:numId="44" w16cid:durableId="12516991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7/2025"/>
    <w:docVar w:name="dvlangue" w:val="RO"/>
    <w:docVar w:name="dvnumam" w:val="0"/>
    <w:docVar w:name="dvpe" w:val="775.588"/>
    <w:docVar w:name="dvtitre" w:val="Rezoluția Parlamentului European din 9 octombrie 2025 referitoare la proiectul de decizie de punere în aplicare a Comisiei de autorizare a introducerii pe piață a produselor care conțin, sunt compuse sau fabricate din porumb modificat genetic DP51291, în temeiul Regulamentului (CE) nr. 1829/2003 al Parlamentului European și al Consiliului(D108064/03 – 2025/2807(RSP))"/>
  </w:docVars>
  <w:rsids>
    <w:rsidRoot w:val="008F69FE"/>
    <w:rsid w:val="00002272"/>
    <w:rsid w:val="00030D5B"/>
    <w:rsid w:val="00064002"/>
    <w:rsid w:val="000677B9"/>
    <w:rsid w:val="000831BA"/>
    <w:rsid w:val="000A42CC"/>
    <w:rsid w:val="000C6D71"/>
    <w:rsid w:val="000E7DD9"/>
    <w:rsid w:val="0010095E"/>
    <w:rsid w:val="00125B37"/>
    <w:rsid w:val="00170D85"/>
    <w:rsid w:val="00187494"/>
    <w:rsid w:val="001F19F4"/>
    <w:rsid w:val="001F32AE"/>
    <w:rsid w:val="002767FF"/>
    <w:rsid w:val="002B18FE"/>
    <w:rsid w:val="002B5493"/>
    <w:rsid w:val="00343214"/>
    <w:rsid w:val="00361C00"/>
    <w:rsid w:val="00395FA1"/>
    <w:rsid w:val="003E15D4"/>
    <w:rsid w:val="00411CCE"/>
    <w:rsid w:val="0041666E"/>
    <w:rsid w:val="00421060"/>
    <w:rsid w:val="00471C19"/>
    <w:rsid w:val="00485543"/>
    <w:rsid w:val="004867E3"/>
    <w:rsid w:val="00494A28"/>
    <w:rsid w:val="004C0004"/>
    <w:rsid w:val="004C5D52"/>
    <w:rsid w:val="0050519A"/>
    <w:rsid w:val="005072A1"/>
    <w:rsid w:val="00514517"/>
    <w:rsid w:val="00545827"/>
    <w:rsid w:val="00557CE2"/>
    <w:rsid w:val="00560270"/>
    <w:rsid w:val="005714B0"/>
    <w:rsid w:val="005C2568"/>
    <w:rsid w:val="005E250A"/>
    <w:rsid w:val="005F1B17"/>
    <w:rsid w:val="006037C0"/>
    <w:rsid w:val="006620D0"/>
    <w:rsid w:val="006631B6"/>
    <w:rsid w:val="00680577"/>
    <w:rsid w:val="006F74FA"/>
    <w:rsid w:val="00731ADD"/>
    <w:rsid w:val="00734777"/>
    <w:rsid w:val="00747932"/>
    <w:rsid w:val="00751A4A"/>
    <w:rsid w:val="00756632"/>
    <w:rsid w:val="00762C74"/>
    <w:rsid w:val="00786EC0"/>
    <w:rsid w:val="007D1690"/>
    <w:rsid w:val="007E22AD"/>
    <w:rsid w:val="007E7555"/>
    <w:rsid w:val="00817416"/>
    <w:rsid w:val="00842779"/>
    <w:rsid w:val="00865F67"/>
    <w:rsid w:val="00881A7B"/>
    <w:rsid w:val="008840E5"/>
    <w:rsid w:val="00887B3E"/>
    <w:rsid w:val="008C2AC6"/>
    <w:rsid w:val="008F69FE"/>
    <w:rsid w:val="00930C23"/>
    <w:rsid w:val="0093193B"/>
    <w:rsid w:val="009509D8"/>
    <w:rsid w:val="00950B64"/>
    <w:rsid w:val="00960B02"/>
    <w:rsid w:val="00981893"/>
    <w:rsid w:val="009F15E8"/>
    <w:rsid w:val="00A1687D"/>
    <w:rsid w:val="00A43E52"/>
    <w:rsid w:val="00A4678D"/>
    <w:rsid w:val="00A748F5"/>
    <w:rsid w:val="00A778C7"/>
    <w:rsid w:val="00AB441E"/>
    <w:rsid w:val="00AB6293"/>
    <w:rsid w:val="00AE0928"/>
    <w:rsid w:val="00AF3B82"/>
    <w:rsid w:val="00B12E95"/>
    <w:rsid w:val="00B16394"/>
    <w:rsid w:val="00B22876"/>
    <w:rsid w:val="00B558F0"/>
    <w:rsid w:val="00BD48FE"/>
    <w:rsid w:val="00BD7BD8"/>
    <w:rsid w:val="00BE6ADC"/>
    <w:rsid w:val="00C05BFE"/>
    <w:rsid w:val="00C23CD4"/>
    <w:rsid w:val="00C61C0C"/>
    <w:rsid w:val="00C941CB"/>
    <w:rsid w:val="00CC2357"/>
    <w:rsid w:val="00CC7BC6"/>
    <w:rsid w:val="00CF071A"/>
    <w:rsid w:val="00D058B8"/>
    <w:rsid w:val="00D2435B"/>
    <w:rsid w:val="00D55E96"/>
    <w:rsid w:val="00D56C11"/>
    <w:rsid w:val="00D743AE"/>
    <w:rsid w:val="00D75C6E"/>
    <w:rsid w:val="00D834A0"/>
    <w:rsid w:val="00D872DF"/>
    <w:rsid w:val="00D91E21"/>
    <w:rsid w:val="00DA7FCD"/>
    <w:rsid w:val="00E365E1"/>
    <w:rsid w:val="00E820A4"/>
    <w:rsid w:val="00EB006A"/>
    <w:rsid w:val="00EB4772"/>
    <w:rsid w:val="00ED169E"/>
    <w:rsid w:val="00ED3EC0"/>
    <w:rsid w:val="00ED4235"/>
    <w:rsid w:val="00F04346"/>
    <w:rsid w:val="00F075DC"/>
    <w:rsid w:val="00F149E9"/>
    <w:rsid w:val="00F5134D"/>
    <w:rsid w:val="00F7132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7C7A62"/>
  <w15:chartTrackingRefBased/>
  <w15:docId w15:val="{30C3B745-9EAA-4E44-A3BD-06EA848AC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60B02"/>
    <w:pPr>
      <w:spacing w:before="480" w:after="240"/>
    </w:pPr>
  </w:style>
  <w:style w:type="paragraph" w:customStyle="1" w:styleId="NormalHanging12a">
    <w:name w:val="NormalHanging12a"/>
    <w:basedOn w:val="Normal"/>
    <w:rsid w:val="00960B02"/>
    <w:pPr>
      <w:spacing w:after="240"/>
      <w:ind w:left="567" w:hanging="567"/>
    </w:pPr>
  </w:style>
  <w:style w:type="paragraph" w:customStyle="1" w:styleId="NormalBold">
    <w:name w:val="NormalBold"/>
    <w:basedOn w:val="Normal"/>
    <w:rsid w:val="00960B02"/>
    <w:rPr>
      <w:b/>
    </w:rPr>
  </w:style>
  <w:style w:type="character" w:styleId="Hyperlink">
    <w:name w:val="Hyperlink"/>
    <w:basedOn w:val="DefaultParagraphFont"/>
    <w:uiPriority w:val="99"/>
    <w:rsid w:val="00960B02"/>
    <w:rPr>
      <w:color w:val="0563C1" w:themeColor="hyperlink"/>
      <w:u w:val="single"/>
    </w:rPr>
  </w:style>
  <w:style w:type="character" w:customStyle="1" w:styleId="Funotenzeichen">
    <w:name w:val="Fußnotenzeichen"/>
    <w:qFormat/>
    <w:rsid w:val="00960B02"/>
    <w:rPr>
      <w:vertAlign w:val="superscript"/>
    </w:rPr>
  </w:style>
  <w:style w:type="paragraph" w:styleId="Revision">
    <w:name w:val="Revision"/>
    <w:hidden/>
    <w:uiPriority w:val="99"/>
    <w:semiHidden/>
    <w:rsid w:val="00CC7BC6"/>
    <w:rPr>
      <w:sz w:val="24"/>
      <w:lang w:val="ro-RO"/>
    </w:rPr>
  </w:style>
  <w:style w:type="character" w:styleId="UnresolvedMention">
    <w:name w:val="Unresolved Mention"/>
    <w:basedOn w:val="DefaultParagraphFont"/>
    <w:uiPriority w:val="99"/>
    <w:semiHidden/>
    <w:unhideWhenUsed/>
    <w:rsid w:val="00B16394"/>
    <w:rPr>
      <w:color w:val="605E5C"/>
      <w:shd w:val="clear" w:color="auto" w:fill="E1DFDD"/>
    </w:rPr>
  </w:style>
  <w:style w:type="character" w:styleId="FollowedHyperlink">
    <w:name w:val="FollowedHyperlink"/>
    <w:basedOn w:val="DefaultParagraphFont"/>
    <w:rsid w:val="004855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5/2246/oj" TargetMode="External"/><Relationship Id="rId18" Type="http://schemas.openxmlformats.org/officeDocument/2006/relationships/hyperlink" Target="https://doi.org/10.1371/journal.pone.0123011" TargetMode="External"/><Relationship Id="rId26"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doi.org/10.1186/2190-4715-24-24" TargetMode="External"/><Relationship Id="rId7" Type="http://schemas.openxmlformats.org/officeDocument/2006/relationships/hyperlink" Target="http://data.europa.eu/eli/C/2025/1799/oj" TargetMode="External"/><Relationship Id="rId12" Type="http://schemas.openxmlformats.org/officeDocument/2006/relationships/hyperlink" Target="http://data.europa.eu/eli/C/2025/1804/oj" TargetMode="External"/><Relationship Id="rId17" Type="http://schemas.openxmlformats.org/officeDocument/2006/relationships/hyperlink" Target="http://data.europa.eu/eli/reg_impl/2013/503/oj"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03/1829/oj" TargetMode="External"/><Relationship Id="rId16" Type="http://schemas.openxmlformats.org/officeDocument/2006/relationships/hyperlink" Target="https://www.testbiotech.org/wp-content/uploads/2024/12/Testbiotech_comment_&#8204;maize_DP51291.pdf" TargetMode="External"/><Relationship Id="rId20" Type="http://schemas.openxmlformats.org/officeDocument/2006/relationships/hyperlink" Target="https://www.ncbi.nlm.nih.gov/pubmed/26296738" TargetMode="External"/><Relationship Id="rId29"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dec_impl/2025/1898/oj" TargetMode="External"/><Relationship Id="rId6" Type="http://schemas.openxmlformats.org/officeDocument/2006/relationships/hyperlink" Target="http://data.europa.eu/eli/C/2025/1798/oj" TargetMode="External"/><Relationship Id="rId11" Type="http://schemas.openxmlformats.org/officeDocument/2006/relationships/hyperlink" Target="http://data.europa.eu/eli/C/2025/1803/oj" TargetMode="External"/><Relationship Id="rId24" Type="http://schemas.openxmlformats.org/officeDocument/2006/relationships/hyperlink" Target="https://doi.org/10.1038/s41598-017-01478-w" TargetMode="External"/><Relationship Id="rId32" Type="http://schemas.openxmlformats.org/officeDocument/2006/relationships/hyperlink" Target="https://eur-lex.europa.eu/legal-content/RO/TXT/?uri=COM:2020:667:FIN" TargetMode="External"/><Relationship Id="rId5" Type="http://schemas.openxmlformats.org/officeDocument/2006/relationships/hyperlink" Target="http://data.europa.eu/eli/C/2025/1797/oj" TargetMode="External"/><Relationship Id="rId15" Type="http://schemas.openxmlformats.org/officeDocument/2006/relationships/hyperlink" Target="http://data.europa.eu/eli/reg/2009/1107/oj" TargetMode="External"/><Relationship Id="rId23" Type="http://schemas.openxmlformats.org/officeDocument/2006/relationships/hyperlink" Target="https://doi.org/10.1016/j.fct.2016.03.009" TargetMode="External"/><Relationship Id="rId28" Type="http://schemas.openxmlformats.org/officeDocument/2006/relationships/hyperlink" Target="https://ec.europa.eu/commission/presscorner/detail/ro/ip_22_7834" TargetMode="External"/><Relationship Id="rId10" Type="http://schemas.openxmlformats.org/officeDocument/2006/relationships/hyperlink" Target="http://data.europa.eu/eli/C/2025/1802/oj" TargetMode="External"/><Relationship Id="rId19" Type="http://schemas.openxmlformats.org/officeDocument/2006/relationships/hyperlink" Target="https://doi.org/10.1126/science.abe1148" TargetMode="External"/><Relationship Id="rId31" Type="http://schemas.openxmlformats.org/officeDocument/2006/relationships/hyperlink" Target="http://data.europa.eu/eli/reg/2002/178/oj" TargetMode="External"/><Relationship Id="rId4" Type="http://schemas.openxmlformats.org/officeDocument/2006/relationships/hyperlink" Target="https://doi.org/10.2903/j.efsa.2024.9059" TargetMode="External"/><Relationship Id="rId9" Type="http://schemas.openxmlformats.org/officeDocument/2006/relationships/hyperlink" Target="http://data.europa.eu/eli/C/2025/1801/oj" TargetMode="External"/><Relationship Id="rId14" Type="http://schemas.openxmlformats.org/officeDocument/2006/relationships/hyperlink" Target="http://data.europa.eu/eli/C/2025/2247/oj" TargetMode="External"/><Relationship Id="rId22" Type="http://schemas.openxmlformats.org/officeDocument/2006/relationships/hyperlink" Target="https://onlinelibrary.wiley.com/doi/full/10.1002/jat.3252" TargetMode="External"/><Relationship Id="rId27" Type="http://schemas.openxmlformats.org/officeDocument/2006/relationships/hyperlink" Target="https://www.un.org/sustainabledevelopment/health/" TargetMode="External"/><Relationship Id="rId30" Type="http://schemas.openxmlformats.org/officeDocument/2006/relationships/hyperlink" Target="https://food.ec.europa.eu/document/download/ee1a5aed-5303-4c32-bb59-813143a1df47_en?filename=sc_modif-genet_20250613_sum.pdf" TargetMode="External"/><Relationship Id="rId8" Type="http://schemas.openxmlformats.org/officeDocument/2006/relationships/hyperlink" Target="http://data.europa.eu/eli/C/2025/18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9</Pages>
  <Words>2544</Words>
  <Characters>14708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Laura-Mirona</cp:lastModifiedBy>
  <cp:revision>2</cp:revision>
  <cp:lastPrinted>2004-11-19T15:42:00Z</cp:lastPrinted>
  <dcterms:created xsi:type="dcterms:W3CDTF">2025-10-08T12:07:00Z</dcterms:created>
  <dcterms:modified xsi:type="dcterms:W3CDTF">2025-10-08T12:07:00Z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B10-0407/2025</vt:lpwstr>
  </property>
  <property fmtid="{D5CDD505-2E9C-101B-9397-08002B2CF9AE}" pid="4" name="&lt;Type&gt;">
    <vt:lpwstr>RR</vt:lpwstr>
  </property>
</Properties>
</file>