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F3A50" w14:paraId="4388919A" w14:textId="77777777" w:rsidTr="0010095E">
        <w:trPr>
          <w:trHeight w:hRule="exact" w:val="1418"/>
        </w:trPr>
        <w:tc>
          <w:tcPr>
            <w:tcW w:w="6804" w:type="dxa"/>
            <w:shd w:val="clear" w:color="auto" w:fill="auto"/>
            <w:vAlign w:val="center"/>
          </w:tcPr>
          <w:p w14:paraId="1C0776C4" w14:textId="77777777" w:rsidR="00751A4A" w:rsidRPr="00DF3A50" w:rsidRDefault="00DF391A" w:rsidP="0010095E">
            <w:pPr>
              <w:pStyle w:val="EPName"/>
            </w:pPr>
            <w:r w:rsidRPr="00DF3A50">
              <w:t>Evropski parlament</w:t>
            </w:r>
          </w:p>
          <w:p w14:paraId="6563F09A" w14:textId="77777777" w:rsidR="00751A4A" w:rsidRPr="00DF3A50" w:rsidRDefault="005F1B17" w:rsidP="005F1B17">
            <w:pPr>
              <w:pStyle w:val="EPTerm"/>
              <w:rPr>
                <w:rStyle w:val="HideTWBExt"/>
                <w:noProof w:val="0"/>
                <w:vanish w:val="0"/>
                <w:color w:val="auto"/>
              </w:rPr>
            </w:pPr>
            <w:r w:rsidRPr="00DF3A50">
              <w:t>2024</w:t>
            </w:r>
            <w:r w:rsidR="00817416" w:rsidRPr="00DF3A50">
              <w:t>-202</w:t>
            </w:r>
            <w:r w:rsidRPr="00DF3A50">
              <w:t>9</w:t>
            </w:r>
          </w:p>
        </w:tc>
        <w:tc>
          <w:tcPr>
            <w:tcW w:w="2268" w:type="dxa"/>
            <w:shd w:val="clear" w:color="auto" w:fill="auto"/>
          </w:tcPr>
          <w:p w14:paraId="46123503" w14:textId="77777777" w:rsidR="00751A4A" w:rsidRPr="00DF3A50" w:rsidRDefault="00187494" w:rsidP="0010095E">
            <w:pPr>
              <w:pStyle w:val="EPLogo"/>
            </w:pPr>
            <w:r w:rsidRPr="00DF3A50">
              <w:rPr>
                <w:noProof/>
                <w:lang w:eastAsia="ja-JP"/>
              </w:rPr>
              <w:drawing>
                <wp:inline distT="0" distB="0" distL="0" distR="0" wp14:anchorId="5267810E" wp14:editId="67CECD1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9468ECB" w14:textId="77777777" w:rsidR="00D058B8" w:rsidRPr="00DF3A50" w:rsidRDefault="00D058B8" w:rsidP="004C5D52">
      <w:pPr>
        <w:pStyle w:val="LineTop"/>
      </w:pPr>
    </w:p>
    <w:p w14:paraId="52E0F762" w14:textId="77777777" w:rsidR="00680577" w:rsidRPr="00DF3A50" w:rsidRDefault="00DF391A" w:rsidP="00680577">
      <w:pPr>
        <w:pStyle w:val="EPBodyTA1"/>
      </w:pPr>
      <w:r w:rsidRPr="00DF3A50">
        <w:t>SPREJETA BESEDILA</w:t>
      </w:r>
    </w:p>
    <w:p w14:paraId="1B7F4B30" w14:textId="77777777" w:rsidR="00D058B8" w:rsidRPr="00DF3A50" w:rsidRDefault="00D058B8" w:rsidP="00D058B8">
      <w:pPr>
        <w:pStyle w:val="LineBottom"/>
      </w:pPr>
    </w:p>
    <w:p w14:paraId="7D742914" w14:textId="4181F736" w:rsidR="00DF391A" w:rsidRPr="00DF3A50" w:rsidRDefault="00DF391A" w:rsidP="00DF391A">
      <w:pPr>
        <w:pStyle w:val="ATHeading1"/>
      </w:pPr>
      <w:bookmarkStart w:id="0" w:name="TANumber"/>
      <w:r w:rsidRPr="00DF3A50">
        <w:t>P10_TA(2025)</w:t>
      </w:r>
      <w:bookmarkEnd w:id="0"/>
      <w:r w:rsidR="007A3BE6">
        <w:t>0222</w:t>
      </w:r>
    </w:p>
    <w:p w14:paraId="6C58F0C1" w14:textId="6366936A" w:rsidR="00DF391A" w:rsidRPr="00DF3A50" w:rsidRDefault="008E4EEE" w:rsidP="00DF391A">
      <w:pPr>
        <w:pStyle w:val="ATHeading2"/>
      </w:pPr>
      <w:bookmarkStart w:id="1" w:name="title"/>
      <w:r>
        <w:t>G</w:t>
      </w:r>
      <w:r w:rsidR="00DF391A" w:rsidRPr="00DF3A50">
        <w:t>ensko spremenjena koruza DP51291</w:t>
      </w:r>
      <w:bookmarkEnd w:id="1"/>
    </w:p>
    <w:p w14:paraId="2B190C22" w14:textId="77777777" w:rsidR="00DF391A" w:rsidRPr="00DF3A50" w:rsidRDefault="00DF391A" w:rsidP="00DF391A">
      <w:pPr>
        <w:rPr>
          <w:i/>
          <w:vanish/>
        </w:rPr>
      </w:pPr>
      <w:r w:rsidRPr="00DF3A50">
        <w:rPr>
          <w:i/>
        </w:rPr>
        <w:fldChar w:fldCharType="begin"/>
      </w:r>
      <w:r w:rsidRPr="00DF3A50">
        <w:rPr>
          <w:i/>
        </w:rPr>
        <w:instrText xml:space="preserve"> TC"(</w:instrText>
      </w:r>
      <w:bookmarkStart w:id="2" w:name="DocNumber"/>
      <w:r w:rsidRPr="00DF3A50">
        <w:rPr>
          <w:i/>
        </w:rPr>
        <w:instrText>B10-0407/2025</w:instrText>
      </w:r>
      <w:bookmarkEnd w:id="2"/>
      <w:r w:rsidRPr="00DF3A50">
        <w:rPr>
          <w:i/>
        </w:rPr>
        <w:instrText xml:space="preserve">)"\l3 \n&gt; \* MERGEFORMAT </w:instrText>
      </w:r>
      <w:r w:rsidRPr="00DF3A50">
        <w:rPr>
          <w:i/>
        </w:rPr>
        <w:fldChar w:fldCharType="end"/>
      </w:r>
    </w:p>
    <w:p w14:paraId="7AF33D1B" w14:textId="77777777" w:rsidR="00DF391A" w:rsidRPr="00DF3A50" w:rsidRDefault="00DF391A" w:rsidP="00DF391A">
      <w:pPr>
        <w:rPr>
          <w:vanish/>
        </w:rPr>
      </w:pPr>
      <w:bookmarkStart w:id="3" w:name="PE"/>
      <w:r w:rsidRPr="00DF3A50">
        <w:rPr>
          <w:vanish/>
        </w:rPr>
        <w:t>PE775.588</w:t>
      </w:r>
      <w:bookmarkEnd w:id="3"/>
    </w:p>
    <w:p w14:paraId="146FCF6E" w14:textId="396505EA" w:rsidR="00DF391A" w:rsidRPr="00DF3A50" w:rsidRDefault="00DF391A" w:rsidP="008E4EEE">
      <w:pPr>
        <w:pStyle w:val="ATHeading3"/>
      </w:pPr>
      <w:bookmarkStart w:id="4" w:name="Sujet"/>
      <w:r w:rsidRPr="00DF3A50">
        <w:t xml:space="preserve">Resolucija Evropskega parlamenta </w:t>
      </w:r>
      <w:r w:rsidRPr="008E4EEE">
        <w:t xml:space="preserve">z dne </w:t>
      </w:r>
      <w:r w:rsidR="008E4EEE" w:rsidRPr="008E4EEE">
        <w:t xml:space="preserve">8. oktobra </w:t>
      </w:r>
      <w:r w:rsidRPr="008E4EEE">
        <w:t xml:space="preserve">2025 </w:t>
      </w:r>
      <w:bookmarkStart w:id="5" w:name="_Hlk210815725"/>
      <w:r w:rsidRPr="008E4EEE">
        <w:t xml:space="preserve">o </w:t>
      </w:r>
      <w:r w:rsidR="008A5DFC">
        <w:t>I</w:t>
      </w:r>
      <w:r w:rsidR="008E4EEE" w:rsidRPr="008E4EEE">
        <w:t xml:space="preserve">zvedbenem sklepu </w:t>
      </w:r>
      <w:r w:rsidRPr="008E4EEE">
        <w:t>Komisije</w:t>
      </w:r>
      <w:r w:rsidR="008E4EEE" w:rsidRPr="008E4EEE">
        <w:t xml:space="preserve"> </w:t>
      </w:r>
      <w:r w:rsidR="008E4EEE" w:rsidRPr="00303CB9">
        <w:rPr>
          <w:szCs w:val="24"/>
        </w:rPr>
        <w:t>(EU) 2025/1898 z dne 22. septembra 2025</w:t>
      </w:r>
      <w:r w:rsidRPr="008E4EEE">
        <w:t xml:space="preserve"> o odobritvi dajanja na trg proizvodov, ki vsebujejo gensko spremenjeno koruzo</w:t>
      </w:r>
      <w:r w:rsidRPr="00DF3A50">
        <w:t xml:space="preserve"> DP51291, so iz nje sestavljeni ali proizvedeni, v skladu z Uredbo (ES) št. 1829/2003 Evropskega parlamenta in Sveta</w:t>
      </w:r>
      <w:bookmarkEnd w:id="4"/>
      <w:r w:rsidRPr="00DF3A50">
        <w:t xml:space="preserve"> </w:t>
      </w:r>
      <w:bookmarkStart w:id="6" w:name="References"/>
      <w:r w:rsidRPr="00DF3A50">
        <w:t>(2025/2807(RSP))</w:t>
      </w:r>
      <w:bookmarkEnd w:id="6"/>
      <w:bookmarkEnd w:id="5"/>
    </w:p>
    <w:p w14:paraId="7F81EB01" w14:textId="77777777" w:rsidR="001B2825" w:rsidRPr="00DF3A50" w:rsidRDefault="001B2825" w:rsidP="001B2825">
      <w:pPr>
        <w:pStyle w:val="EPComma"/>
      </w:pPr>
      <w:bookmarkStart w:id="7" w:name="TextBodyBegin"/>
      <w:bookmarkEnd w:id="7"/>
      <w:r w:rsidRPr="00DF3A50">
        <w:rPr>
          <w:i/>
        </w:rPr>
        <w:t>Evropski parlament</w:t>
      </w:r>
      <w:r w:rsidRPr="00DF3A50">
        <w:t>,</w:t>
      </w:r>
    </w:p>
    <w:p w14:paraId="36217DC6" w14:textId="358BE166" w:rsidR="001B2825" w:rsidRPr="00DF3A50" w:rsidRDefault="001B2825" w:rsidP="001B2825">
      <w:pPr>
        <w:pStyle w:val="NormalHanging12a"/>
        <w:widowControl/>
        <w:rPr>
          <w:szCs w:val="24"/>
        </w:rPr>
      </w:pPr>
      <w:r w:rsidRPr="00DF3A50">
        <w:t>–</w:t>
      </w:r>
      <w:r w:rsidRPr="00DF3A50">
        <w:tab/>
        <w:t xml:space="preserve">ob upoštevanju </w:t>
      </w:r>
      <w:r w:rsidR="008A5DFC" w:rsidRPr="00303CB9">
        <w:t>I</w:t>
      </w:r>
      <w:r w:rsidR="008A5DFC" w:rsidRPr="00DF3A50">
        <w:t>zvedben</w:t>
      </w:r>
      <w:r w:rsidR="008A5DFC" w:rsidRPr="00303CB9">
        <w:t>ega</w:t>
      </w:r>
      <w:r w:rsidR="008A5DFC" w:rsidRPr="00DF3A50">
        <w:t xml:space="preserve"> sklep</w:t>
      </w:r>
      <w:r w:rsidR="008A5DFC">
        <w:t>a</w:t>
      </w:r>
      <w:r w:rsidR="008A5DFC">
        <w:rPr>
          <w:b/>
        </w:rPr>
        <w:t xml:space="preserve"> </w:t>
      </w:r>
      <w:r w:rsidR="008A5DFC" w:rsidRPr="00DF3A50">
        <w:t xml:space="preserve">Komisije </w:t>
      </w:r>
      <w:r w:rsidR="008A5DFC" w:rsidRPr="008A5DFC">
        <w:t xml:space="preserve">(EU) 2025/1898 </w:t>
      </w:r>
      <w:r w:rsidR="008A5DFC">
        <w:t xml:space="preserve">z dne 22. septembra 2025 </w:t>
      </w:r>
      <w:r w:rsidRPr="00DF3A50">
        <w:t xml:space="preserve">o odobritvi dajanja proizvodov, ki vsebujejo gensko spremenjeno koruzo DP51291, so iz nje sestavljeni ali proizvedeni, na trg v skladu z Uredbo (ES) št. 1829/2003 Evropskega parlamenta in </w:t>
      </w:r>
      <w:r w:rsidRPr="001A451C">
        <w:t>Sveta</w:t>
      </w:r>
      <w:r w:rsidR="008A5DFC" w:rsidRPr="00303CB9">
        <w:rPr>
          <w:rStyle w:val="FootnoteReference"/>
          <w:szCs w:val="24"/>
        </w:rPr>
        <w:footnoteReference w:id="1"/>
      </w:r>
      <w:r w:rsidRPr="00DF3A50">
        <w:t>,</w:t>
      </w:r>
    </w:p>
    <w:p w14:paraId="3DE2EADF" w14:textId="77777777" w:rsidR="001B2825" w:rsidRPr="00DF3A50" w:rsidRDefault="001B2825" w:rsidP="001B2825">
      <w:pPr>
        <w:pStyle w:val="NormalHanging12a"/>
        <w:widowControl/>
        <w:rPr>
          <w:szCs w:val="24"/>
        </w:rPr>
      </w:pPr>
      <w:r w:rsidRPr="00DF3A50">
        <w:t>–</w:t>
      </w:r>
      <w:r w:rsidRPr="00DF3A50">
        <w:tab/>
        <w:t>ob upoštevanju Uredbe (ES) št. 1829/2003 Evropskega parlamenta in Sveta z dne 22. septembra 2003 o gensko spremenjenih živilih in krmi</w:t>
      </w:r>
      <w:r w:rsidRPr="00DF3A50">
        <w:rPr>
          <w:rStyle w:val="FootnoteReference"/>
          <w:szCs w:val="24"/>
        </w:rPr>
        <w:footnoteReference w:id="2"/>
      </w:r>
      <w:r w:rsidRPr="00DF3A50">
        <w:t>, zlasti člena 7(3) in člena 19(3),</w:t>
      </w:r>
    </w:p>
    <w:p w14:paraId="455953F7" w14:textId="77777777" w:rsidR="001B2825" w:rsidRPr="00DF3A50" w:rsidRDefault="001B2825" w:rsidP="001B2825">
      <w:pPr>
        <w:pStyle w:val="NormalHanging12a"/>
        <w:widowControl/>
        <w:rPr>
          <w:szCs w:val="24"/>
        </w:rPr>
      </w:pPr>
      <w:r w:rsidRPr="00DF3A50">
        <w:t>–</w:t>
      </w:r>
      <w:r w:rsidRPr="00DF3A50">
        <w:tab/>
        <w:t>ob upoštevanju</w:t>
      </w:r>
      <w:r w:rsidRPr="00DF3A50">
        <w:rPr>
          <w:shd w:val="clear" w:color="auto" w:fill="FFFFFF"/>
        </w:rPr>
        <w:t xml:space="preserve"> glasovanja Stalnega odbora za rastline, živali, hrano in krmo iz člena 35 Uredbe (ES) št. 1829/2003, ki je potekalo 13. junija 2025 in na podlagi katerega mnenje ni bilo podano, ter glasovanja v odboru za pritožbe 15. julija 2025, na podlagi katerega mnenje prav tako ni bilo podano</w:t>
      </w:r>
      <w:r w:rsidRPr="00DF3A50">
        <w:t>,</w:t>
      </w:r>
    </w:p>
    <w:p w14:paraId="0EF6F43D" w14:textId="77777777" w:rsidR="001B2825" w:rsidRPr="00DF3A50" w:rsidRDefault="001B2825" w:rsidP="001B2825">
      <w:pPr>
        <w:pStyle w:val="NormalHanging12a"/>
      </w:pPr>
      <w:r w:rsidRPr="00DF3A50">
        <w:t>–</w:t>
      </w:r>
      <w:r w:rsidRPr="00DF3A50">
        <w:tab/>
        <w:t>ob upoštevanju člena 11 Uredbe (EU) št. 182/2011 Evropskega parlamenta in Sveta z dne 16. februarja 2011 o določitvi splošnih pravil in načel, na podlagi katerih države članice nadzirajo izvajanje izvedbenih pooblastil Komisije</w:t>
      </w:r>
      <w:r w:rsidRPr="00DF3A50">
        <w:rPr>
          <w:rStyle w:val="FootnoteReference"/>
        </w:rPr>
        <w:footnoteReference w:id="3"/>
      </w:r>
      <w:r w:rsidRPr="00DF3A50">
        <w:t>,</w:t>
      </w:r>
    </w:p>
    <w:p w14:paraId="330482E8" w14:textId="77777777" w:rsidR="001B2825" w:rsidRPr="00DF3A50" w:rsidRDefault="001B2825" w:rsidP="001B2825">
      <w:pPr>
        <w:pStyle w:val="NormalHanging12a"/>
        <w:widowControl/>
        <w:rPr>
          <w:szCs w:val="24"/>
        </w:rPr>
      </w:pPr>
      <w:r w:rsidRPr="00DF3A50">
        <w:t>–</w:t>
      </w:r>
      <w:r w:rsidRPr="00DF3A50">
        <w:tab/>
        <w:t>ob upoštevanju mnenja, ki ga je Evropska agencija za varnost hrane (EFSA) sprejela 2. oktobra 2024 in objavila 11. novembra 2024</w:t>
      </w:r>
      <w:r w:rsidRPr="00DF3A50">
        <w:rPr>
          <w:rStyle w:val="FootnoteReference"/>
          <w:szCs w:val="24"/>
        </w:rPr>
        <w:footnoteReference w:id="4"/>
      </w:r>
      <w:r w:rsidRPr="00DF3A50">
        <w:t>,</w:t>
      </w:r>
    </w:p>
    <w:p w14:paraId="4F1EC157" w14:textId="77777777" w:rsidR="001B2825" w:rsidRPr="00DF3A50" w:rsidRDefault="001B2825" w:rsidP="001B2825">
      <w:pPr>
        <w:pStyle w:val="NormalHanging12a"/>
        <w:widowControl/>
        <w:rPr>
          <w:szCs w:val="24"/>
          <w:shd w:val="clear" w:color="auto" w:fill="FFFFFF"/>
        </w:rPr>
      </w:pPr>
      <w:r w:rsidRPr="00DF3A50">
        <w:lastRenderedPageBreak/>
        <w:t>–</w:t>
      </w:r>
      <w:r w:rsidRPr="00DF3A50">
        <w:tab/>
      </w:r>
      <w:r w:rsidRPr="00DF3A50">
        <w:rPr>
          <w:shd w:val="clear" w:color="auto" w:fill="FFFFFF"/>
        </w:rPr>
        <w:t>ob upoštevanju svojih prejšnjih resolucij, s katerimi je nasprotoval odobritvi gensko spremenjenih organizmov (GSO)</w:t>
      </w:r>
      <w:r w:rsidRPr="00DF3A50">
        <w:rPr>
          <w:rStyle w:val="FootnoteReference"/>
          <w:szCs w:val="24"/>
          <w:shd w:val="clear" w:color="auto" w:fill="FFFFFF"/>
        </w:rPr>
        <w:footnoteReference w:id="5"/>
      </w:r>
      <w:r w:rsidRPr="00DF3A50">
        <w:rPr>
          <w:shd w:val="clear" w:color="auto" w:fill="FFFFFF"/>
        </w:rPr>
        <w:t>,</w:t>
      </w:r>
    </w:p>
    <w:p w14:paraId="69EC163F" w14:textId="77777777" w:rsidR="001B2825" w:rsidRPr="00DF3A50" w:rsidRDefault="001B2825" w:rsidP="001B2825">
      <w:pPr>
        <w:pStyle w:val="NormalHanging12a"/>
      </w:pPr>
      <w:r w:rsidRPr="00DF3A50">
        <w:lastRenderedPageBreak/>
        <w:t>–</w:t>
      </w:r>
      <w:r w:rsidRPr="00DF3A50">
        <w:tab/>
        <w:t>ob upoštevanju člena 115(2) in (3) Poslovnika,</w:t>
      </w:r>
    </w:p>
    <w:p w14:paraId="211E6174" w14:textId="77777777" w:rsidR="001B2825" w:rsidRPr="00DF3A50" w:rsidRDefault="001B2825" w:rsidP="001B2825">
      <w:pPr>
        <w:pStyle w:val="NormalHanging12a"/>
      </w:pPr>
      <w:r w:rsidRPr="00DF3A50">
        <w:t>–</w:t>
      </w:r>
      <w:r w:rsidRPr="00DF3A50">
        <w:tab/>
        <w:t>ob upoštevanju predloga resolucije Odbora za okolje, podnebje in varnost hrane,</w:t>
      </w:r>
    </w:p>
    <w:p w14:paraId="258D6E91" w14:textId="77777777" w:rsidR="001B2825" w:rsidRPr="00DF3A50" w:rsidRDefault="001B2825" w:rsidP="001B2825">
      <w:pPr>
        <w:pStyle w:val="NormalHanging12a"/>
        <w:widowControl/>
        <w:rPr>
          <w:szCs w:val="24"/>
        </w:rPr>
      </w:pPr>
      <w:r w:rsidRPr="00DF3A50">
        <w:t>A.</w:t>
      </w:r>
      <w:r w:rsidRPr="00DF3A50">
        <w:tab/>
        <w:t xml:space="preserve">ker je družba </w:t>
      </w:r>
      <w:proofErr w:type="spellStart"/>
      <w:r w:rsidRPr="00DF3A50">
        <w:t>Corteva</w:t>
      </w:r>
      <w:proofErr w:type="spellEnd"/>
      <w:r w:rsidRPr="00DF3A50">
        <w:t xml:space="preserve"> </w:t>
      </w:r>
      <w:proofErr w:type="spellStart"/>
      <w:r w:rsidRPr="00DF3A50">
        <w:t>Agriscience</w:t>
      </w:r>
      <w:proofErr w:type="spellEnd"/>
      <w:r w:rsidRPr="00DF3A50">
        <w:t xml:space="preserve"> </w:t>
      </w:r>
      <w:proofErr w:type="spellStart"/>
      <w:r w:rsidRPr="00DF3A50">
        <w:t>Belgium</w:t>
      </w:r>
      <w:proofErr w:type="spellEnd"/>
      <w:r w:rsidRPr="00DF3A50">
        <w:t xml:space="preserve"> B.V. s sedežem v Belgiji 27. januarja 2023 v imenu družbe </w:t>
      </w:r>
      <w:proofErr w:type="spellStart"/>
      <w:r w:rsidRPr="00DF3A50">
        <w:t>Corteva</w:t>
      </w:r>
      <w:proofErr w:type="spellEnd"/>
      <w:r w:rsidRPr="00DF3A50">
        <w:t xml:space="preserve"> </w:t>
      </w:r>
      <w:proofErr w:type="spellStart"/>
      <w:r w:rsidRPr="00DF3A50">
        <w:t>Agriscience</w:t>
      </w:r>
      <w:proofErr w:type="spellEnd"/>
      <w:r w:rsidRPr="00DF3A50">
        <w:t xml:space="preserve"> LLC s sedežem v Združenih državah Amerike pri nizozemskem pristojnem nacionalnem organu vložila vlogo za dajanje živil, živilskih sestavin in krme, ki vsebujejo gensko spremenjeno koruzo DP51291 (v nadaljnjem besedilu: gensko spremenjena koruza), so iz nje sestavljeni ali proizvedeni, na trg;</w:t>
      </w:r>
    </w:p>
    <w:p w14:paraId="3DD778D5" w14:textId="77777777" w:rsidR="001B2825" w:rsidRPr="00DF3A50" w:rsidRDefault="001B2825" w:rsidP="001B2825">
      <w:pPr>
        <w:pStyle w:val="NormalHanging12a"/>
        <w:widowControl/>
        <w:rPr>
          <w:szCs w:val="24"/>
        </w:rPr>
      </w:pPr>
      <w:r w:rsidRPr="00DF3A50">
        <w:t>B.</w:t>
      </w:r>
      <w:r w:rsidRPr="00DF3A50">
        <w:tab/>
        <w:t xml:space="preserve">ker gensko spremenjena koruza proizvaja toksin IPD072Aa, ki deluje proti koruznemu hrošču, beljakovino </w:t>
      </w:r>
      <w:proofErr w:type="spellStart"/>
      <w:r w:rsidRPr="00DF3A50">
        <w:t>fosfinotricin</w:t>
      </w:r>
      <w:proofErr w:type="spellEnd"/>
      <w:r w:rsidRPr="00DF3A50">
        <w:t xml:space="preserve"> acetil </w:t>
      </w:r>
      <w:proofErr w:type="spellStart"/>
      <w:r w:rsidRPr="00DF3A50">
        <w:t>transferazo</w:t>
      </w:r>
      <w:proofErr w:type="spellEnd"/>
      <w:r w:rsidRPr="00DF3A50">
        <w:t xml:space="preserve"> (PAT) za odpornost proti herbicidom, ki vsebujejo </w:t>
      </w:r>
      <w:proofErr w:type="spellStart"/>
      <w:r w:rsidRPr="00DF3A50">
        <w:t>glufosinat</w:t>
      </w:r>
      <w:proofErr w:type="spellEnd"/>
      <w:r w:rsidRPr="00DF3A50">
        <w:t>, in beljakovino PMI kot izberljivi označevalec;</w:t>
      </w:r>
    </w:p>
    <w:p w14:paraId="0E435A26" w14:textId="77777777" w:rsidR="001B2825" w:rsidRPr="00DF3A50" w:rsidRDefault="001B2825" w:rsidP="001B2825">
      <w:pPr>
        <w:pStyle w:val="NormalHanging12a"/>
        <w:widowControl/>
        <w:rPr>
          <w:szCs w:val="24"/>
        </w:rPr>
      </w:pPr>
      <w:r w:rsidRPr="00DF3A50">
        <w:t>C.</w:t>
      </w:r>
      <w:r w:rsidRPr="00DF3A50">
        <w:tab/>
        <w:t xml:space="preserve">ker je </w:t>
      </w:r>
      <w:proofErr w:type="spellStart"/>
      <w:r w:rsidRPr="00DF3A50">
        <w:t>glufosinat</w:t>
      </w:r>
      <w:proofErr w:type="spellEnd"/>
      <w:r w:rsidRPr="00DF3A50">
        <w:t>, ki se šteje za komplementarni herbicid, razvrščen kot snov, ki je strupena za razmnoževanje, v kategorijo 1B, in zato izpolnjuje merila za izključitev, določena v Uredbi (ES) št. 1107/2009 Evropskega parlamenta in Sveta</w:t>
      </w:r>
      <w:r w:rsidRPr="00DF3A50">
        <w:rPr>
          <w:rStyle w:val="FootnoteReference"/>
          <w:szCs w:val="24"/>
        </w:rPr>
        <w:footnoteReference w:id="6"/>
      </w:r>
      <w:r w:rsidRPr="00DF3A50">
        <w:t xml:space="preserve">; ker je veljavnost odobritve </w:t>
      </w:r>
      <w:proofErr w:type="spellStart"/>
      <w:r w:rsidRPr="00DF3A50">
        <w:t>glufosinata</w:t>
      </w:r>
      <w:proofErr w:type="spellEnd"/>
      <w:r w:rsidRPr="00DF3A50">
        <w:t xml:space="preserve"> za uporabo v Uniji potekla 31. julija 2018;</w:t>
      </w:r>
    </w:p>
    <w:p w14:paraId="48E62451" w14:textId="77777777" w:rsidR="001B2825" w:rsidRPr="00DF3A50" w:rsidRDefault="001B2825" w:rsidP="001B2825">
      <w:pPr>
        <w:pStyle w:val="NormalHanging12a"/>
        <w:widowControl/>
        <w:rPr>
          <w:szCs w:val="24"/>
        </w:rPr>
      </w:pPr>
      <w:r w:rsidRPr="00DF3A50">
        <w:t>D.</w:t>
      </w:r>
      <w:r w:rsidRPr="00DF3A50">
        <w:tab/>
        <w:t xml:space="preserve">ker je IPD072Aa insekticidni toksin, ki ga proizvaja bakterija </w:t>
      </w:r>
      <w:proofErr w:type="spellStart"/>
      <w:r w:rsidRPr="00DF3A50">
        <w:t>Pseudomonas</w:t>
      </w:r>
      <w:proofErr w:type="spellEnd"/>
      <w:r w:rsidRPr="00DF3A50">
        <w:t xml:space="preserve"> </w:t>
      </w:r>
      <w:proofErr w:type="spellStart"/>
      <w:r w:rsidRPr="00DF3A50">
        <w:t>chlororaphis</w:t>
      </w:r>
      <w:proofErr w:type="spellEnd"/>
      <w:r w:rsidRPr="00DF3A50">
        <w:t xml:space="preserve">, in je bil zasnovan za delovanje proti koruznemu hrošču; </w:t>
      </w:r>
    </w:p>
    <w:p w14:paraId="400C2053" w14:textId="77777777" w:rsidR="001B2825" w:rsidRPr="00DF3A50" w:rsidRDefault="001B2825" w:rsidP="001B2825">
      <w:pPr>
        <w:pStyle w:val="NormalHanging12a"/>
        <w:widowControl/>
        <w:rPr>
          <w:b/>
          <w:i/>
          <w:iCs/>
          <w:szCs w:val="24"/>
        </w:rPr>
      </w:pPr>
      <w:r w:rsidRPr="00DF3A50">
        <w:rPr>
          <w:b/>
          <w:i/>
        </w:rPr>
        <w:t>Kompleksen genski inženiring</w:t>
      </w:r>
    </w:p>
    <w:p w14:paraId="2C40F562" w14:textId="77777777" w:rsidR="001B2825" w:rsidRPr="00DF3A50" w:rsidRDefault="001B2825" w:rsidP="001B2825">
      <w:pPr>
        <w:pStyle w:val="NormalHanging12a"/>
        <w:widowControl/>
        <w:rPr>
          <w:szCs w:val="24"/>
        </w:rPr>
      </w:pPr>
      <w:r w:rsidRPr="00DF3A50">
        <w:t>E.</w:t>
      </w:r>
      <w:r w:rsidRPr="00DF3A50">
        <w:tab/>
        <w:t xml:space="preserve">ker je bila koruza DP51291 razvita s kompleksnim, večstopenjskim procesom genskega inženiringa, ki je vključeval izdelavo genomskega „sidrišča“, čemur sta sledila bombardiranje z </w:t>
      </w:r>
      <w:proofErr w:type="spellStart"/>
      <w:r w:rsidRPr="00DF3A50">
        <w:t>mikroprojektili</w:t>
      </w:r>
      <w:proofErr w:type="spellEnd"/>
      <w:r w:rsidRPr="00DF3A50">
        <w:t xml:space="preserve"> s petimi plazmidi in naknadna vključitev </w:t>
      </w:r>
      <w:proofErr w:type="spellStart"/>
      <w:r w:rsidRPr="00DF3A50">
        <w:t>ekspresijskih</w:t>
      </w:r>
      <w:proofErr w:type="spellEnd"/>
      <w:r w:rsidRPr="00DF3A50">
        <w:t xml:space="preserve"> kaset v sidrišče s pomočjo bakterije </w:t>
      </w:r>
      <w:proofErr w:type="spellStart"/>
      <w:r w:rsidRPr="00DF3A50">
        <w:t>Agrobacterium</w:t>
      </w:r>
      <w:proofErr w:type="spellEnd"/>
      <w:r w:rsidRPr="00DF3A50">
        <w:t xml:space="preserve"> </w:t>
      </w:r>
      <w:proofErr w:type="spellStart"/>
      <w:r w:rsidRPr="00DF3A50">
        <w:t>tumefaciens</w:t>
      </w:r>
      <w:proofErr w:type="spellEnd"/>
      <w:r w:rsidRPr="00DF3A50">
        <w:t>;</w:t>
      </w:r>
    </w:p>
    <w:p w14:paraId="53127349" w14:textId="77777777" w:rsidR="001B2825" w:rsidRPr="00DF3A50" w:rsidRDefault="001B2825" w:rsidP="001B2825">
      <w:pPr>
        <w:pStyle w:val="NormalHanging12a"/>
        <w:widowControl/>
        <w:rPr>
          <w:szCs w:val="24"/>
        </w:rPr>
      </w:pPr>
      <w:r w:rsidRPr="00DF3A50">
        <w:t>F.</w:t>
      </w:r>
      <w:r w:rsidRPr="00DF3A50">
        <w:tab/>
        <w:t xml:space="preserve">ker je ta postopek genske spremembe privedel do izbrisa 113 baznih parov genomske DNK koruze, kot je razvidno iz </w:t>
      </w:r>
      <w:proofErr w:type="spellStart"/>
      <w:r w:rsidRPr="00DF3A50">
        <w:t>bioinformacijske</w:t>
      </w:r>
      <w:proofErr w:type="spellEnd"/>
      <w:r w:rsidRPr="00DF3A50">
        <w:t xml:space="preserve"> analize, in do nastanka več novih odprtih bralnih okvirov, kar kaže na morebitne genomske motnje, ki izhajajo iz </w:t>
      </w:r>
      <w:r w:rsidRPr="00DF3A50">
        <w:lastRenderedPageBreak/>
        <w:t>postopka pretvorbe; ker je bilo pri petih od teh odprtih bralnih okvirov zaznano več kot 35-odstotno zaporedje znanih alergenov, s čimer je bil presežen prag, ki se običajno uporablja pri ocenah alergenosti</w:t>
      </w:r>
      <w:r w:rsidRPr="00DF3A50">
        <w:rPr>
          <w:rStyle w:val="FootnoteReference"/>
          <w:szCs w:val="24"/>
        </w:rPr>
        <w:footnoteReference w:id="7"/>
      </w:r>
      <w:r w:rsidRPr="00DF3A50">
        <w:t xml:space="preserve">; </w:t>
      </w:r>
    </w:p>
    <w:p w14:paraId="05DDAAB0" w14:textId="77777777" w:rsidR="001B2825" w:rsidRPr="00DF3A50" w:rsidRDefault="001B2825" w:rsidP="001B2825">
      <w:pPr>
        <w:pStyle w:val="NormalHanging12a"/>
        <w:widowControl/>
        <w:rPr>
          <w:b/>
          <w:i/>
          <w:iCs/>
          <w:szCs w:val="24"/>
        </w:rPr>
      </w:pPr>
      <w:r w:rsidRPr="00DF3A50">
        <w:rPr>
          <w:b/>
          <w:i/>
        </w:rPr>
        <w:t>Pomanjkanje podatkov o kmetijskih praksah in okoljskih dejavnikih</w:t>
      </w:r>
    </w:p>
    <w:p w14:paraId="23E9DC62" w14:textId="77777777" w:rsidR="001B2825" w:rsidRPr="00DF3A50" w:rsidRDefault="001B2825" w:rsidP="001B2825">
      <w:pPr>
        <w:pStyle w:val="NormalHanging12a"/>
        <w:widowControl/>
        <w:rPr>
          <w:szCs w:val="24"/>
        </w:rPr>
      </w:pPr>
      <w:r w:rsidRPr="00DF3A50">
        <w:t>G.</w:t>
      </w:r>
      <w:r w:rsidRPr="00DF3A50">
        <w:tab/>
        <w:t>ker je treba na podlagi Izvedbene uredbe Komisije (EU) št. 503/2013</w:t>
      </w:r>
      <w:r w:rsidRPr="00DF3A50">
        <w:rPr>
          <w:rStyle w:val="FootnoteReference"/>
          <w:szCs w:val="24"/>
        </w:rPr>
        <w:footnoteReference w:id="8"/>
      </w:r>
      <w:r w:rsidRPr="00DF3A50">
        <w:t xml:space="preserve"> oceniti, ali pričakovane kmetijske prakse vplivajo na izražanje preučevanih ciljev; ker je v skladu z omenjeno izvedbeno uredbo to še posebej pomembno pri rastlinah, ki so odporne proti herbicidom;</w:t>
      </w:r>
    </w:p>
    <w:p w14:paraId="5DB86927" w14:textId="77777777" w:rsidR="001B2825" w:rsidRPr="00DF3A50" w:rsidRDefault="001B2825" w:rsidP="001B2825">
      <w:pPr>
        <w:pStyle w:val="NormalHanging12a"/>
        <w:widowControl/>
        <w:rPr>
          <w:szCs w:val="24"/>
        </w:rPr>
      </w:pPr>
      <w:r w:rsidRPr="00DF3A50">
        <w:t>H.</w:t>
      </w:r>
      <w:r w:rsidRPr="00DF3A50">
        <w:tab/>
        <w:t>ker lahko okoljski povzročitelji stresa, kot so suša ali ekstremne temperature, povzročijo nepričakovane vzorce izražanja genov v novo vnesenih sekvencah DNK</w:t>
      </w:r>
      <w:r w:rsidRPr="00DF3A50">
        <w:rPr>
          <w:rStyle w:val="FootnoteReference"/>
          <w:szCs w:val="24"/>
        </w:rPr>
        <w:footnoteReference w:id="9"/>
      </w:r>
      <w:r w:rsidRPr="00DF3A50">
        <w:t xml:space="preserve">; </w:t>
      </w:r>
    </w:p>
    <w:p w14:paraId="06A6D6F0" w14:textId="77777777" w:rsidR="001B2825" w:rsidRPr="00DF3A50" w:rsidRDefault="001B2825" w:rsidP="001B2825">
      <w:pPr>
        <w:pStyle w:val="NormalHanging12a"/>
        <w:widowControl/>
        <w:rPr>
          <w:szCs w:val="24"/>
        </w:rPr>
      </w:pPr>
      <w:r w:rsidRPr="00DF3A50">
        <w:t>I.</w:t>
      </w:r>
      <w:r w:rsidRPr="00DF3A50">
        <w:tab/>
        <w:t>ker so bile terenske študije, ki so bile uporabljene v podporo analizi sestave in fenotipa gensko spremenjene koruze, izvedene v eni rastni sezoni (2021) v Združenih državah Amerike in Kanadi v vremenskih razmerah, ki ne predstavljajo ustrezno raznolikosti regij, v katerih se prideluje koruza, zlasti v državah, kot je Brazilija;</w:t>
      </w:r>
    </w:p>
    <w:p w14:paraId="49905987" w14:textId="77777777" w:rsidR="001B2825" w:rsidRPr="00DF3A50" w:rsidRDefault="001B2825" w:rsidP="001B2825">
      <w:pPr>
        <w:pStyle w:val="NormalHanging12a"/>
        <w:widowControl/>
        <w:rPr>
          <w:szCs w:val="24"/>
        </w:rPr>
      </w:pPr>
      <w:r w:rsidRPr="00DF3A50">
        <w:t>J.</w:t>
      </w:r>
      <w:r w:rsidRPr="00DF3A50">
        <w:tab/>
        <w:t>ker so na nekaterih lokacijah, kjer so izvajali študijo, poročali o ekstremnih vremenskih pojavih; ker niso bile izvedene posebne preiskave za oceno prihodnjih razmer, na katere vplivajo sedanje podnebne spremembe;</w:t>
      </w:r>
    </w:p>
    <w:p w14:paraId="41C76D8E" w14:textId="77777777" w:rsidR="001B2825" w:rsidRPr="00DF3A50" w:rsidRDefault="001B2825" w:rsidP="001B2825">
      <w:pPr>
        <w:pStyle w:val="NormalHanging12a"/>
        <w:widowControl/>
        <w:rPr>
          <w:szCs w:val="24"/>
        </w:rPr>
      </w:pPr>
      <w:r w:rsidRPr="00DF3A50">
        <w:t>K.</w:t>
      </w:r>
      <w:r w:rsidRPr="00DF3A50">
        <w:tab/>
        <w:t xml:space="preserve">ker se je </w:t>
      </w:r>
      <w:proofErr w:type="spellStart"/>
      <w:r w:rsidRPr="00DF3A50">
        <w:t>glufosinat</w:t>
      </w:r>
      <w:proofErr w:type="spellEnd"/>
      <w:r w:rsidRPr="00DF3A50">
        <w:t xml:space="preserve"> v skladu s priporočili za odmerjanje, ki jih je izdala Evropska agencija za varnost hrane, med terenskimi študijami uporabil le enkrat; ker pa se v dejanski kmetijski praksi jakost in pogostnost nanašanja herbicidov pogosto močno razlikuje po regijah in lahko vključuje večjo ali večkratno uporabo, kar pomeni, da podatki, pridobljeni s terenskimi študijami, morda ne odražajo v zadostni meri vseh okoljskih in kmetijskih pogojev, v katerih se bo gensko spremenjena koruza verjetno gojila ali uvažala;</w:t>
      </w:r>
    </w:p>
    <w:p w14:paraId="1AC2AE70" w14:textId="77777777" w:rsidR="001B2825" w:rsidRPr="00DF3A50" w:rsidRDefault="001B2825" w:rsidP="001B2825">
      <w:pPr>
        <w:pStyle w:val="NormalHanging12a"/>
        <w:widowControl/>
        <w:rPr>
          <w:b/>
          <w:i/>
          <w:iCs/>
          <w:szCs w:val="24"/>
        </w:rPr>
      </w:pPr>
      <w:r w:rsidRPr="00DF3A50">
        <w:rPr>
          <w:b/>
          <w:i/>
        </w:rPr>
        <w:t xml:space="preserve">Odsotnost ocene </w:t>
      </w:r>
      <w:proofErr w:type="spellStart"/>
      <w:r w:rsidRPr="00DF3A50">
        <w:rPr>
          <w:b/>
          <w:i/>
        </w:rPr>
        <w:t>glufosinata</w:t>
      </w:r>
      <w:proofErr w:type="spellEnd"/>
      <w:r w:rsidRPr="00DF3A50">
        <w:rPr>
          <w:b/>
          <w:i/>
        </w:rPr>
        <w:t xml:space="preserve"> </w:t>
      </w:r>
    </w:p>
    <w:p w14:paraId="39AACDF6" w14:textId="77777777" w:rsidR="001B2825" w:rsidRPr="00DF3A50" w:rsidRDefault="001B2825" w:rsidP="001B2825">
      <w:pPr>
        <w:pStyle w:val="NormalHanging12a"/>
        <w:widowControl/>
        <w:rPr>
          <w:szCs w:val="24"/>
        </w:rPr>
      </w:pPr>
      <w:r w:rsidRPr="00DF3A50">
        <w:t>L.</w:t>
      </w:r>
      <w:r w:rsidRPr="00DF3A50">
        <w:tab/>
        <w:t xml:space="preserve">ker je </w:t>
      </w:r>
      <w:proofErr w:type="spellStart"/>
      <w:r w:rsidRPr="00DF3A50">
        <w:t>glufosinat</w:t>
      </w:r>
      <w:proofErr w:type="spellEnd"/>
      <w:r w:rsidRPr="00DF3A50">
        <w:t xml:space="preserve"> povezan z znatnimi tveganji za biotsko raznovrstnost, toksičnost in dolgoročno zdravje ekosistemov;</w:t>
      </w:r>
    </w:p>
    <w:p w14:paraId="68AC36F3" w14:textId="77777777" w:rsidR="001B2825" w:rsidRPr="00DF3A50" w:rsidRDefault="001B2825" w:rsidP="001B2825">
      <w:pPr>
        <w:pStyle w:val="NormalHanging12a"/>
        <w:widowControl/>
        <w:rPr>
          <w:szCs w:val="24"/>
        </w:rPr>
      </w:pPr>
      <w:r w:rsidRPr="00DF3A50">
        <w:t>M.</w:t>
      </w:r>
      <w:r w:rsidRPr="00DF3A50">
        <w:tab/>
        <w:t xml:space="preserve">ker je bila velika večina gensko spremenjenih kmetijskih rastlin gensko spremenjena tako, da so odporne proti enemu ali več komplementarnim herbicidom, ki se lahko uporabljajo skozi ves čas gojenja teh rastlin, ne da bi te odmrle, kot bi se zgodilo s </w:t>
      </w:r>
      <w:r w:rsidRPr="00DF3A50">
        <w:lastRenderedPageBreak/>
        <w:t>kmetijskimi rastlinami, ki niso odporne proti herbicidom; ker je iz številnih študij razvidno, da se pri gojenju gensko spremenjenih kmetijskih rastlin, odpornih proti herbicidom, uporabi več komplementarnih herbicidov, zlasti zaradi pojavljanja plevelov, odpornih proti herbicidom</w:t>
      </w:r>
      <w:r w:rsidRPr="00DF3A50">
        <w:rPr>
          <w:rStyle w:val="FootnoteReference"/>
          <w:szCs w:val="24"/>
        </w:rPr>
        <w:footnoteReference w:id="10"/>
      </w:r>
      <w:r w:rsidRPr="00DF3A50">
        <w:t>;</w:t>
      </w:r>
    </w:p>
    <w:p w14:paraId="31C4E74A" w14:textId="77777777" w:rsidR="001B2825" w:rsidRPr="00DF3A50" w:rsidRDefault="001B2825" w:rsidP="001B2825">
      <w:pPr>
        <w:pStyle w:val="NormalHanging12a"/>
        <w:widowControl/>
        <w:rPr>
          <w:szCs w:val="24"/>
        </w:rPr>
      </w:pPr>
      <w:r w:rsidRPr="00DF3A50">
        <w:t>N.</w:t>
      </w:r>
      <w:r w:rsidRPr="00DF3A50">
        <w:tab/>
        <w:t>ker gensko spremenjene kmetijske rastline, odporne proti herbicidom, vežejo kmete na sistem za zatiranje plevela, ki je v veliki meri ali celo povsem odvisen od herbicidov, in sicer tako, da se kmetom zaračunava premija za gensko spremenjena semena, kar se jim splača samo, če uporabljajo tudi komplementarne herbicide; ker bo večja odvisnost od komplementarnih herbicidov na kmetijah, ki gojijo gensko spremenjene kmetijske rastline, pospešila pojav in širjenje plevela, odpornega proti tem herbicidom, to pa bo prineslo potrebo po še večji stalni uporabi herbicidov, kar vodi v začarani krog;</w:t>
      </w:r>
    </w:p>
    <w:p w14:paraId="69E9C1A5" w14:textId="77777777" w:rsidR="001B2825" w:rsidRPr="00DF3A50" w:rsidRDefault="001B2825" w:rsidP="001B2825">
      <w:pPr>
        <w:pStyle w:val="NormalHanging12a"/>
        <w:widowControl/>
        <w:rPr>
          <w:szCs w:val="24"/>
        </w:rPr>
      </w:pPr>
      <w:r w:rsidRPr="00DF3A50">
        <w:t>O.</w:t>
      </w:r>
      <w:r w:rsidRPr="00DF3A50">
        <w:tab/>
        <w:t>ker bodo škodljivi učinki pretirane odvisnosti od herbicidov poslabšali zdravje tal, kakovost vode ter nadzemno in podzemno biotsko raznovrstnost, to pa bo privedlo do večje izpostavljenosti ljudi in živali herbicidom, po možnosti tudi zaradi povečanih količin njihovih ostankov na živilih in krmi;</w:t>
      </w:r>
    </w:p>
    <w:p w14:paraId="47B6C6E2" w14:textId="77777777" w:rsidR="001B2825" w:rsidRPr="00DF3A50" w:rsidRDefault="001B2825" w:rsidP="001B2825">
      <w:pPr>
        <w:pStyle w:val="NormalHanging12a"/>
        <w:widowControl/>
        <w:rPr>
          <w:szCs w:val="24"/>
        </w:rPr>
      </w:pPr>
      <w:r w:rsidRPr="00DF3A50">
        <w:t>P.</w:t>
      </w:r>
      <w:r w:rsidRPr="00DF3A50">
        <w:tab/>
        <w:t>ker se šteje, da ocenjevanje ostankov herbicidov in metabolitov na gensko spremenjenih rastlinah ne sodi na področje pristojnosti odbora agencije EFSA za gensko spremenjene organizme in se zato ne izvaja v okviru procesa odobritve gensko spremenjenih organizmov;</w:t>
      </w:r>
    </w:p>
    <w:p w14:paraId="49F8B42D" w14:textId="77777777" w:rsidR="001B2825" w:rsidRPr="00DF3A50" w:rsidRDefault="001B2825" w:rsidP="001B2825">
      <w:pPr>
        <w:pStyle w:val="NormalHanging12a"/>
        <w:widowControl/>
        <w:rPr>
          <w:b/>
          <w:i/>
          <w:iCs/>
          <w:szCs w:val="24"/>
        </w:rPr>
      </w:pPr>
      <w:r w:rsidRPr="00DF3A50">
        <w:rPr>
          <w:b/>
          <w:i/>
        </w:rPr>
        <w:t>Odprta vprašanja v zvezi s toksinom IPD072Aa</w:t>
      </w:r>
    </w:p>
    <w:p w14:paraId="652507A6" w14:textId="77777777" w:rsidR="001B2825" w:rsidRPr="00DF3A50" w:rsidRDefault="001B2825" w:rsidP="001B2825">
      <w:pPr>
        <w:pStyle w:val="NormalHanging12a"/>
        <w:widowControl/>
        <w:rPr>
          <w:szCs w:val="24"/>
        </w:rPr>
      </w:pPr>
      <w:r w:rsidRPr="00DF3A50">
        <w:t>Q.</w:t>
      </w:r>
      <w:r w:rsidRPr="00DF3A50">
        <w:tab/>
        <w:t>ker Izvedbena uredba (EU) št. 503/2013 zahteva toksikološko oceno, da se dokaže, da predvideni učinki genske spremembe nimajo škodljivih učinkov na zdravje ljudi in živali;</w:t>
      </w:r>
    </w:p>
    <w:p w14:paraId="58A35B52" w14:textId="77777777" w:rsidR="001B2825" w:rsidRPr="00DF3A50" w:rsidRDefault="001B2825" w:rsidP="001B2825">
      <w:pPr>
        <w:pStyle w:val="NormalHanging12a"/>
        <w:widowControl/>
        <w:rPr>
          <w:szCs w:val="24"/>
        </w:rPr>
      </w:pPr>
      <w:r w:rsidRPr="00DF3A50">
        <w:t>R.</w:t>
      </w:r>
      <w:r w:rsidRPr="00DF3A50">
        <w:tab/>
        <w:t xml:space="preserve">ker je IPD072Aa nova beljakovina, kar pomeni, da se njena uporaba v kmetijstvu in vnos v prehransko verigo ne moreta v celoti opirati na predhodno pridobljene izkušnje; </w:t>
      </w:r>
    </w:p>
    <w:p w14:paraId="0DF347D6" w14:textId="77777777" w:rsidR="001B2825" w:rsidRPr="00DF3A50" w:rsidRDefault="001B2825" w:rsidP="001B2825">
      <w:pPr>
        <w:pStyle w:val="NormalHanging12a"/>
        <w:widowControl/>
        <w:rPr>
          <w:szCs w:val="24"/>
        </w:rPr>
      </w:pPr>
      <w:r w:rsidRPr="00DF3A50">
        <w:t>S.</w:t>
      </w:r>
      <w:r w:rsidRPr="00DF3A50">
        <w:tab/>
        <w:t xml:space="preserve">ker so med beljakovino IPD072Aa in toksini </w:t>
      </w:r>
      <w:proofErr w:type="spellStart"/>
      <w:r w:rsidRPr="00DF3A50">
        <w:t>Bt</w:t>
      </w:r>
      <w:proofErr w:type="spellEnd"/>
      <w:r w:rsidRPr="00DF3A50">
        <w:t xml:space="preserve"> sicer razlike, vendar je treba na podlagi podobnosti, ki so jih opazili med njima, skrbno premisliti v postopku ocenjevanja tveganja; ker je bilo v več študijah ugotovljeno, da lahko toksini </w:t>
      </w:r>
      <w:proofErr w:type="spellStart"/>
      <w:r w:rsidRPr="00DF3A50">
        <w:t>Bt</w:t>
      </w:r>
      <w:proofErr w:type="spellEnd"/>
      <w:r w:rsidRPr="00DF3A50">
        <w:t xml:space="preserve"> povzročijo neželene </w:t>
      </w:r>
      <w:r w:rsidRPr="00DF3A50">
        <w:lastRenderedPageBreak/>
        <w:t>učinke na imunski sistem, ter da imajo morebitne adjuvantne lastnosti</w:t>
      </w:r>
      <w:r w:rsidRPr="00DF3A50">
        <w:rPr>
          <w:rStyle w:val="FootnoteReference"/>
          <w:szCs w:val="24"/>
        </w:rPr>
        <w:footnoteReference w:id="11"/>
      </w:r>
      <w:r w:rsidRPr="00DF3A50">
        <w:t>, kar pomeni, da lahko povečajo alergenost drugih beljakovin, s katerimi pridejo v stik;</w:t>
      </w:r>
    </w:p>
    <w:p w14:paraId="49179790" w14:textId="77777777" w:rsidR="001B2825" w:rsidRPr="00DF3A50" w:rsidRDefault="001B2825" w:rsidP="001B2825">
      <w:pPr>
        <w:pStyle w:val="NormalHanging12a"/>
        <w:widowControl/>
        <w:rPr>
          <w:szCs w:val="24"/>
        </w:rPr>
      </w:pPr>
      <w:r w:rsidRPr="00DF3A50">
        <w:t>T.</w:t>
      </w:r>
      <w:r w:rsidRPr="00DF3A50">
        <w:tab/>
        <w:t xml:space="preserve">ker je znanstvena študija pokazala, da se toksičnost toksinov </w:t>
      </w:r>
      <w:proofErr w:type="spellStart"/>
      <w:r w:rsidRPr="00DF3A50">
        <w:t>Bt</w:t>
      </w:r>
      <w:proofErr w:type="spellEnd"/>
      <w:r w:rsidRPr="00DF3A50">
        <w:t xml:space="preserve"> lahko poveča tudi z interakcijo z ostanki škropljenja s herbicidi in da so potrebne nadaljnje študije kombiniranih učinkov zložb genskih elementov (gensko spremenjene kmetijske rastline, ki so bile spremenjene, da bi bile odporne proti herbicidom in bi proizvajale insekticide v obliki toksinov </w:t>
      </w:r>
      <w:proofErr w:type="spellStart"/>
      <w:r w:rsidRPr="00DF3A50">
        <w:t>Bt</w:t>
      </w:r>
      <w:proofErr w:type="spellEnd"/>
      <w:r w:rsidRPr="00DF3A50">
        <w:t>)</w:t>
      </w:r>
      <w:r w:rsidRPr="00DF3A50">
        <w:rPr>
          <w:rStyle w:val="FootnoteReference"/>
          <w:szCs w:val="24"/>
        </w:rPr>
        <w:footnoteReference w:id="12"/>
      </w:r>
      <w:r w:rsidRPr="00DF3A50">
        <w:t xml:space="preserve">; ker se kljub temu šteje, da ocenjevanje morebitne interakcije ostankov herbicidov in njihovih metabolitov s toksini </w:t>
      </w:r>
      <w:proofErr w:type="spellStart"/>
      <w:r w:rsidRPr="00DF3A50">
        <w:t>Bt</w:t>
      </w:r>
      <w:proofErr w:type="spellEnd"/>
      <w:r w:rsidRPr="00DF3A50">
        <w:t xml:space="preserve"> ne sodi na področje pristojnosti odbora agencije EFSA za gensko spremenjene organizme in se zato ne izvaja v okviru ocene tveganja;</w:t>
      </w:r>
    </w:p>
    <w:p w14:paraId="291E3958" w14:textId="77777777" w:rsidR="001B2825" w:rsidRPr="00DF3A50" w:rsidRDefault="001B2825" w:rsidP="001B2825">
      <w:pPr>
        <w:pStyle w:val="NormalHanging12a"/>
        <w:widowControl/>
        <w:rPr>
          <w:szCs w:val="24"/>
        </w:rPr>
      </w:pPr>
      <w:r w:rsidRPr="00DF3A50">
        <w:t>U.</w:t>
      </w:r>
      <w:r w:rsidRPr="00DF3A50">
        <w:tab/>
        <w:t>ker ocena toksičnosti IPD072Aa ne upošteva morebitnih sinergijskih ali kumulativnih učinkov, ki izhajajo iz interakcij z rastlinskimi metaboliti ali ostanki herbicidov;</w:t>
      </w:r>
    </w:p>
    <w:p w14:paraId="078AAA22" w14:textId="77777777" w:rsidR="001B2825" w:rsidRPr="00DF3A50" w:rsidRDefault="001B2825" w:rsidP="001B2825">
      <w:pPr>
        <w:pStyle w:val="NormalHanging12a"/>
        <w:widowControl/>
        <w:rPr>
          <w:szCs w:val="24"/>
        </w:rPr>
      </w:pPr>
      <w:r w:rsidRPr="00DF3A50">
        <w:t>V.</w:t>
      </w:r>
      <w:r w:rsidRPr="00DF3A50">
        <w:tab/>
        <w:t>ker niso bili predloženi nobeni podatki o kopičenju IPD072Aa v prehranjevalnih spletih, njegovem širjenju v okolje, zlasti prek odpadne vode in gnoja v tleh in vodnih ekosistemih, ali njegovih učinkih na neciljne organizme;</w:t>
      </w:r>
    </w:p>
    <w:p w14:paraId="6DAD8090" w14:textId="77777777" w:rsidR="001B2825" w:rsidRPr="00DF3A50" w:rsidRDefault="001B2825" w:rsidP="001B2825">
      <w:pPr>
        <w:pStyle w:val="NormalHanging12a"/>
        <w:widowControl/>
        <w:rPr>
          <w:szCs w:val="24"/>
        </w:rPr>
      </w:pPr>
      <w:r w:rsidRPr="00DF3A50">
        <w:t>W.</w:t>
      </w:r>
      <w:r w:rsidRPr="00DF3A50">
        <w:tab/>
        <w:t xml:space="preserve">ker potencial za prenos genov na sorodne divje vrste, kot je </w:t>
      </w:r>
      <w:proofErr w:type="spellStart"/>
      <w:r w:rsidRPr="00DF3A50">
        <w:t>teozint</w:t>
      </w:r>
      <w:proofErr w:type="spellEnd"/>
      <w:r w:rsidRPr="00DF3A50">
        <w:t>, o katerem poročajo v Španiji in Franciji, vzbuja zaskrbljenost zaradi obstojnosti transgena v okolju in njegovih morebitnih ekoloških posledic</w:t>
      </w:r>
      <w:r w:rsidRPr="00DF3A50">
        <w:rPr>
          <w:rStyle w:val="FootnoteReference"/>
          <w:szCs w:val="24"/>
        </w:rPr>
        <w:footnoteReference w:id="13"/>
      </w:r>
      <w:r w:rsidRPr="00DF3A50">
        <w:t>;</w:t>
      </w:r>
    </w:p>
    <w:p w14:paraId="342A0694" w14:textId="77777777" w:rsidR="001B2825" w:rsidRPr="00DF3A50" w:rsidRDefault="001B2825" w:rsidP="001B2825">
      <w:pPr>
        <w:pStyle w:val="NormalHanging12a"/>
        <w:widowControl/>
        <w:rPr>
          <w:szCs w:val="24"/>
        </w:rPr>
      </w:pPr>
      <w:r w:rsidRPr="00DF3A50">
        <w:t>X.</w:t>
      </w:r>
      <w:r w:rsidRPr="00DF3A50">
        <w:tab/>
        <w:t xml:space="preserve">ker zahteve za spremljanje, določene v Izvedbeni uredbi (EU) št. 503/2013, niso ustrezno izvrševane, saj podatki, ki jih je predložilo podjetje </w:t>
      </w:r>
      <w:proofErr w:type="spellStart"/>
      <w:r w:rsidRPr="00DF3A50">
        <w:t>Corteva</w:t>
      </w:r>
      <w:proofErr w:type="spellEnd"/>
      <w:r w:rsidRPr="00DF3A50">
        <w:t xml:space="preserve"> </w:t>
      </w:r>
      <w:proofErr w:type="spellStart"/>
      <w:r w:rsidRPr="00DF3A50">
        <w:t>Agriscience</w:t>
      </w:r>
      <w:proofErr w:type="spellEnd"/>
      <w:r w:rsidRPr="00DF3A50">
        <w:t xml:space="preserve"> LLC, niso bili neodvisno pregledani;</w:t>
      </w:r>
    </w:p>
    <w:p w14:paraId="4B4B35C1" w14:textId="77777777" w:rsidR="001B2825" w:rsidRPr="00DF3A50" w:rsidRDefault="001B2825" w:rsidP="00303CB9">
      <w:pPr>
        <w:pStyle w:val="NormalHanging12a"/>
        <w:widowControl/>
        <w:ind w:left="0" w:firstLine="0"/>
        <w:rPr>
          <w:b/>
          <w:i/>
          <w:iCs/>
          <w:szCs w:val="24"/>
        </w:rPr>
      </w:pPr>
      <w:r w:rsidRPr="00DF3A50">
        <w:rPr>
          <w:b/>
          <w:i/>
        </w:rPr>
        <w:t>Zagotavljanje enakih konkurenčnih pogojev na svetovni ravni in spoštovanje mednarodnih obveznosti Unije</w:t>
      </w:r>
    </w:p>
    <w:p w14:paraId="1F5A0CB9" w14:textId="5252DD0C" w:rsidR="001B2825" w:rsidRPr="00DF3A50" w:rsidRDefault="001B2825" w:rsidP="001B2825">
      <w:pPr>
        <w:pStyle w:val="NormalHanging12a"/>
        <w:widowControl/>
        <w:rPr>
          <w:b/>
          <w:szCs w:val="24"/>
        </w:rPr>
      </w:pPr>
      <w:r w:rsidRPr="00DF3A50">
        <w:t>Y.</w:t>
      </w:r>
      <w:r w:rsidRPr="00DF3A50">
        <w:rPr>
          <w:b/>
        </w:rPr>
        <w:tab/>
      </w:r>
      <w:r w:rsidRPr="00DF3A50">
        <w:t xml:space="preserve">ker gojenje gensko spremenjene koruze v Uniji ni dovoljeno; ker bi sprejetje </w:t>
      </w:r>
      <w:r w:rsidR="008A5DFC" w:rsidRPr="00303CB9">
        <w:rPr>
          <w:bCs/>
        </w:rPr>
        <w:t>I</w:t>
      </w:r>
      <w:r w:rsidR="008A5DFC" w:rsidRPr="008A5DFC">
        <w:rPr>
          <w:bCs/>
        </w:rPr>
        <w:t>zvedben</w:t>
      </w:r>
      <w:r w:rsidR="008A5DFC" w:rsidRPr="00303CB9">
        <w:rPr>
          <w:bCs/>
        </w:rPr>
        <w:t>ega</w:t>
      </w:r>
      <w:r w:rsidR="008A5DFC" w:rsidRPr="008A5DFC">
        <w:rPr>
          <w:bCs/>
        </w:rPr>
        <w:t xml:space="preserve"> </w:t>
      </w:r>
      <w:r w:rsidR="008A5DFC" w:rsidRPr="00DF3A50">
        <w:t>sklep</w:t>
      </w:r>
      <w:r w:rsidR="008A5DFC">
        <w:t xml:space="preserve">a </w:t>
      </w:r>
      <w:r w:rsidR="008A5DFC" w:rsidRPr="008A5DFC">
        <w:t xml:space="preserve">(EU) 2025/1898 </w:t>
      </w:r>
      <w:r w:rsidRPr="00DF3A50">
        <w:t>omogočilo uvoz koruze v Unijo, ki ne izpolnjuje standardov, ki jih upoštevajo kmetje Unije, kar bi jih postavilo v slabši konkurenčni položaj;</w:t>
      </w:r>
    </w:p>
    <w:p w14:paraId="5CA6E65A" w14:textId="77777777" w:rsidR="001B2825" w:rsidRPr="00DF3A50" w:rsidRDefault="001B2825" w:rsidP="001B2825">
      <w:pPr>
        <w:pStyle w:val="NormalHanging12a"/>
        <w:widowControl/>
        <w:rPr>
          <w:b/>
          <w:szCs w:val="24"/>
        </w:rPr>
      </w:pPr>
      <w:r w:rsidRPr="00DF3A50">
        <w:lastRenderedPageBreak/>
        <w:t>Z.</w:t>
      </w:r>
      <w:r w:rsidRPr="00DF3A50">
        <w:tab/>
        <w:t>ker je Komisija v sklepih strateškega dialoga o prihodnosti kmetijstva v EU</w:t>
      </w:r>
      <w:r w:rsidRPr="00DF3A50">
        <w:rPr>
          <w:rStyle w:val="FootnoteReference"/>
          <w:szCs w:val="24"/>
        </w:rPr>
        <w:footnoteReference w:id="14"/>
      </w:r>
      <w:r w:rsidRPr="00DF3A50">
        <w:t xml:space="preserve"> pozvana, naj ponovno oceni svoj pristop v zvezi z dostopom do trga za uvoz in izvoz agroživilskih proizvodov, saj razlike v standardih Unije in njenih trgovinskih partnerjev pomenijo velik izziv; ker so bili pravičnejši trgovinski odnosi na svetovni ravni, skladni s cilji za zdravo okolje, ena od glavnih zahtev kmetov na protestih v letih 2023 in 2024;</w:t>
      </w:r>
    </w:p>
    <w:p w14:paraId="09E00009" w14:textId="77777777" w:rsidR="001B2825" w:rsidRPr="00DF3A50" w:rsidRDefault="001B2825" w:rsidP="001B2825">
      <w:pPr>
        <w:pStyle w:val="NormalHanging12a"/>
        <w:widowControl/>
        <w:rPr>
          <w:szCs w:val="24"/>
        </w:rPr>
      </w:pPr>
      <w:r w:rsidRPr="00DF3A50">
        <w:t>AA.</w:t>
      </w:r>
      <w:r w:rsidRPr="00DF3A50">
        <w:tab/>
        <w:t>ker je posebna poročevalka OZN o pravici do hrane v poročilu iz leta 2017 ugotovila, da imajo nevarni pesticidi katastrofalne posledice za zdravje, zlasti v državah v razvoju</w:t>
      </w:r>
      <w:r w:rsidRPr="00DF3A50">
        <w:rPr>
          <w:rStyle w:val="FootnoteReference"/>
          <w:szCs w:val="24"/>
        </w:rPr>
        <w:footnoteReference w:id="15"/>
      </w:r>
      <w:r w:rsidRPr="00DF3A50">
        <w:t>; ker je cilj OZN za trajnostni razvoj 3.9 do leta 2030 občutno zmanjšati število primerov smrti in bolezni zaradi izpostavljenosti nevarnim kemikalijam ter onesnaženosti zraka, vode in tal</w:t>
      </w:r>
      <w:r w:rsidRPr="00DF3A50">
        <w:rPr>
          <w:rStyle w:val="FootnoteReference"/>
          <w:szCs w:val="24"/>
        </w:rPr>
        <w:footnoteReference w:id="16"/>
      </w:r>
      <w:r w:rsidRPr="00DF3A50">
        <w:t>;</w:t>
      </w:r>
    </w:p>
    <w:p w14:paraId="716E1DFA" w14:textId="77777777" w:rsidR="001B2825" w:rsidRPr="00DF3A50" w:rsidRDefault="001B2825" w:rsidP="001B2825">
      <w:pPr>
        <w:pStyle w:val="NormalHanging12a"/>
        <w:widowControl/>
        <w:rPr>
          <w:szCs w:val="24"/>
        </w:rPr>
      </w:pPr>
      <w:r w:rsidRPr="00DF3A50">
        <w:t>AB.</w:t>
      </w:r>
      <w:r w:rsidRPr="00DF3A50">
        <w:tab/>
        <w:t xml:space="preserve">ker </w:t>
      </w:r>
      <w:proofErr w:type="spellStart"/>
      <w:r w:rsidRPr="00DF3A50">
        <w:t>Kunminško</w:t>
      </w:r>
      <w:proofErr w:type="spellEnd"/>
      <w:r w:rsidRPr="00DF3A50">
        <w:t>-montrealski svetovni okvir za biotsko raznovrstnost, dogovorjen na 15. konferenci pogodbenic Konvencije Združenih narodov o biološki raznovrstnosti decembra 2022, vsebuje globalni cilj zmanjšanja tveganja pesticidov za vsaj 50 % do leta 2030</w:t>
      </w:r>
      <w:r w:rsidRPr="00DF3A50">
        <w:rPr>
          <w:rStyle w:val="FootnoteReference"/>
          <w:szCs w:val="24"/>
        </w:rPr>
        <w:footnoteReference w:id="17"/>
      </w:r>
      <w:r w:rsidRPr="00DF3A50">
        <w:t>;</w:t>
      </w:r>
    </w:p>
    <w:p w14:paraId="2880EF51" w14:textId="77777777" w:rsidR="001B2825" w:rsidRPr="00DF3A50" w:rsidRDefault="001B2825" w:rsidP="001B2825">
      <w:pPr>
        <w:pStyle w:val="NormalHanging12a"/>
        <w:widowControl/>
        <w:rPr>
          <w:szCs w:val="24"/>
        </w:rPr>
      </w:pPr>
      <w:r w:rsidRPr="00DF3A50">
        <w:t>AC.</w:t>
      </w:r>
      <w:r w:rsidRPr="00DF3A50">
        <w:tab/>
        <w:t>ker Uredba (ES) št. 1829/2003 določa, da gensko spremenjena živila in krma ne smejo imeti škodljivih učinkov na zdravje ljudi, zdravje živali ali okolje in da mora Komisija pri pripravi osnutka sklepa upoštevati vse ustrezne določbe prava Unije in druge upravičene dejavnike, pomembne za obravnavano zadevo; ker bi morali ti upravičeni dejavniki zajemati tudi obveznosti Unije na podlagi ciljev OZN za trajnostni razvoj, Pariškega sporazuma o podnebnih spremembah in Konvencije OZN o biološki raznovrstnosti;</w:t>
      </w:r>
    </w:p>
    <w:p w14:paraId="7569B4B0" w14:textId="77777777" w:rsidR="001B2825" w:rsidRPr="00DF3A50" w:rsidRDefault="001B2825" w:rsidP="001B2825">
      <w:pPr>
        <w:pStyle w:val="NormalHanging12a"/>
        <w:widowControl/>
        <w:rPr>
          <w:b/>
          <w:i/>
          <w:iCs/>
          <w:szCs w:val="24"/>
        </w:rPr>
      </w:pPr>
      <w:r w:rsidRPr="00DF3A50">
        <w:rPr>
          <w:b/>
          <w:i/>
        </w:rPr>
        <w:t>Zmanjšanje odvisnosti od uvožene krme</w:t>
      </w:r>
    </w:p>
    <w:p w14:paraId="7345C1F7" w14:textId="77777777" w:rsidR="001B2825" w:rsidRPr="00DF3A50" w:rsidRDefault="001B2825" w:rsidP="001B2825">
      <w:pPr>
        <w:pStyle w:val="NormalHanging12a"/>
        <w:widowControl/>
        <w:rPr>
          <w:szCs w:val="24"/>
        </w:rPr>
      </w:pPr>
      <w:r w:rsidRPr="00DF3A50">
        <w:t>AD.</w:t>
      </w:r>
      <w:r w:rsidRPr="00DF3A50">
        <w:tab/>
        <w:t>ker je eno od spoznanj, pridobljenih med koronavirusno krizo in vojno v Ukrajini, ki še vedno poteka, to, da mora Unija nujno odpraviti odvisnost od nekaterih kritičnih surovin; ker je predsednica Komisije Ursula von der Leyen komisarja Christopha Hansena v poslanici prosila, naj preuči načine za zmanjšanje uvoza kritičnih surovin</w:t>
      </w:r>
      <w:r w:rsidRPr="00DF3A50">
        <w:rPr>
          <w:rStyle w:val="FootnoteReference"/>
          <w:szCs w:val="24"/>
        </w:rPr>
        <w:footnoteReference w:id="18"/>
      </w:r>
      <w:r w:rsidRPr="00DF3A50">
        <w:t>;</w:t>
      </w:r>
    </w:p>
    <w:p w14:paraId="562F0EA6" w14:textId="77777777" w:rsidR="001B2825" w:rsidRPr="00DF3A50" w:rsidRDefault="001B2825" w:rsidP="001B2825">
      <w:pPr>
        <w:pStyle w:val="NormalHanging12a"/>
        <w:widowControl/>
        <w:rPr>
          <w:b/>
          <w:i/>
          <w:iCs/>
          <w:szCs w:val="24"/>
        </w:rPr>
      </w:pPr>
      <w:r w:rsidRPr="00DF3A50">
        <w:rPr>
          <w:b/>
          <w:i/>
        </w:rPr>
        <w:t>Nedemokratičen postopek odločanja</w:t>
      </w:r>
    </w:p>
    <w:p w14:paraId="6651E220" w14:textId="77777777" w:rsidR="001B2825" w:rsidRPr="00DF3A50" w:rsidRDefault="001B2825" w:rsidP="001B2825">
      <w:pPr>
        <w:pStyle w:val="NormalHanging12a"/>
        <w:widowControl/>
        <w:rPr>
          <w:szCs w:val="24"/>
        </w:rPr>
      </w:pPr>
      <w:r w:rsidRPr="00DF3A50">
        <w:t>AE.</w:t>
      </w:r>
      <w:r w:rsidRPr="00DF3A50">
        <w:tab/>
        <w:t xml:space="preserve">ker je Evropski parlament v osmem zakonodajnem obdobju sprejel 36 resolucij, v katerih nasprotuje temu, da bi gensko spremenjene organizme, namenjene za živila in krmo, smeli dajati na trg (33 resolucij) ter da bi te organizme gojili v Uniji (tri resolucije); ker je Parlament v devetem zakonodajnem obdobju sprejel 38 resolucij, v katerih nasprotuje temu, da bi gensko spremenjene organizme dali na trg, v sedanjem </w:t>
      </w:r>
      <w:r w:rsidRPr="00DF3A50">
        <w:lastRenderedPageBreak/>
        <w:t>desetem zakonodajnem obdobju pa že dodatnih 11 resolucij, v katerih nasprotuje dajanju gensko spremenjenih organizmov na trg;</w:t>
      </w:r>
    </w:p>
    <w:p w14:paraId="6E5CCE13" w14:textId="77777777" w:rsidR="001B2825" w:rsidRPr="00DF3A50" w:rsidRDefault="001B2825" w:rsidP="001B2825">
      <w:pPr>
        <w:pStyle w:val="NormalHanging12a"/>
        <w:widowControl/>
        <w:rPr>
          <w:szCs w:val="24"/>
        </w:rPr>
      </w:pPr>
      <w:r w:rsidRPr="00DF3A50">
        <w:t>AF.</w:t>
      </w:r>
      <w:r w:rsidRPr="00DF3A50">
        <w:tab/>
        <w:t>ker je Komisija sama priznala demokratični primanjkljaj, odsotnost podpore držav članic in nasprotovanje Parlamenta, a vseeno še naprej sprejema odobritve za gensko spremenjene organizme;</w:t>
      </w:r>
    </w:p>
    <w:p w14:paraId="795A90AE" w14:textId="77777777" w:rsidR="001B2825" w:rsidRPr="00DF3A50" w:rsidRDefault="001B2825" w:rsidP="001B2825">
      <w:pPr>
        <w:pStyle w:val="NormalHanging12a"/>
        <w:widowControl/>
        <w:rPr>
          <w:szCs w:val="24"/>
        </w:rPr>
      </w:pPr>
      <w:r w:rsidRPr="00DF3A50">
        <w:t>AG.</w:t>
      </w:r>
      <w:r w:rsidRPr="00DF3A50">
        <w:tab/>
        <w:t>ker ni treba spreminjati zakonodaje, da bi lahko Komisija zavrnila odobritev gensko spremenjenih organizmov, če v odboru za pritožbe odobritve ne podpre kvalificirana večina držav članic</w:t>
      </w:r>
      <w:r w:rsidRPr="00DF3A50">
        <w:rPr>
          <w:rStyle w:val="FootnoteReference"/>
          <w:szCs w:val="24"/>
        </w:rPr>
        <w:footnoteReference w:id="19"/>
      </w:r>
      <w:r w:rsidRPr="00DF3A50">
        <w:t>;</w:t>
      </w:r>
    </w:p>
    <w:p w14:paraId="226D6510" w14:textId="77777777" w:rsidR="001B2825" w:rsidRPr="00DF3A50" w:rsidRDefault="001B2825" w:rsidP="001B2825">
      <w:pPr>
        <w:pStyle w:val="NormalHanging12a"/>
        <w:widowControl/>
        <w:rPr>
          <w:szCs w:val="24"/>
        </w:rPr>
      </w:pPr>
      <w:r w:rsidRPr="00DF3A50">
        <w:t>AH.</w:t>
      </w:r>
      <w:r w:rsidRPr="00DF3A50">
        <w:tab/>
        <w:t>ker pri glasovanju Stalnega odbora za rastline, živali hrano in krmo iz člena 35 Uredbe (ES) št. 1829/2003, ki je potekalo 13. junija 2025, ni bilo sprejeto mnenje, kar pomeni, da države članice odobritve niso podprle s kvalificirano večino</w:t>
      </w:r>
      <w:r w:rsidRPr="00DF3A50">
        <w:rPr>
          <w:rStyle w:val="FootnoteReference"/>
          <w:szCs w:val="24"/>
        </w:rPr>
        <w:footnoteReference w:id="20"/>
      </w:r>
      <w:r w:rsidRPr="00DF3A50">
        <w:t xml:space="preserve">; </w:t>
      </w:r>
      <w:r w:rsidRPr="00DF3A50">
        <w:rPr>
          <w:shd w:val="clear" w:color="auto" w:fill="FFFFFF"/>
        </w:rPr>
        <w:t>ker tudi pri glasovanju odbora za pritožbe 15. julija 2025 ni bilo podano mnenje;</w:t>
      </w:r>
    </w:p>
    <w:p w14:paraId="59CAE868" w14:textId="4FF6EAC7" w:rsidR="001B2825" w:rsidRPr="00DF3A50" w:rsidRDefault="001B2825" w:rsidP="001B2825">
      <w:pPr>
        <w:pStyle w:val="NormalHanging12a"/>
      </w:pPr>
      <w:r w:rsidRPr="00DF3A50">
        <w:t>1.</w:t>
      </w:r>
      <w:r w:rsidRPr="00DF3A50">
        <w:tab/>
        <w:t xml:space="preserve">meni da </w:t>
      </w:r>
      <w:r w:rsidR="008A5DFC" w:rsidRPr="00303CB9">
        <w:rPr>
          <w:bCs/>
        </w:rPr>
        <w:t>I</w:t>
      </w:r>
      <w:r w:rsidR="008A5DFC" w:rsidRPr="001A451C">
        <w:rPr>
          <w:bCs/>
        </w:rPr>
        <w:t>zvedben</w:t>
      </w:r>
      <w:r w:rsidR="008A5DFC" w:rsidRPr="00303CB9">
        <w:rPr>
          <w:bCs/>
        </w:rPr>
        <w:t>i</w:t>
      </w:r>
      <w:r w:rsidR="008A5DFC" w:rsidRPr="00DF3A50">
        <w:t xml:space="preserve"> sklep</w:t>
      </w:r>
      <w:r w:rsidR="008A5DFC">
        <w:rPr>
          <w:b/>
        </w:rPr>
        <w:t xml:space="preserve"> </w:t>
      </w:r>
      <w:r w:rsidR="008A5DFC" w:rsidRPr="008A5DFC">
        <w:t xml:space="preserve">(EU) 2025/1898 </w:t>
      </w:r>
      <w:r w:rsidRPr="00DF3A50">
        <w:t>presega izvedbena pooblastila, določena v Uredbi (ES) št. 1829/2003;</w:t>
      </w:r>
    </w:p>
    <w:p w14:paraId="5842D691" w14:textId="4E99B0D4" w:rsidR="001B2825" w:rsidRPr="00DF3A50" w:rsidRDefault="001B2825" w:rsidP="001B2825">
      <w:pPr>
        <w:pStyle w:val="NormalBold"/>
        <w:widowControl/>
        <w:spacing w:after="240"/>
        <w:ind w:left="567" w:hanging="567"/>
        <w:rPr>
          <w:b w:val="0"/>
          <w:szCs w:val="24"/>
        </w:rPr>
      </w:pPr>
      <w:r w:rsidRPr="00DF3A50">
        <w:rPr>
          <w:b w:val="0"/>
        </w:rPr>
        <w:t>2.</w:t>
      </w:r>
      <w:r w:rsidRPr="00DF3A50">
        <w:rPr>
          <w:b w:val="0"/>
        </w:rPr>
        <w:tab/>
        <w:t xml:space="preserve">meni, da </w:t>
      </w:r>
      <w:r w:rsidR="008A5DFC">
        <w:rPr>
          <w:b w:val="0"/>
        </w:rPr>
        <w:t>I</w:t>
      </w:r>
      <w:r w:rsidR="008A5DFC" w:rsidRPr="00DF3A50">
        <w:rPr>
          <w:b w:val="0"/>
        </w:rPr>
        <w:t>zvedben</w:t>
      </w:r>
      <w:r w:rsidR="008A5DFC">
        <w:rPr>
          <w:b w:val="0"/>
        </w:rPr>
        <w:t>i</w:t>
      </w:r>
      <w:r w:rsidR="008A5DFC" w:rsidRPr="00DF3A50">
        <w:rPr>
          <w:b w:val="0"/>
        </w:rPr>
        <w:t xml:space="preserve"> sklep</w:t>
      </w:r>
      <w:r w:rsidR="008A5DFC">
        <w:rPr>
          <w:b w:val="0"/>
        </w:rPr>
        <w:t xml:space="preserve"> </w:t>
      </w:r>
      <w:r w:rsidR="008A5DFC" w:rsidRPr="008A5DFC">
        <w:rPr>
          <w:b w:val="0"/>
        </w:rPr>
        <w:t xml:space="preserve">(EU) 2025/1898 </w:t>
      </w:r>
      <w:r w:rsidRPr="00DF3A50">
        <w:rPr>
          <w:b w:val="0"/>
        </w:rPr>
        <w:t>ni v skladu s pravom Unije, saj ni združljiv s ciljem Uredbe (ES) št. 1829/2003, namreč da se v skladu s splošnimi načeli iz Uredbe (ES) št. 178/2002 Evropskega parlamenta in Sveta</w:t>
      </w:r>
      <w:r w:rsidRPr="00DF3A50">
        <w:rPr>
          <w:rStyle w:val="FootnoteReference"/>
          <w:b w:val="0"/>
          <w:szCs w:val="24"/>
        </w:rPr>
        <w:footnoteReference w:id="21"/>
      </w:r>
      <w:r w:rsidRPr="00DF3A50">
        <w:rPr>
          <w:b w:val="0"/>
        </w:rPr>
        <w:t xml:space="preserve"> omogoči visoka raven varovanja življenja in zdravja ljudi, zdravja in zaščite živali ter okoljskih interesov in interesov potrošnikov v zvezi z gensko spremenjenimi živili in krmo, ob hkratnem zagotavljanju nemotenega delovanja notranjega trga;</w:t>
      </w:r>
    </w:p>
    <w:p w14:paraId="172E4B06" w14:textId="1746F502" w:rsidR="001B2825" w:rsidRPr="00DF3A50" w:rsidRDefault="001B2825" w:rsidP="001B2825">
      <w:pPr>
        <w:pStyle w:val="NormalBold"/>
        <w:widowControl/>
        <w:spacing w:after="240"/>
        <w:ind w:left="567" w:hanging="567"/>
        <w:rPr>
          <w:b w:val="0"/>
          <w:szCs w:val="24"/>
        </w:rPr>
      </w:pPr>
      <w:r w:rsidRPr="00DF3A50">
        <w:rPr>
          <w:b w:val="0"/>
        </w:rPr>
        <w:t>3.</w:t>
      </w:r>
      <w:r w:rsidRPr="00DF3A50">
        <w:rPr>
          <w:b w:val="0"/>
        </w:rPr>
        <w:tab/>
        <w:t xml:space="preserve">poziva Komisijo, naj </w:t>
      </w:r>
      <w:r w:rsidR="008A5DFC">
        <w:rPr>
          <w:b w:val="0"/>
        </w:rPr>
        <w:t>razveljavi</w:t>
      </w:r>
      <w:r w:rsidR="008A5DFC" w:rsidRPr="00DF3A50">
        <w:rPr>
          <w:b w:val="0"/>
        </w:rPr>
        <w:t xml:space="preserve"> </w:t>
      </w:r>
      <w:r w:rsidR="008A5DFC">
        <w:rPr>
          <w:b w:val="0"/>
        </w:rPr>
        <w:t>I</w:t>
      </w:r>
      <w:r w:rsidRPr="00DF3A50">
        <w:rPr>
          <w:b w:val="0"/>
        </w:rPr>
        <w:t>zvedben</w:t>
      </w:r>
      <w:r w:rsidR="008A5DFC">
        <w:rPr>
          <w:b w:val="0"/>
        </w:rPr>
        <w:t>i</w:t>
      </w:r>
      <w:r w:rsidRPr="00DF3A50">
        <w:rPr>
          <w:b w:val="0"/>
        </w:rPr>
        <w:t xml:space="preserve"> sklep</w:t>
      </w:r>
      <w:r w:rsidR="008A5DFC">
        <w:rPr>
          <w:b w:val="0"/>
        </w:rPr>
        <w:t xml:space="preserve"> </w:t>
      </w:r>
      <w:r w:rsidR="008A5DFC" w:rsidRPr="008A5DFC">
        <w:rPr>
          <w:b w:val="0"/>
        </w:rPr>
        <w:t xml:space="preserve">(EU) 2025/1898 </w:t>
      </w:r>
      <w:r w:rsidRPr="00DF3A50">
        <w:rPr>
          <w:b w:val="0"/>
        </w:rPr>
        <w:t>in odboru predloži novega;</w:t>
      </w:r>
    </w:p>
    <w:p w14:paraId="6600F08E" w14:textId="77777777" w:rsidR="001B2825" w:rsidRPr="00DF3A50" w:rsidRDefault="001B2825" w:rsidP="001B2825">
      <w:pPr>
        <w:pStyle w:val="NormalBold"/>
        <w:widowControl/>
        <w:spacing w:after="240"/>
        <w:ind w:left="567" w:hanging="567"/>
        <w:rPr>
          <w:b w:val="0"/>
          <w:szCs w:val="24"/>
        </w:rPr>
      </w:pPr>
      <w:r w:rsidRPr="00DF3A50">
        <w:rPr>
          <w:b w:val="0"/>
        </w:rPr>
        <w:t>4.</w:t>
      </w:r>
      <w:r w:rsidRPr="00DF3A50">
        <w:rPr>
          <w:b w:val="0"/>
        </w:rPr>
        <w:tab/>
        <w:t>poziva Komisijo, naj pri pogajanjih o prostotrgovinskih sporazumih poskrbi, da bodo standardi Unije in standardi njenih partnerjev zbližani, da bodo doseženi varnostni standardi Unije;</w:t>
      </w:r>
    </w:p>
    <w:p w14:paraId="4D196D73" w14:textId="77777777" w:rsidR="001B2825" w:rsidRPr="00DF3A50" w:rsidRDefault="001B2825" w:rsidP="001B2825">
      <w:pPr>
        <w:pStyle w:val="NormalBold"/>
        <w:widowControl/>
        <w:spacing w:after="240"/>
        <w:ind w:left="567" w:hanging="567"/>
        <w:rPr>
          <w:b w:val="0"/>
          <w:szCs w:val="24"/>
        </w:rPr>
      </w:pPr>
      <w:r w:rsidRPr="00DF3A50">
        <w:rPr>
          <w:b w:val="0"/>
        </w:rPr>
        <w:t>5.</w:t>
      </w:r>
      <w:r w:rsidRPr="00DF3A50">
        <w:rPr>
          <w:b w:val="0"/>
        </w:rPr>
        <w:tab/>
        <w:t>poziva Komisijo, naj v skladu s pristopom „eno zdravje“ ne odobri gensko spremenjene koruze, saj pomeni tveganje za biotsko raznovrstnost, varnost hrane in zdravje delavcev;</w:t>
      </w:r>
    </w:p>
    <w:p w14:paraId="6388A3E6" w14:textId="77777777" w:rsidR="001B2825" w:rsidRPr="00DF3A50" w:rsidRDefault="001B2825" w:rsidP="001B2825">
      <w:pPr>
        <w:pStyle w:val="NormalBold"/>
        <w:widowControl/>
        <w:spacing w:after="240"/>
        <w:ind w:left="567" w:hanging="567"/>
        <w:rPr>
          <w:b w:val="0"/>
          <w:szCs w:val="24"/>
        </w:rPr>
      </w:pPr>
      <w:r w:rsidRPr="00DF3A50">
        <w:rPr>
          <w:b w:val="0"/>
        </w:rPr>
        <w:lastRenderedPageBreak/>
        <w:t>6.</w:t>
      </w:r>
      <w:r w:rsidRPr="00DF3A50">
        <w:rPr>
          <w:b w:val="0"/>
        </w:rPr>
        <w:tab/>
        <w:t>pričakuje, da bo Komisija prednostno izpolnila svojo zavezo</w:t>
      </w:r>
      <w:r w:rsidRPr="00DF3A50">
        <w:rPr>
          <w:rStyle w:val="FootnoteReference"/>
          <w:b w:val="0"/>
          <w:szCs w:val="24"/>
        </w:rPr>
        <w:footnoteReference w:id="22"/>
      </w:r>
      <w:r w:rsidRPr="00DF3A50">
        <w:rPr>
          <w:b w:val="0"/>
        </w:rPr>
        <w:t xml:space="preserve"> o pripravi predloga, s katerim bi dosegla, da se nevarne kemikalije, ki so v Uniji prepovedane, ne bodo proizvajale za izvoz;</w:t>
      </w:r>
    </w:p>
    <w:p w14:paraId="0C04A791" w14:textId="77777777" w:rsidR="001B2825" w:rsidRPr="00DF3A50" w:rsidRDefault="001B2825" w:rsidP="001B2825">
      <w:pPr>
        <w:pStyle w:val="NormalBold"/>
        <w:widowControl/>
        <w:spacing w:after="240"/>
        <w:ind w:left="567" w:hanging="567"/>
        <w:rPr>
          <w:b w:val="0"/>
          <w:szCs w:val="24"/>
        </w:rPr>
      </w:pPr>
      <w:r w:rsidRPr="00DF3A50">
        <w:rPr>
          <w:b w:val="0"/>
        </w:rPr>
        <w:t>7.</w:t>
      </w:r>
      <w:r w:rsidRPr="00DF3A50">
        <w:rPr>
          <w:b w:val="0"/>
        </w:rPr>
        <w:tab/>
        <w:t>pozdravlja, da je Komisija v pismu z dne 11. septembra 2020 poslancem vendarle priznala, da je treba pri odločitvah o odobritvi gensko spremenjenih organizmov upoštevati trajnostnost</w:t>
      </w:r>
      <w:r w:rsidRPr="00DF3A50">
        <w:rPr>
          <w:rStyle w:val="FootnoteReference"/>
          <w:b w:val="0"/>
          <w:szCs w:val="24"/>
        </w:rPr>
        <w:footnoteReference w:id="23"/>
      </w:r>
      <w:r w:rsidRPr="00DF3A50">
        <w:rPr>
          <w:b w:val="0"/>
        </w:rPr>
        <w:t>; je pa globoko razočaran, da Komisija še naprej dovoljuje, da se v Unijo uvažajo gensko spremenjeni organizmi, čeprav Parlament temu vedno znova nasprotuje in proti temu glasuje tudi večina držav članic;</w:t>
      </w:r>
    </w:p>
    <w:p w14:paraId="299D2691" w14:textId="77777777" w:rsidR="001B2825" w:rsidRPr="00DF3A50" w:rsidRDefault="001B2825" w:rsidP="001B2825">
      <w:pPr>
        <w:pStyle w:val="NormalBold"/>
        <w:widowControl/>
        <w:spacing w:after="240"/>
        <w:ind w:left="567" w:hanging="567"/>
        <w:rPr>
          <w:b w:val="0"/>
          <w:szCs w:val="24"/>
        </w:rPr>
      </w:pPr>
      <w:r w:rsidRPr="00DF3A50">
        <w:rPr>
          <w:b w:val="0"/>
        </w:rPr>
        <w:t>8.</w:t>
      </w:r>
      <w:r w:rsidRPr="00DF3A50">
        <w:rPr>
          <w:b w:val="0"/>
        </w:rPr>
        <w:tab/>
        <w:t xml:space="preserve">znova poziva Komisijo, naj upošteva obveznosti, ki jih ima Unija po mednarodnih sporazumih, kot so Pariški sporazum o podnebnih spremembah, Konvencija OZN o biološki raznovrstnosti in cilji OZN za trajnostni razvoj; jo ponovno poziva, naj osnutkom izvedbenih aktov priloži </w:t>
      </w:r>
      <w:proofErr w:type="spellStart"/>
      <w:r w:rsidRPr="00DF3A50">
        <w:rPr>
          <w:b w:val="0"/>
        </w:rPr>
        <w:t>obrazložitveni</w:t>
      </w:r>
      <w:proofErr w:type="spellEnd"/>
      <w:r w:rsidRPr="00DF3A50">
        <w:rPr>
          <w:b w:val="0"/>
        </w:rPr>
        <w:t xml:space="preserve"> memorandum, v katerem bo razložila, kako podpirajo načelo </w:t>
      </w:r>
      <w:proofErr w:type="spellStart"/>
      <w:r w:rsidRPr="00DF3A50">
        <w:rPr>
          <w:b w:val="0"/>
        </w:rPr>
        <w:t>neškodovanja</w:t>
      </w:r>
      <w:proofErr w:type="spellEnd"/>
      <w:r w:rsidRPr="00DF3A50">
        <w:rPr>
          <w:rStyle w:val="FootnoteReference"/>
          <w:b w:val="0"/>
          <w:szCs w:val="24"/>
        </w:rPr>
        <w:footnoteReference w:id="24"/>
      </w:r>
      <w:r w:rsidRPr="00DF3A50">
        <w:rPr>
          <w:b w:val="0"/>
        </w:rPr>
        <w:t>;</w:t>
      </w:r>
    </w:p>
    <w:p w14:paraId="5159DF5A" w14:textId="5602CD58" w:rsidR="00E365E1" w:rsidRPr="008A5D07" w:rsidRDefault="001B2825" w:rsidP="00303CB9">
      <w:pPr>
        <w:pStyle w:val="NormalBold"/>
        <w:widowControl/>
        <w:spacing w:after="240"/>
        <w:ind w:left="567" w:hanging="567"/>
        <w:rPr>
          <w:bCs/>
        </w:rPr>
      </w:pPr>
      <w:r w:rsidRPr="00303CB9">
        <w:rPr>
          <w:b w:val="0"/>
          <w:bCs/>
        </w:rPr>
        <w:t>9.</w:t>
      </w:r>
      <w:r w:rsidRPr="00303CB9">
        <w:rPr>
          <w:b w:val="0"/>
          <w:bCs/>
        </w:rPr>
        <w:tab/>
        <w:t>naroči svoji predsednici, naj to resolucijo posreduje Svetu in Komisiji ter vladam in parlamentom držav članic.</w:t>
      </w:r>
    </w:p>
    <w:sectPr w:rsidR="00E365E1" w:rsidRPr="008A5D07" w:rsidSect="00DF3A5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92142C" w14:textId="77777777" w:rsidR="00DF391A" w:rsidRPr="00DF3A50" w:rsidRDefault="00DF391A">
      <w:r w:rsidRPr="00DF3A50">
        <w:separator/>
      </w:r>
    </w:p>
  </w:endnote>
  <w:endnote w:type="continuationSeparator" w:id="0">
    <w:p w14:paraId="25B4631A" w14:textId="77777777" w:rsidR="00DF391A" w:rsidRPr="00DF3A50" w:rsidRDefault="00DF391A">
      <w:r w:rsidRPr="00DF3A5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38242" w14:textId="77777777" w:rsidR="00064002" w:rsidRPr="00DF3A5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B4100" w14:textId="77777777" w:rsidR="00064002" w:rsidRPr="00DF3A5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335861" w14:textId="77777777" w:rsidR="00064002" w:rsidRPr="00DF3A5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170F1C" w14:textId="77777777" w:rsidR="00DF391A" w:rsidRPr="00DF3A50" w:rsidRDefault="00DF391A">
      <w:r w:rsidRPr="00DF3A50">
        <w:separator/>
      </w:r>
    </w:p>
  </w:footnote>
  <w:footnote w:type="continuationSeparator" w:id="0">
    <w:p w14:paraId="46147250" w14:textId="77777777" w:rsidR="00DF391A" w:rsidRPr="00DF3A50" w:rsidRDefault="00DF391A">
      <w:r w:rsidRPr="00DF3A50">
        <w:continuationSeparator/>
      </w:r>
    </w:p>
  </w:footnote>
  <w:footnote w:id="1">
    <w:p w14:paraId="5E513D1C" w14:textId="6901DD44" w:rsidR="008A5DFC" w:rsidRPr="00303CB9" w:rsidRDefault="008A5DFC" w:rsidP="008A5DFC">
      <w:pPr>
        <w:pStyle w:val="FootnoteText"/>
        <w:ind w:left="567" w:hanging="567"/>
        <w:rPr>
          <w:lang w:val="pl-PL"/>
        </w:rPr>
      </w:pPr>
      <w:r w:rsidRPr="00303CB9">
        <w:rPr>
          <w:rStyle w:val="FootnoteReference"/>
          <w:sz w:val="24"/>
          <w:szCs w:val="24"/>
        </w:rPr>
        <w:footnoteRef/>
      </w:r>
      <w:r w:rsidRPr="00303CB9">
        <w:rPr>
          <w:lang w:val="pl-PL"/>
        </w:rPr>
        <w:t xml:space="preserve"> </w:t>
      </w:r>
      <w:r w:rsidRPr="00303CB9">
        <w:rPr>
          <w:lang w:val="pl-PL"/>
        </w:rPr>
        <w:tab/>
      </w:r>
      <w:r w:rsidRPr="00303CB9">
        <w:rPr>
          <w:sz w:val="24"/>
          <w:szCs w:val="24"/>
          <w:lang w:val="pl-PL"/>
        </w:rPr>
        <w:t xml:space="preserve">UL L, 2025/1898, </w:t>
      </w:r>
      <w:proofErr w:type="gramStart"/>
      <w:r w:rsidRPr="00303CB9">
        <w:rPr>
          <w:sz w:val="24"/>
          <w:szCs w:val="24"/>
          <w:lang w:val="pl-PL"/>
        </w:rPr>
        <w:t>23.9.2025</w:t>
      </w:r>
      <w:proofErr w:type="gramEnd"/>
      <w:r w:rsidRPr="00303CB9">
        <w:rPr>
          <w:sz w:val="24"/>
          <w:szCs w:val="24"/>
          <w:lang w:val="pl-PL"/>
        </w:rPr>
        <w:t xml:space="preserve">, ELI: </w:t>
      </w:r>
      <w:hyperlink r:id="rId1" w:history="1">
        <w:r w:rsidRPr="00303CB9">
          <w:rPr>
            <w:rStyle w:val="Hyperlink"/>
            <w:sz w:val="24"/>
            <w:szCs w:val="24"/>
            <w:lang w:val="pl-PL"/>
          </w:rPr>
          <w:t>http://data.europa.eu/eli/dec_impl/2025/1898/oj</w:t>
        </w:r>
      </w:hyperlink>
      <w:r w:rsidRPr="00303CB9">
        <w:rPr>
          <w:sz w:val="24"/>
          <w:szCs w:val="24"/>
          <w:lang w:val="pl-PL"/>
        </w:rPr>
        <w:t>.</w:t>
      </w:r>
    </w:p>
  </w:footnote>
  <w:footnote w:id="2">
    <w:p w14:paraId="201421ED" w14:textId="00BB1FFF" w:rsidR="001B2825" w:rsidRPr="00DF3A50" w:rsidRDefault="001B2825" w:rsidP="00DF3A50">
      <w:pPr>
        <w:pStyle w:val="FootnoteText"/>
        <w:ind w:left="567" w:hanging="567"/>
        <w:rPr>
          <w:b/>
          <w:bCs/>
          <w:sz w:val="24"/>
          <w:lang w:val="sl-SI"/>
        </w:rPr>
      </w:pPr>
      <w:r w:rsidRPr="00DF3A50">
        <w:rPr>
          <w:rStyle w:val="FootnoteReference"/>
          <w:sz w:val="24"/>
          <w:lang w:val="sl-SI"/>
        </w:rPr>
        <w:footnoteRef/>
      </w:r>
      <w:r w:rsidR="00DF3A50" w:rsidRPr="00DF3A50">
        <w:rPr>
          <w:sz w:val="24"/>
          <w:lang w:val="sl-SI"/>
        </w:rPr>
        <w:t xml:space="preserve"> </w:t>
      </w:r>
      <w:r w:rsidR="00DF3A50" w:rsidRPr="00DF3A50">
        <w:rPr>
          <w:sz w:val="24"/>
          <w:lang w:val="sl-SI"/>
        </w:rPr>
        <w:tab/>
      </w:r>
      <w:r w:rsidRPr="00DF3A50">
        <w:rPr>
          <w:sz w:val="24"/>
          <w:lang w:val="sl-SI"/>
        </w:rPr>
        <w:t xml:space="preserve">UL L 268, </w:t>
      </w:r>
      <w:proofErr w:type="gramStart"/>
      <w:r w:rsidRPr="00DF3A50">
        <w:rPr>
          <w:sz w:val="24"/>
          <w:lang w:val="sl-SI"/>
        </w:rPr>
        <w:t>18.10.2003</w:t>
      </w:r>
      <w:proofErr w:type="gramEnd"/>
      <w:r w:rsidRPr="00DF3A50">
        <w:rPr>
          <w:sz w:val="24"/>
          <w:lang w:val="sl-SI"/>
        </w:rPr>
        <w:t>, str. 1, ELI: </w:t>
      </w:r>
      <w:hyperlink r:id="rId2" w:history="1">
        <w:r w:rsidRPr="00DF3A50">
          <w:rPr>
            <w:rStyle w:val="Hyperlink"/>
            <w:sz w:val="24"/>
            <w:lang w:val="sl-SI"/>
          </w:rPr>
          <w:t>http://data.europa.eu/eli/reg/2003/1829/oj</w:t>
        </w:r>
      </w:hyperlink>
      <w:r w:rsidRPr="00DF3A50">
        <w:rPr>
          <w:sz w:val="24"/>
          <w:u w:val="single"/>
          <w:lang w:val="sl-SI"/>
        </w:rPr>
        <w:t>.</w:t>
      </w:r>
    </w:p>
  </w:footnote>
  <w:footnote w:id="3">
    <w:p w14:paraId="3F6645A8" w14:textId="4179C220" w:rsidR="001B2825" w:rsidRPr="00DF3A50" w:rsidRDefault="001B2825" w:rsidP="00DF3A50">
      <w:pPr>
        <w:pStyle w:val="FootnoteText"/>
        <w:ind w:left="567" w:hanging="567"/>
        <w:rPr>
          <w:sz w:val="24"/>
          <w:lang w:val="sl-SI"/>
        </w:rPr>
      </w:pPr>
      <w:r w:rsidRPr="00DF3A50">
        <w:rPr>
          <w:rStyle w:val="FootnoteReference"/>
          <w:sz w:val="24"/>
          <w:lang w:val="sl-SI"/>
        </w:rPr>
        <w:footnoteRef/>
      </w:r>
      <w:r w:rsidR="00DF3A50" w:rsidRPr="00DF3A50">
        <w:rPr>
          <w:sz w:val="24"/>
          <w:lang w:val="sl-SI"/>
        </w:rPr>
        <w:t xml:space="preserve"> </w:t>
      </w:r>
      <w:r w:rsidR="00DF3A50" w:rsidRPr="00DF3A50">
        <w:rPr>
          <w:sz w:val="24"/>
          <w:lang w:val="sl-SI"/>
        </w:rPr>
        <w:tab/>
      </w:r>
      <w:r w:rsidRPr="00DF3A50">
        <w:rPr>
          <w:sz w:val="24"/>
          <w:lang w:val="sl-SI"/>
        </w:rPr>
        <w:t xml:space="preserve">UL L 55, </w:t>
      </w:r>
      <w:proofErr w:type="gramStart"/>
      <w:r w:rsidRPr="00DF3A50">
        <w:rPr>
          <w:sz w:val="24"/>
          <w:lang w:val="sl-SI"/>
        </w:rPr>
        <w:t>28.2.2011</w:t>
      </w:r>
      <w:proofErr w:type="gramEnd"/>
      <w:r w:rsidRPr="00DF3A50">
        <w:rPr>
          <w:sz w:val="24"/>
          <w:lang w:val="sl-SI"/>
        </w:rPr>
        <w:t xml:space="preserve">, str. 13, ELI: </w:t>
      </w:r>
      <w:hyperlink r:id="rId3" w:history="1">
        <w:r w:rsidRPr="00DF3A50">
          <w:rPr>
            <w:rStyle w:val="Hyperlink"/>
            <w:sz w:val="24"/>
            <w:lang w:val="sl-SI"/>
          </w:rPr>
          <w:t>http://data.europa.eu/eli/reg/2011/182/oj</w:t>
        </w:r>
      </w:hyperlink>
      <w:r w:rsidRPr="00DF3A50">
        <w:rPr>
          <w:sz w:val="24"/>
          <w:lang w:val="sl-SI"/>
        </w:rPr>
        <w:t>.</w:t>
      </w:r>
    </w:p>
  </w:footnote>
  <w:footnote w:id="4">
    <w:p w14:paraId="518B1F96" w14:textId="1831FF55" w:rsidR="001B2825" w:rsidRPr="00DF3A50" w:rsidRDefault="001B2825" w:rsidP="00DF3A50">
      <w:pPr>
        <w:pStyle w:val="FootnoteText"/>
        <w:ind w:left="567" w:hanging="567"/>
        <w:rPr>
          <w:sz w:val="24"/>
          <w:lang w:val="sl-SI"/>
        </w:rPr>
      </w:pPr>
      <w:r w:rsidRPr="00DF3A50">
        <w:rPr>
          <w:rStyle w:val="Funotenzeichen"/>
          <w:sz w:val="24"/>
          <w:lang w:val="sl-SI"/>
        </w:rPr>
        <w:footnoteRef/>
      </w:r>
      <w:r w:rsidR="00DF3A50" w:rsidRPr="00DF3A50">
        <w:rPr>
          <w:sz w:val="24"/>
          <w:lang w:val="sl-SI"/>
        </w:rPr>
        <w:t xml:space="preserve"> </w:t>
      </w:r>
      <w:r w:rsidR="00DF3A50" w:rsidRPr="00DF3A50">
        <w:rPr>
          <w:sz w:val="24"/>
          <w:lang w:val="sl-SI"/>
        </w:rPr>
        <w:tab/>
      </w:r>
      <w:r w:rsidRPr="00DF3A50">
        <w:rPr>
          <w:sz w:val="24"/>
          <w:lang w:val="sl-SI"/>
        </w:rPr>
        <w:t>Znanstveno mnenje odbora agencije EFSA za gensko spremenjene organizme o oceni gensko spremenjene koruze DP51291 (vloga GMFF-2021-0071), EFSA Journal 2024; 22(11)</w:t>
      </w:r>
      <w:proofErr w:type="gramStart"/>
      <w:r w:rsidRPr="00DF3A50">
        <w:rPr>
          <w:sz w:val="24"/>
          <w:lang w:val="sl-SI"/>
        </w:rPr>
        <w:t>:</w:t>
      </w:r>
      <w:proofErr w:type="gramEnd"/>
      <w:r w:rsidRPr="00DF3A50">
        <w:rPr>
          <w:sz w:val="24"/>
          <w:lang w:val="sl-SI"/>
        </w:rPr>
        <w:t>9059</w:t>
      </w:r>
      <w:r w:rsidR="001A451C">
        <w:rPr>
          <w:sz w:val="24"/>
          <w:lang w:val="sl-SI"/>
        </w:rPr>
        <w:t>,</w:t>
      </w:r>
      <w:r w:rsidRPr="00DF3A50">
        <w:rPr>
          <w:sz w:val="24"/>
          <w:lang w:val="sl-SI"/>
        </w:rPr>
        <w:t xml:space="preserve"> </w:t>
      </w:r>
      <w:hyperlink r:id="rId4" w:history="1">
        <w:r w:rsidRPr="00DF3A50">
          <w:rPr>
            <w:rStyle w:val="Hyperlink"/>
            <w:sz w:val="24"/>
            <w:lang w:val="sl-SI"/>
          </w:rPr>
          <w:t>https://doi.org/10.2903/j.efsa.2024.9059</w:t>
        </w:r>
      </w:hyperlink>
      <w:r w:rsidRPr="00DF3A50">
        <w:rPr>
          <w:sz w:val="24"/>
          <w:lang w:val="sl-SI"/>
        </w:rPr>
        <w:t xml:space="preserve">. </w:t>
      </w:r>
    </w:p>
  </w:footnote>
  <w:footnote w:id="5">
    <w:p w14:paraId="6147AA5C" w14:textId="12C707D2" w:rsidR="001B2825" w:rsidRPr="00DF3A50" w:rsidRDefault="001B2825" w:rsidP="00DF3A50">
      <w:pPr>
        <w:pStyle w:val="FootnoteText"/>
        <w:ind w:left="567" w:hanging="567"/>
        <w:rPr>
          <w:color w:val="000000" w:themeColor="text1"/>
          <w:sz w:val="24"/>
          <w:vertAlign w:val="superscript"/>
          <w:lang w:val="sl-SI"/>
        </w:rPr>
      </w:pPr>
      <w:r w:rsidRPr="00DF3A50">
        <w:rPr>
          <w:rStyle w:val="FootnoteReference"/>
          <w:sz w:val="24"/>
          <w:lang w:val="sl-SI"/>
        </w:rPr>
        <w:footnoteRef/>
      </w:r>
      <w:r w:rsidR="00DF3A50" w:rsidRPr="00DF3A50">
        <w:rPr>
          <w:color w:val="000000" w:themeColor="text1"/>
          <w:sz w:val="24"/>
          <w:lang w:val="sl-SI"/>
        </w:rPr>
        <w:t xml:space="preserve"> </w:t>
      </w:r>
      <w:r w:rsidR="00DF3A50" w:rsidRPr="00DF3A50">
        <w:rPr>
          <w:color w:val="000000" w:themeColor="text1"/>
          <w:sz w:val="24"/>
          <w:lang w:val="sl-SI"/>
        </w:rPr>
        <w:tab/>
      </w:r>
      <w:r w:rsidRPr="00DF3A50">
        <w:rPr>
          <w:color w:val="000000" w:themeColor="text1"/>
          <w:sz w:val="24"/>
          <w:lang w:val="sl-SI"/>
        </w:rPr>
        <w:t>Parlament je v osmem zakonodajnem obdobju sprejel 36 resolucij, v katerih je nasprotoval odobritvi gensko spremenjenih organizmov, v devetem pa 38. Poleg tega je v desetem zakonodajnem obdobju sprejel še naslednje take resolucije:</w:t>
      </w:r>
    </w:p>
    <w:p w14:paraId="155F88B4" w14:textId="7883CDB1" w:rsidR="001B2825" w:rsidRPr="00DF3A50" w:rsidRDefault="00DF3A50" w:rsidP="00DF3A50">
      <w:pPr>
        <w:pStyle w:val="FootnoteText"/>
        <w:ind w:left="567" w:hanging="567"/>
        <w:rPr>
          <w:color w:val="000000" w:themeColor="text1"/>
          <w:sz w:val="24"/>
          <w:vertAlign w:val="superscript"/>
          <w:lang w:val="sl-SI"/>
        </w:rPr>
      </w:pPr>
      <w:r w:rsidRPr="00DF3A50">
        <w:rPr>
          <w:color w:val="000000" w:themeColor="text1"/>
          <w:sz w:val="24"/>
          <w:lang w:val="sl-SI"/>
        </w:rPr>
        <w:t xml:space="preserve"> </w:t>
      </w:r>
      <w:r w:rsidRPr="00DF3A50">
        <w:rPr>
          <w:color w:val="000000" w:themeColor="text1"/>
          <w:sz w:val="24"/>
          <w:lang w:val="sl-SI"/>
        </w:rPr>
        <w:tab/>
      </w:r>
      <w:r w:rsidR="001B2825" w:rsidRPr="00DF3A50">
        <w:rPr>
          <w:color w:val="000000" w:themeColor="text1"/>
          <w:sz w:val="24"/>
          <w:lang w:val="sl-SI"/>
        </w:rPr>
        <w:t>–</w:t>
      </w:r>
      <w:r w:rsidR="001B2825" w:rsidRPr="00DF3A50">
        <w:rPr>
          <w:color w:val="000000" w:themeColor="text1"/>
          <w:sz w:val="24"/>
          <w:lang w:val="sl-SI"/>
        </w:rPr>
        <w:tab/>
        <w:t xml:space="preserve">resolucijo Evropskega parlamenta z dne 26. novembra 2024 o Izvedbenem sklepu Komisije (EU) 2024/2628 o obnovitvi odobritve dajanja na trg proizvodov, ki vsebujejo gensko spremenjeno koruzo MON 89034 × 1507 × NK603, so iz nje sestavljeni ali proizvedeni, v skladu z Uredbo (ES) št. 1829/2003 Evropskega parlamenta in Sveta (UL C, C/2025/1797, </w:t>
      </w:r>
      <w:proofErr w:type="gramStart"/>
      <w:r w:rsidR="001B2825" w:rsidRPr="00DF3A50">
        <w:rPr>
          <w:color w:val="000000" w:themeColor="text1"/>
          <w:sz w:val="24"/>
          <w:lang w:val="sl-SI"/>
        </w:rPr>
        <w:t>4.4.2025</w:t>
      </w:r>
      <w:proofErr w:type="gramEnd"/>
      <w:r w:rsidR="001B2825" w:rsidRPr="00DF3A50">
        <w:rPr>
          <w:color w:val="000000" w:themeColor="text1"/>
          <w:sz w:val="24"/>
          <w:lang w:val="sl-SI"/>
        </w:rPr>
        <w:t xml:space="preserve">, ELI: </w:t>
      </w:r>
      <w:hyperlink r:id="rId5" w:history="1">
        <w:r w:rsidR="001B2825" w:rsidRPr="00DF3A50">
          <w:rPr>
            <w:rStyle w:val="Hyperlink"/>
            <w:sz w:val="24"/>
            <w:lang w:val="sl-SI"/>
          </w:rPr>
          <w:t>http://data.europa.eu/eli/C/2025/1797/oj</w:t>
        </w:r>
      </w:hyperlink>
      <w:r w:rsidR="001B2825" w:rsidRPr="00DF3A50">
        <w:rPr>
          <w:color w:val="000000" w:themeColor="text1"/>
          <w:sz w:val="24"/>
          <w:lang w:val="sl-SI"/>
        </w:rPr>
        <w:t>).</w:t>
      </w:r>
    </w:p>
    <w:p w14:paraId="0D0C2FD8" w14:textId="7376E74C" w:rsidR="001B2825" w:rsidRPr="00DF3A50" w:rsidRDefault="00DF3A50" w:rsidP="00DF3A50">
      <w:pPr>
        <w:pStyle w:val="FootnoteText"/>
        <w:ind w:left="567" w:hanging="567"/>
        <w:rPr>
          <w:color w:val="000000" w:themeColor="text1"/>
          <w:sz w:val="24"/>
          <w:vertAlign w:val="superscript"/>
          <w:lang w:val="sl-SI"/>
        </w:rPr>
      </w:pPr>
      <w:r w:rsidRPr="00DF3A50">
        <w:rPr>
          <w:color w:val="000000" w:themeColor="text1"/>
          <w:sz w:val="24"/>
          <w:lang w:val="sl-SI"/>
        </w:rPr>
        <w:t xml:space="preserve"> </w:t>
      </w:r>
      <w:r w:rsidRPr="00DF3A50">
        <w:rPr>
          <w:color w:val="000000" w:themeColor="text1"/>
          <w:sz w:val="24"/>
          <w:lang w:val="sl-SI"/>
        </w:rPr>
        <w:tab/>
      </w:r>
      <w:r w:rsidR="001B2825" w:rsidRPr="00DF3A50">
        <w:rPr>
          <w:color w:val="000000" w:themeColor="text1"/>
          <w:sz w:val="24"/>
          <w:lang w:val="sl-SI"/>
        </w:rPr>
        <w:t>–</w:t>
      </w:r>
      <w:r w:rsidR="001B2825" w:rsidRPr="00DF3A50">
        <w:rPr>
          <w:color w:val="000000" w:themeColor="text1"/>
          <w:sz w:val="24"/>
          <w:lang w:val="sl-SI"/>
        </w:rPr>
        <w:tab/>
        <w:t xml:space="preserve">resolucijo Evropskega parlamenta z dne 26. novembra 2024 o Izvedbenem sklepu Komisije (EU) 2024/2627 o odobritvi dajanja na trg proizvodov, ki vsebujejo gensko spremenjeni bombaž COT102, so iz njega sestavljeni ali proizvedeni, v skladu z Uredbo (ES) št. 1829/2003 Evropskega parlamenta in Sveta (UL C, C/2025/1798, </w:t>
      </w:r>
      <w:proofErr w:type="gramStart"/>
      <w:r w:rsidR="001B2825" w:rsidRPr="00DF3A50">
        <w:rPr>
          <w:color w:val="000000" w:themeColor="text1"/>
          <w:sz w:val="24"/>
          <w:lang w:val="sl-SI"/>
        </w:rPr>
        <w:t>4.4.2025</w:t>
      </w:r>
      <w:proofErr w:type="gramEnd"/>
      <w:r w:rsidR="001B2825" w:rsidRPr="00DF3A50">
        <w:rPr>
          <w:color w:val="000000" w:themeColor="text1"/>
          <w:sz w:val="24"/>
          <w:lang w:val="sl-SI"/>
        </w:rPr>
        <w:t xml:space="preserve">, ELI: </w:t>
      </w:r>
      <w:hyperlink r:id="rId6" w:history="1">
        <w:r w:rsidR="001B2825" w:rsidRPr="00DF3A50">
          <w:rPr>
            <w:rStyle w:val="Hyperlink"/>
            <w:sz w:val="24"/>
            <w:lang w:val="sl-SI"/>
          </w:rPr>
          <w:t>http://data.europa.eu/eli/C/2025/1798/oj</w:t>
        </w:r>
      </w:hyperlink>
      <w:r w:rsidR="001B2825" w:rsidRPr="00DF3A50">
        <w:rPr>
          <w:color w:val="000000" w:themeColor="text1"/>
          <w:sz w:val="24"/>
          <w:lang w:val="sl-SI"/>
        </w:rPr>
        <w:t>).</w:t>
      </w:r>
    </w:p>
    <w:p w14:paraId="27942BC4" w14:textId="3394534F" w:rsidR="001B2825" w:rsidRPr="00DF3A50" w:rsidRDefault="00DF3A50" w:rsidP="00DF3A50">
      <w:pPr>
        <w:pStyle w:val="FootnoteText"/>
        <w:ind w:left="567" w:hanging="567"/>
        <w:rPr>
          <w:color w:val="000000" w:themeColor="text1"/>
          <w:sz w:val="24"/>
          <w:vertAlign w:val="superscript"/>
          <w:lang w:val="sl-SI"/>
        </w:rPr>
      </w:pPr>
      <w:r w:rsidRPr="00DF3A50">
        <w:rPr>
          <w:color w:val="000000" w:themeColor="text1"/>
          <w:sz w:val="24"/>
          <w:lang w:val="sl-SI"/>
        </w:rPr>
        <w:t xml:space="preserve"> </w:t>
      </w:r>
      <w:r w:rsidRPr="00DF3A50">
        <w:rPr>
          <w:color w:val="000000" w:themeColor="text1"/>
          <w:sz w:val="24"/>
          <w:lang w:val="sl-SI"/>
        </w:rPr>
        <w:tab/>
      </w:r>
      <w:r w:rsidR="001B2825" w:rsidRPr="00DF3A50">
        <w:rPr>
          <w:color w:val="000000" w:themeColor="text1"/>
          <w:sz w:val="24"/>
          <w:lang w:val="sl-SI"/>
        </w:rPr>
        <w:t>–</w:t>
      </w:r>
      <w:r w:rsidR="001B2825" w:rsidRPr="00DF3A50">
        <w:rPr>
          <w:color w:val="000000" w:themeColor="text1"/>
          <w:sz w:val="24"/>
          <w:lang w:val="sl-SI"/>
        </w:rPr>
        <w:tab/>
        <w:t xml:space="preserve">resolucijo Evropskega parlamenta z dne 26. novembra 2024 o Izvedbenem sklepu Komisije (EU) 2024/2629 o obnovitvi odobritve dajanja na trg proizvodov, ki vsebujejo gensko spremenjeno koruzo MON 89034 × 1507 × MON 88017 × 59122 in njenih osem </w:t>
      </w:r>
      <w:proofErr w:type="spellStart"/>
      <w:r w:rsidR="001B2825" w:rsidRPr="00DF3A50">
        <w:rPr>
          <w:color w:val="000000" w:themeColor="text1"/>
          <w:sz w:val="24"/>
          <w:lang w:val="sl-SI"/>
        </w:rPr>
        <w:t>podkombinacij</w:t>
      </w:r>
      <w:proofErr w:type="spellEnd"/>
      <w:r w:rsidR="001B2825" w:rsidRPr="00DF3A50">
        <w:rPr>
          <w:color w:val="000000" w:themeColor="text1"/>
          <w:sz w:val="24"/>
          <w:lang w:val="sl-SI"/>
        </w:rPr>
        <w:t xml:space="preserve">, so iz njih sestavljeni ali proizvedeni, v skladu z Uredbo (ES) št. 1829/2003 Evropskega parlamenta in Sveta (UL C, C/2025/1799, </w:t>
      </w:r>
      <w:proofErr w:type="gramStart"/>
      <w:r w:rsidR="001B2825" w:rsidRPr="00DF3A50">
        <w:rPr>
          <w:color w:val="000000" w:themeColor="text1"/>
          <w:sz w:val="24"/>
          <w:lang w:val="sl-SI"/>
        </w:rPr>
        <w:t>4.4.2025</w:t>
      </w:r>
      <w:proofErr w:type="gramEnd"/>
      <w:r w:rsidR="001B2825" w:rsidRPr="00DF3A50">
        <w:rPr>
          <w:color w:val="000000" w:themeColor="text1"/>
          <w:sz w:val="24"/>
          <w:lang w:val="sl-SI"/>
        </w:rPr>
        <w:t xml:space="preserve">, ELI: </w:t>
      </w:r>
      <w:hyperlink r:id="rId7" w:history="1">
        <w:r w:rsidR="001B2825" w:rsidRPr="00DF3A50">
          <w:rPr>
            <w:rStyle w:val="Hyperlink"/>
            <w:sz w:val="24"/>
            <w:lang w:val="sl-SI"/>
          </w:rPr>
          <w:t>http://data.europa.eu/eli/C/2025/1799/oj</w:t>
        </w:r>
      </w:hyperlink>
      <w:r w:rsidR="001B2825" w:rsidRPr="00DF3A50">
        <w:rPr>
          <w:color w:val="000000" w:themeColor="text1"/>
          <w:sz w:val="24"/>
          <w:lang w:val="sl-SI"/>
        </w:rPr>
        <w:t>).</w:t>
      </w:r>
    </w:p>
    <w:p w14:paraId="7A5FBDD0" w14:textId="5C4CCB8C" w:rsidR="001B2825" w:rsidRPr="00DF3A50" w:rsidRDefault="00DF3A50" w:rsidP="00DF3A50">
      <w:pPr>
        <w:pStyle w:val="FootnoteText"/>
        <w:ind w:left="567" w:hanging="567"/>
        <w:rPr>
          <w:color w:val="000000" w:themeColor="text1"/>
          <w:sz w:val="24"/>
          <w:vertAlign w:val="superscript"/>
          <w:lang w:val="sl-SI"/>
        </w:rPr>
      </w:pPr>
      <w:r w:rsidRPr="00DF3A50">
        <w:rPr>
          <w:color w:val="000000" w:themeColor="text1"/>
          <w:sz w:val="24"/>
          <w:lang w:val="sl-SI"/>
        </w:rPr>
        <w:t xml:space="preserve"> </w:t>
      </w:r>
      <w:r w:rsidRPr="00DF3A50">
        <w:rPr>
          <w:color w:val="000000" w:themeColor="text1"/>
          <w:sz w:val="24"/>
          <w:lang w:val="sl-SI"/>
        </w:rPr>
        <w:tab/>
      </w:r>
      <w:r w:rsidR="001B2825" w:rsidRPr="00DF3A50">
        <w:rPr>
          <w:color w:val="000000" w:themeColor="text1"/>
          <w:sz w:val="24"/>
          <w:lang w:val="sl-SI"/>
        </w:rPr>
        <w:t>–</w:t>
      </w:r>
      <w:r w:rsidR="001B2825" w:rsidRPr="00DF3A50">
        <w:rPr>
          <w:color w:val="000000" w:themeColor="text1"/>
          <w:sz w:val="24"/>
          <w:lang w:val="sl-SI"/>
        </w:rPr>
        <w:tab/>
        <w:t xml:space="preserve">resolucijo Evropskega parlamenta z dne 26. novembra 2024 o Izvedbenem sklepu Komisije (EU) 2024/1828 o obnovitvi odobritve za dajanje na trg krme, ki vsebuje gensko spremenjeno koruzo MON 810 ali je iz nje sestavljena, ter živil in krme, proizvedenih iz nje, v skladu z Uredbo (ES) št. 1829/2003 Evropskega parlamenta in Sveta ter razveljavitvi Izvedbenega sklepa Komisije (EU) 2017/1207 (UL C, C/2025/1800, </w:t>
      </w:r>
      <w:proofErr w:type="gramStart"/>
      <w:r w:rsidR="001B2825" w:rsidRPr="00DF3A50">
        <w:rPr>
          <w:color w:val="000000" w:themeColor="text1"/>
          <w:sz w:val="24"/>
          <w:lang w:val="sl-SI"/>
        </w:rPr>
        <w:t>4.4.2025</w:t>
      </w:r>
      <w:proofErr w:type="gramEnd"/>
      <w:r w:rsidR="001B2825" w:rsidRPr="00DF3A50">
        <w:rPr>
          <w:color w:val="000000" w:themeColor="text1"/>
          <w:sz w:val="24"/>
          <w:lang w:val="sl-SI"/>
        </w:rPr>
        <w:t xml:space="preserve">, ELI: </w:t>
      </w:r>
      <w:hyperlink r:id="rId8" w:history="1">
        <w:r w:rsidR="001B2825" w:rsidRPr="00DF3A50">
          <w:rPr>
            <w:rStyle w:val="Hyperlink"/>
            <w:sz w:val="24"/>
            <w:lang w:val="sl-SI"/>
          </w:rPr>
          <w:t>http://data.europa.eu/eli/C/2025/1800/oj</w:t>
        </w:r>
      </w:hyperlink>
      <w:r w:rsidR="001B2825" w:rsidRPr="00DF3A50">
        <w:rPr>
          <w:color w:val="000000" w:themeColor="text1"/>
          <w:sz w:val="24"/>
          <w:lang w:val="sl-SI"/>
        </w:rPr>
        <w:t>).</w:t>
      </w:r>
    </w:p>
    <w:p w14:paraId="4601DCEF" w14:textId="0929AF80" w:rsidR="001B2825" w:rsidRPr="00DF3A50" w:rsidRDefault="00DF3A50" w:rsidP="00DF3A50">
      <w:pPr>
        <w:pStyle w:val="FootnoteText"/>
        <w:ind w:left="567" w:hanging="567"/>
        <w:rPr>
          <w:color w:val="000000" w:themeColor="text1"/>
          <w:sz w:val="24"/>
          <w:vertAlign w:val="superscript"/>
          <w:lang w:val="sl-SI"/>
        </w:rPr>
      </w:pPr>
      <w:r w:rsidRPr="00DF3A50">
        <w:rPr>
          <w:color w:val="000000" w:themeColor="text1"/>
          <w:sz w:val="24"/>
          <w:lang w:val="sl-SI"/>
        </w:rPr>
        <w:t xml:space="preserve"> </w:t>
      </w:r>
      <w:r w:rsidRPr="00DF3A50">
        <w:rPr>
          <w:color w:val="000000" w:themeColor="text1"/>
          <w:sz w:val="24"/>
          <w:lang w:val="sl-SI"/>
        </w:rPr>
        <w:tab/>
      </w:r>
      <w:r w:rsidR="001B2825" w:rsidRPr="00DF3A50">
        <w:rPr>
          <w:color w:val="000000" w:themeColor="text1"/>
          <w:sz w:val="24"/>
          <w:lang w:val="sl-SI"/>
        </w:rPr>
        <w:t>–</w:t>
      </w:r>
      <w:r w:rsidR="001B2825" w:rsidRPr="00DF3A50">
        <w:rPr>
          <w:color w:val="000000" w:themeColor="text1"/>
          <w:sz w:val="24"/>
          <w:lang w:val="sl-SI"/>
        </w:rPr>
        <w:tab/>
        <w:t xml:space="preserve">resolucijo Evropskega parlamenta z dne 26. novembra 2024 o Izvedbenem sklepu Komisije (EU) 2024/1822 o odobritvi dajanja na trg proizvodov, ki vsebujejo gensko spremenjeno koruzo DP915635, so iz njega sestavljeni ali proizvedeni, v skladu z Uredbo (ES) št. 1829/2003 Evropskega parlamenta in Sveta (UL C, C/2025/1801, </w:t>
      </w:r>
      <w:proofErr w:type="gramStart"/>
      <w:r w:rsidR="001B2825" w:rsidRPr="00DF3A50">
        <w:rPr>
          <w:color w:val="000000" w:themeColor="text1"/>
          <w:sz w:val="24"/>
          <w:lang w:val="sl-SI"/>
        </w:rPr>
        <w:t>4.4.2025</w:t>
      </w:r>
      <w:proofErr w:type="gramEnd"/>
      <w:r w:rsidR="001B2825" w:rsidRPr="00DF3A50">
        <w:rPr>
          <w:color w:val="000000" w:themeColor="text1"/>
          <w:sz w:val="24"/>
          <w:lang w:val="sl-SI"/>
        </w:rPr>
        <w:t xml:space="preserve">, ELI: </w:t>
      </w:r>
      <w:hyperlink r:id="rId9" w:history="1">
        <w:r w:rsidR="001B2825" w:rsidRPr="00DF3A50">
          <w:rPr>
            <w:rStyle w:val="Hyperlink"/>
            <w:sz w:val="24"/>
            <w:lang w:val="sl-SI"/>
          </w:rPr>
          <w:t>http://data.europa.eu/eli/C/2025/1801/oj</w:t>
        </w:r>
      </w:hyperlink>
      <w:r w:rsidR="001B2825" w:rsidRPr="00DF3A50">
        <w:rPr>
          <w:color w:val="000000" w:themeColor="text1"/>
          <w:sz w:val="24"/>
          <w:lang w:val="sl-SI"/>
        </w:rPr>
        <w:t>).</w:t>
      </w:r>
    </w:p>
    <w:p w14:paraId="508586C7" w14:textId="1F3E7BB9" w:rsidR="001B2825" w:rsidRPr="00DF3A50" w:rsidRDefault="00DF3A50" w:rsidP="00DF3A50">
      <w:pPr>
        <w:pStyle w:val="FootnoteText"/>
        <w:ind w:left="567" w:hanging="567"/>
        <w:rPr>
          <w:color w:val="000000" w:themeColor="text1"/>
          <w:sz w:val="24"/>
          <w:vertAlign w:val="superscript"/>
          <w:lang w:val="sl-SI"/>
        </w:rPr>
      </w:pPr>
      <w:r w:rsidRPr="00DF3A50">
        <w:rPr>
          <w:color w:val="000000" w:themeColor="text1"/>
          <w:sz w:val="24"/>
          <w:lang w:val="sl-SI"/>
        </w:rPr>
        <w:t xml:space="preserve"> </w:t>
      </w:r>
      <w:r w:rsidRPr="00DF3A50">
        <w:rPr>
          <w:color w:val="000000" w:themeColor="text1"/>
          <w:sz w:val="24"/>
          <w:lang w:val="sl-SI"/>
        </w:rPr>
        <w:tab/>
      </w:r>
      <w:r w:rsidR="001B2825" w:rsidRPr="00DF3A50">
        <w:rPr>
          <w:color w:val="000000" w:themeColor="text1"/>
          <w:sz w:val="24"/>
          <w:lang w:val="sl-SI"/>
        </w:rPr>
        <w:t>–</w:t>
      </w:r>
      <w:r w:rsidR="001B2825" w:rsidRPr="00DF3A50">
        <w:rPr>
          <w:color w:val="000000" w:themeColor="text1"/>
          <w:sz w:val="24"/>
          <w:lang w:val="sl-SI"/>
        </w:rPr>
        <w:tab/>
        <w:t xml:space="preserve">resolucijo Evropskega parlamenta z dne 26. novembra 2024 o Izvedbenem sklepu Komisije (EU) 2024/1826 o odobritvi dajanja na trg proizvodov, ki vsebujejo gensko spremenjeno koruzo DP23211, so iz njega sestavljeni ali proizvedeni, v skladu z Uredbo (ES) št. 1829/2003 Evropskega parlamenta in Sveta (UL C, C/2025/1802, </w:t>
      </w:r>
      <w:proofErr w:type="gramStart"/>
      <w:r w:rsidR="001B2825" w:rsidRPr="00DF3A50">
        <w:rPr>
          <w:color w:val="000000" w:themeColor="text1"/>
          <w:sz w:val="24"/>
          <w:lang w:val="sl-SI"/>
        </w:rPr>
        <w:t>4.4.2025</w:t>
      </w:r>
      <w:proofErr w:type="gramEnd"/>
      <w:r w:rsidR="001B2825" w:rsidRPr="00DF3A50">
        <w:rPr>
          <w:color w:val="000000" w:themeColor="text1"/>
          <w:sz w:val="24"/>
          <w:lang w:val="sl-SI"/>
        </w:rPr>
        <w:t xml:space="preserve">, ELI: </w:t>
      </w:r>
      <w:hyperlink r:id="rId10" w:history="1">
        <w:r w:rsidR="001B2825" w:rsidRPr="00DF3A50">
          <w:rPr>
            <w:rStyle w:val="Hyperlink"/>
            <w:sz w:val="24"/>
            <w:lang w:val="sl-SI"/>
          </w:rPr>
          <w:t>http://data.europa.eu/eli/C/2025/1802/oj</w:t>
        </w:r>
      </w:hyperlink>
      <w:r w:rsidR="001B2825" w:rsidRPr="00DF3A50">
        <w:rPr>
          <w:color w:val="000000" w:themeColor="text1"/>
          <w:sz w:val="24"/>
          <w:lang w:val="sl-SI"/>
        </w:rPr>
        <w:t>).</w:t>
      </w:r>
    </w:p>
    <w:p w14:paraId="2D9064D9" w14:textId="3B1D20DA" w:rsidR="001B2825" w:rsidRPr="00DF3A50" w:rsidRDefault="00DF3A50" w:rsidP="00DF3A50">
      <w:pPr>
        <w:pStyle w:val="FootnoteText"/>
        <w:ind w:left="567" w:hanging="567"/>
        <w:rPr>
          <w:color w:val="000000" w:themeColor="text1"/>
          <w:sz w:val="24"/>
          <w:vertAlign w:val="superscript"/>
          <w:lang w:val="sl-SI"/>
        </w:rPr>
      </w:pPr>
      <w:r w:rsidRPr="00DF3A50">
        <w:rPr>
          <w:color w:val="000000" w:themeColor="text1"/>
          <w:sz w:val="24"/>
          <w:lang w:val="sl-SI"/>
        </w:rPr>
        <w:t xml:space="preserve"> </w:t>
      </w:r>
      <w:r w:rsidRPr="00DF3A50">
        <w:rPr>
          <w:color w:val="000000" w:themeColor="text1"/>
          <w:sz w:val="24"/>
          <w:lang w:val="sl-SI"/>
        </w:rPr>
        <w:tab/>
      </w:r>
      <w:r w:rsidR="001B2825" w:rsidRPr="00DF3A50">
        <w:rPr>
          <w:color w:val="000000" w:themeColor="text1"/>
          <w:sz w:val="24"/>
          <w:lang w:val="sl-SI"/>
        </w:rPr>
        <w:t>–</w:t>
      </w:r>
      <w:r w:rsidR="001B2825" w:rsidRPr="00DF3A50">
        <w:rPr>
          <w:color w:val="000000" w:themeColor="text1"/>
          <w:sz w:val="24"/>
          <w:lang w:val="sl-SI"/>
        </w:rPr>
        <w:tab/>
        <w:t xml:space="preserve">resolucijo Evropskega parlamenta z dne 26. novembra 2024 o Izvedbenem sklepu Komisije (EU) 2024/2618 o odobritvi dajanja na trg proizvodov, ki vsebujejo gensko spremenjeno koruzo DP202216, so iz nje sestavljeni ali proizvedeni, v skladu z Uredbo (ES) št. 1829/2003 Evropskega parlamenta in Sveta (UL C, C/2025/1803, </w:t>
      </w:r>
      <w:proofErr w:type="gramStart"/>
      <w:r w:rsidR="001B2825" w:rsidRPr="00DF3A50">
        <w:rPr>
          <w:color w:val="000000" w:themeColor="text1"/>
          <w:sz w:val="24"/>
          <w:lang w:val="sl-SI"/>
        </w:rPr>
        <w:t>4.4.2025</w:t>
      </w:r>
      <w:proofErr w:type="gramEnd"/>
      <w:r w:rsidR="001B2825" w:rsidRPr="00DF3A50">
        <w:rPr>
          <w:color w:val="000000" w:themeColor="text1"/>
          <w:sz w:val="24"/>
          <w:lang w:val="sl-SI"/>
        </w:rPr>
        <w:t xml:space="preserve">, ELI: </w:t>
      </w:r>
      <w:hyperlink r:id="rId11" w:history="1">
        <w:r w:rsidR="001B2825" w:rsidRPr="00DF3A50">
          <w:rPr>
            <w:rStyle w:val="Hyperlink"/>
            <w:sz w:val="24"/>
            <w:lang w:val="sl-SI"/>
          </w:rPr>
          <w:t>http://data.europa.eu/eli/C/2025/1803/oj</w:t>
        </w:r>
      </w:hyperlink>
      <w:r w:rsidR="001B2825" w:rsidRPr="00DF3A50">
        <w:rPr>
          <w:color w:val="000000" w:themeColor="text1"/>
          <w:sz w:val="24"/>
          <w:lang w:val="sl-SI"/>
        </w:rPr>
        <w:t>).</w:t>
      </w:r>
    </w:p>
    <w:p w14:paraId="1779A988" w14:textId="67823152" w:rsidR="001B2825" w:rsidRPr="00DF3A50" w:rsidRDefault="00DF3A50" w:rsidP="00DF3A50">
      <w:pPr>
        <w:pStyle w:val="FootnoteText"/>
        <w:ind w:left="567" w:hanging="567"/>
        <w:rPr>
          <w:color w:val="000000" w:themeColor="text1"/>
          <w:sz w:val="24"/>
          <w:vertAlign w:val="superscript"/>
          <w:lang w:val="sl-SI"/>
        </w:rPr>
      </w:pPr>
      <w:r w:rsidRPr="00DF3A50">
        <w:rPr>
          <w:color w:val="000000" w:themeColor="text1"/>
          <w:sz w:val="24"/>
          <w:lang w:val="sl-SI"/>
        </w:rPr>
        <w:t xml:space="preserve"> </w:t>
      </w:r>
      <w:r w:rsidRPr="00DF3A50">
        <w:rPr>
          <w:color w:val="000000" w:themeColor="text1"/>
          <w:sz w:val="24"/>
          <w:lang w:val="sl-SI"/>
        </w:rPr>
        <w:tab/>
      </w:r>
      <w:r w:rsidR="001B2825" w:rsidRPr="00DF3A50">
        <w:rPr>
          <w:color w:val="000000" w:themeColor="text1"/>
          <w:sz w:val="24"/>
          <w:lang w:val="sl-SI"/>
        </w:rPr>
        <w:t>–</w:t>
      </w:r>
      <w:r w:rsidR="001B2825" w:rsidRPr="00DF3A50">
        <w:rPr>
          <w:color w:val="000000" w:themeColor="text1"/>
          <w:sz w:val="24"/>
          <w:lang w:val="sl-SI"/>
        </w:rPr>
        <w:tab/>
        <w:t xml:space="preserve">resolucijo Evropskega parlamenta z dne 26. novembra 2024 o osnutku izvedbenega sklepa Komisije o odobritvi dajanja proizvodov, ki vsebujejo gensko spremenjeno koruzo MON 94804, so iz nje sestavljeni ali proizvedeni, na trg v skladu z Uredbo (ES) št. 1829/2003 Evropskega parlamenta in Sveta (UL C, C/2025/1804, </w:t>
      </w:r>
      <w:proofErr w:type="gramStart"/>
      <w:r w:rsidR="001B2825" w:rsidRPr="00DF3A50">
        <w:rPr>
          <w:color w:val="000000" w:themeColor="text1"/>
          <w:sz w:val="24"/>
          <w:lang w:val="sl-SI"/>
        </w:rPr>
        <w:t>4.4.2025</w:t>
      </w:r>
      <w:proofErr w:type="gramEnd"/>
      <w:r w:rsidR="001B2825" w:rsidRPr="00DF3A50">
        <w:rPr>
          <w:color w:val="000000" w:themeColor="text1"/>
          <w:sz w:val="24"/>
          <w:lang w:val="sl-SI"/>
        </w:rPr>
        <w:t xml:space="preserve">, ELI: </w:t>
      </w:r>
      <w:hyperlink r:id="rId12" w:history="1">
        <w:r w:rsidR="001B2825" w:rsidRPr="00DF3A50">
          <w:rPr>
            <w:rStyle w:val="Hyperlink"/>
            <w:sz w:val="24"/>
            <w:lang w:val="sl-SI"/>
          </w:rPr>
          <w:t>http://data.europa.eu/eli/C/2025/1804/oj</w:t>
        </w:r>
      </w:hyperlink>
      <w:r w:rsidR="001B2825" w:rsidRPr="00DF3A50">
        <w:rPr>
          <w:color w:val="000000" w:themeColor="text1"/>
          <w:sz w:val="24"/>
          <w:lang w:val="sl-SI"/>
        </w:rPr>
        <w:t>).</w:t>
      </w:r>
    </w:p>
    <w:p w14:paraId="316991EF" w14:textId="4BA926F9" w:rsidR="001B2825" w:rsidRPr="00DF3A50" w:rsidRDefault="00DF3A50" w:rsidP="00DF3A50">
      <w:pPr>
        <w:pStyle w:val="FootnoteText"/>
        <w:ind w:left="567" w:hanging="567"/>
        <w:rPr>
          <w:sz w:val="24"/>
          <w:vertAlign w:val="superscript"/>
          <w:lang w:val="sl-SI"/>
        </w:rPr>
      </w:pPr>
      <w:r w:rsidRPr="00DF3A50">
        <w:rPr>
          <w:color w:val="000000" w:themeColor="text1"/>
          <w:sz w:val="24"/>
          <w:lang w:val="sl-SI"/>
        </w:rPr>
        <w:t xml:space="preserve"> </w:t>
      </w:r>
      <w:r w:rsidRPr="00DF3A50">
        <w:rPr>
          <w:color w:val="000000" w:themeColor="text1"/>
          <w:sz w:val="24"/>
          <w:lang w:val="sl-SI"/>
        </w:rPr>
        <w:tab/>
      </w:r>
      <w:r w:rsidR="001B2825" w:rsidRPr="00DF3A50">
        <w:rPr>
          <w:color w:val="000000" w:themeColor="text1"/>
          <w:sz w:val="24"/>
          <w:lang w:val="sl-SI"/>
        </w:rPr>
        <w:t>–</w:t>
      </w:r>
      <w:r w:rsidR="001B2825" w:rsidRPr="00DF3A50">
        <w:rPr>
          <w:color w:val="000000" w:themeColor="text1"/>
          <w:sz w:val="24"/>
          <w:lang w:val="sl-SI"/>
        </w:rPr>
        <w:tab/>
      </w:r>
      <w:r w:rsidR="001B2825" w:rsidRPr="00DF3A50">
        <w:rPr>
          <w:sz w:val="24"/>
          <w:lang w:val="sl-SI"/>
        </w:rPr>
        <w:t xml:space="preserve">resolucijo Evropskega parlamenta z dne 12. februarja 2025 o osnutku izvedbenega sklepa Komisije o odobritvi dajanja proizvodov, ki vsebujejo gensko spremenjeno koruzo DP310521, so iz nje sestavljeni ali proizvedeni, na trg v skladu z Uredbo (ES) št. 1829/2003 Evropskega parlamenta in Sveta (UL C, C/2025/2246, </w:t>
      </w:r>
      <w:proofErr w:type="gramStart"/>
      <w:r w:rsidR="00187EA1">
        <w:rPr>
          <w:sz w:val="24"/>
          <w:lang w:val="sl-SI"/>
        </w:rPr>
        <w:t>29</w:t>
      </w:r>
      <w:r w:rsidR="001B2825" w:rsidRPr="00DF3A50">
        <w:rPr>
          <w:sz w:val="24"/>
          <w:lang w:val="sl-SI"/>
        </w:rPr>
        <w:t>.4.2025</w:t>
      </w:r>
      <w:proofErr w:type="gramEnd"/>
      <w:r w:rsidR="001B2825" w:rsidRPr="00DF3A50">
        <w:rPr>
          <w:sz w:val="24"/>
          <w:lang w:val="sl-SI"/>
        </w:rPr>
        <w:t xml:space="preserve">, ELI: </w:t>
      </w:r>
      <w:hyperlink r:id="rId13" w:tooltip="Povezava ELI na ta dokument" w:history="1">
        <w:r w:rsidR="001B2825" w:rsidRPr="00DF3A50">
          <w:rPr>
            <w:rStyle w:val="Hyperlink"/>
            <w:sz w:val="24"/>
            <w:lang w:val="sl-SI"/>
          </w:rPr>
          <w:t>http://data.europa.eu/eli/C/2025/2246/oj</w:t>
        </w:r>
      </w:hyperlink>
      <w:r w:rsidR="001B2825" w:rsidRPr="00DF3A50">
        <w:rPr>
          <w:sz w:val="24"/>
          <w:lang w:val="sl-SI"/>
        </w:rPr>
        <w:t>).</w:t>
      </w:r>
    </w:p>
    <w:p w14:paraId="3A105B43" w14:textId="242E1C03" w:rsidR="001B2825" w:rsidRPr="00DF3A50" w:rsidRDefault="00DF3A50" w:rsidP="00DF3A50">
      <w:pPr>
        <w:pStyle w:val="FootnoteText"/>
        <w:ind w:left="567" w:hanging="567"/>
        <w:rPr>
          <w:sz w:val="24"/>
          <w:vertAlign w:val="superscript"/>
          <w:lang w:val="sl-SI"/>
        </w:rPr>
      </w:pPr>
      <w:r w:rsidRPr="00DF3A50">
        <w:rPr>
          <w:sz w:val="24"/>
          <w:lang w:val="sl-SI"/>
        </w:rPr>
        <w:t xml:space="preserve"> </w:t>
      </w:r>
      <w:r w:rsidRPr="00DF3A50">
        <w:rPr>
          <w:sz w:val="24"/>
          <w:lang w:val="sl-SI"/>
        </w:rPr>
        <w:tab/>
      </w:r>
      <w:r w:rsidR="001B2825" w:rsidRPr="00DF3A50">
        <w:rPr>
          <w:sz w:val="24"/>
          <w:lang w:val="sl-SI"/>
        </w:rPr>
        <w:t>–</w:t>
      </w:r>
      <w:r w:rsidR="001B2825" w:rsidRPr="00DF3A50">
        <w:rPr>
          <w:sz w:val="24"/>
          <w:lang w:val="sl-SI"/>
        </w:rPr>
        <w:tab/>
        <w:t xml:space="preserve">resolucijo Evropskega parlamenta z dne 12. februarja 2025 o osnutku izvedbenega sklepa Komisije o odobritvi dajanja proizvodov, ki vsebujejo gensko spremenjeno koruzo MON 95275, so iz nje sestavljeni ali proizvedeni, na trg v skladu z Uredbo (ES) št. 1829/2003 Evropskega parlamenta in Sveta (UL C, C/2025/2247, </w:t>
      </w:r>
      <w:proofErr w:type="gramStart"/>
      <w:r w:rsidR="001B2825" w:rsidRPr="00DF3A50">
        <w:rPr>
          <w:sz w:val="24"/>
          <w:lang w:val="sl-SI"/>
        </w:rPr>
        <w:t>29.4.2025</w:t>
      </w:r>
      <w:proofErr w:type="gramEnd"/>
      <w:r w:rsidR="001B2825" w:rsidRPr="00DF3A50">
        <w:rPr>
          <w:sz w:val="24"/>
          <w:lang w:val="sl-SI"/>
        </w:rPr>
        <w:t xml:space="preserve">, ELI: </w:t>
      </w:r>
      <w:hyperlink r:id="rId14" w:tooltip="Povezava ELI na ta dokument" w:history="1">
        <w:r w:rsidR="001B2825" w:rsidRPr="00DF3A50">
          <w:rPr>
            <w:rStyle w:val="Hyperlink"/>
            <w:sz w:val="24"/>
            <w:lang w:val="sl-SI"/>
          </w:rPr>
          <w:t>http://data.europa.eu/eli/C/2025/2247/oj</w:t>
        </w:r>
      </w:hyperlink>
      <w:r w:rsidR="001B2825" w:rsidRPr="00DF3A50">
        <w:rPr>
          <w:sz w:val="24"/>
          <w:lang w:val="sl-SI"/>
        </w:rPr>
        <w:t>).</w:t>
      </w:r>
    </w:p>
    <w:p w14:paraId="2089E039" w14:textId="7892E991" w:rsidR="001B2825" w:rsidRPr="00DF3A50" w:rsidRDefault="00DF3A50" w:rsidP="00DF3A50">
      <w:pPr>
        <w:pStyle w:val="FootnoteText"/>
        <w:ind w:left="567" w:hanging="567"/>
        <w:rPr>
          <w:sz w:val="24"/>
          <w:lang w:val="sl-SI"/>
        </w:rPr>
      </w:pPr>
      <w:r w:rsidRPr="00DF3A50">
        <w:rPr>
          <w:sz w:val="24"/>
          <w:lang w:val="sl-SI"/>
        </w:rPr>
        <w:t xml:space="preserve"> </w:t>
      </w:r>
      <w:r w:rsidRPr="00DF3A50">
        <w:rPr>
          <w:sz w:val="24"/>
          <w:lang w:val="sl-SI"/>
        </w:rPr>
        <w:tab/>
      </w:r>
      <w:r w:rsidR="001B2825" w:rsidRPr="00DF3A50">
        <w:rPr>
          <w:sz w:val="24"/>
          <w:lang w:val="sl-SI"/>
        </w:rPr>
        <w:t>–</w:t>
      </w:r>
      <w:r w:rsidR="001B2825" w:rsidRPr="00DF3A50">
        <w:rPr>
          <w:sz w:val="24"/>
          <w:lang w:val="sl-SI"/>
        </w:rPr>
        <w:tab/>
        <w:t>resolucijo Evropskega parlamenta z dne 8. maja 2025 o osnutku izvedbenega sklepa Komisije o odobritvi dajanja proizvodov, ki vsebujejo gensko spremenjeno sojo MON 87705 × MON 87708 × MON 89788, so iz nje sestavljeni ali proizvedeni, na trg v skladu z Uredbo (ES) št. 1829/2003 Evropskega parlamenta in Sveta (</w:t>
      </w:r>
      <w:r w:rsidR="008A5DFC">
        <w:rPr>
          <w:sz w:val="24"/>
          <w:lang w:val="sl-SI"/>
        </w:rPr>
        <w:t xml:space="preserve">Sprejeta besedila, </w:t>
      </w:r>
      <w:r w:rsidR="001B2825" w:rsidRPr="00DF3A50">
        <w:rPr>
          <w:sz w:val="24"/>
          <w:lang w:val="sl-SI"/>
        </w:rPr>
        <w:t>P10_TA(2025)0106).</w:t>
      </w:r>
    </w:p>
  </w:footnote>
  <w:footnote w:id="6">
    <w:p w14:paraId="646BBE1A" w14:textId="1AABB6FF" w:rsidR="001B2825" w:rsidRPr="00DF3A50" w:rsidRDefault="001B2825" w:rsidP="00DF3A50">
      <w:pPr>
        <w:pStyle w:val="FootnoteText"/>
        <w:ind w:left="567" w:hanging="567"/>
        <w:rPr>
          <w:sz w:val="24"/>
          <w:lang w:val="sl-SI"/>
        </w:rPr>
      </w:pPr>
      <w:r w:rsidRPr="00DF3A50">
        <w:rPr>
          <w:rStyle w:val="FootnoteReference"/>
          <w:sz w:val="24"/>
          <w:lang w:val="sl-SI"/>
        </w:rPr>
        <w:footnoteRef/>
      </w:r>
      <w:r w:rsidR="00DF3A50" w:rsidRPr="00DF3A50">
        <w:rPr>
          <w:sz w:val="24"/>
          <w:lang w:val="sl-SI"/>
        </w:rPr>
        <w:t xml:space="preserve"> </w:t>
      </w:r>
      <w:r w:rsidR="00DF3A50" w:rsidRPr="00DF3A50">
        <w:rPr>
          <w:sz w:val="24"/>
          <w:lang w:val="sl-SI"/>
        </w:rPr>
        <w:tab/>
      </w:r>
      <w:r w:rsidRPr="00DF3A50">
        <w:rPr>
          <w:sz w:val="24"/>
          <w:lang w:val="sl-SI"/>
        </w:rPr>
        <w:t xml:space="preserve">Uredba (ES) št. 1107/2009 Evropskega parlamenta in Sveta z dne 21. oktobra 2009 o dajanju fitofarmacevtskih sredstev v promet in razveljavitvi direktiv Sveta 79/117/EGS in 91/414/EGS (UL L 309, </w:t>
      </w:r>
      <w:proofErr w:type="gramStart"/>
      <w:r w:rsidRPr="00DF3A50">
        <w:rPr>
          <w:sz w:val="24"/>
          <w:lang w:val="sl-SI"/>
        </w:rPr>
        <w:t>24.11.2009</w:t>
      </w:r>
      <w:proofErr w:type="gramEnd"/>
      <w:r w:rsidRPr="00DF3A50">
        <w:rPr>
          <w:sz w:val="24"/>
          <w:lang w:val="sl-SI"/>
        </w:rPr>
        <w:t xml:space="preserve">, str. 1, ELI: </w:t>
      </w:r>
      <w:hyperlink r:id="rId15" w:tooltip="Povezava ELI na ta dokument" w:history="1">
        <w:r w:rsidRPr="00DF3A50">
          <w:rPr>
            <w:rStyle w:val="Hyperlink"/>
            <w:sz w:val="24"/>
            <w:lang w:val="sl-SI"/>
          </w:rPr>
          <w:t>http://data.europa.eu/eli/reg/2009/1107/oj</w:t>
        </w:r>
      </w:hyperlink>
      <w:r w:rsidRPr="00DF3A50">
        <w:rPr>
          <w:sz w:val="24"/>
          <w:lang w:val="sl-SI"/>
        </w:rPr>
        <w:t>).</w:t>
      </w:r>
    </w:p>
  </w:footnote>
  <w:footnote w:id="7">
    <w:p w14:paraId="1468CBA8" w14:textId="3A712352" w:rsidR="001B2825" w:rsidRPr="00DF3A50" w:rsidRDefault="001B2825" w:rsidP="00DF3A50">
      <w:pPr>
        <w:pStyle w:val="FootnoteText"/>
        <w:ind w:left="567" w:hanging="567"/>
        <w:rPr>
          <w:sz w:val="24"/>
          <w:lang w:val="sl-SI"/>
        </w:rPr>
      </w:pPr>
      <w:r w:rsidRPr="00DF3A50">
        <w:rPr>
          <w:rStyle w:val="FootnoteReference"/>
          <w:sz w:val="24"/>
          <w:lang w:val="sl-SI"/>
        </w:rPr>
        <w:footnoteRef/>
      </w:r>
      <w:r w:rsidR="00DF3A50" w:rsidRPr="00DF3A50">
        <w:rPr>
          <w:sz w:val="24"/>
          <w:lang w:val="sl-SI"/>
        </w:rPr>
        <w:t xml:space="preserve"> </w:t>
      </w:r>
      <w:r w:rsidR="00DF3A50" w:rsidRPr="00DF3A50">
        <w:rPr>
          <w:sz w:val="24"/>
          <w:lang w:val="sl-SI"/>
        </w:rPr>
        <w:tab/>
      </w:r>
      <w:hyperlink r:id="rId16" w:history="1">
        <w:r w:rsidRPr="00DF3A50">
          <w:rPr>
            <w:rStyle w:val="Hyperlink"/>
            <w:sz w:val="24"/>
            <w:lang w:val="sl-SI"/>
          </w:rPr>
          <w:t>https://www.testbiotech.org/wp-content/uploads/2024/12/Testbiotech_comment_‌maize_DP51291.pdf</w:t>
        </w:r>
      </w:hyperlink>
    </w:p>
  </w:footnote>
  <w:footnote w:id="8">
    <w:p w14:paraId="1359A834" w14:textId="4FEC60AF" w:rsidR="001B2825" w:rsidRPr="00DF3A50" w:rsidRDefault="001B2825" w:rsidP="00DF3A50">
      <w:pPr>
        <w:pStyle w:val="FootnoteText"/>
        <w:ind w:left="567" w:hanging="567"/>
        <w:rPr>
          <w:sz w:val="24"/>
          <w:lang w:val="sl-SI"/>
        </w:rPr>
      </w:pPr>
      <w:r w:rsidRPr="00DF3A50">
        <w:rPr>
          <w:rStyle w:val="FootnoteReference"/>
          <w:sz w:val="24"/>
          <w:lang w:val="sl-SI"/>
        </w:rPr>
        <w:footnoteRef/>
      </w:r>
      <w:r w:rsidR="00DF3A50" w:rsidRPr="00DF3A50">
        <w:rPr>
          <w:sz w:val="24"/>
          <w:lang w:val="sl-SI"/>
        </w:rPr>
        <w:t xml:space="preserve"> </w:t>
      </w:r>
      <w:r w:rsidR="00DF3A50" w:rsidRPr="00DF3A50">
        <w:rPr>
          <w:sz w:val="24"/>
          <w:lang w:val="sl-SI"/>
        </w:rPr>
        <w:tab/>
      </w:r>
      <w:r w:rsidRPr="00DF3A50">
        <w:rPr>
          <w:sz w:val="24"/>
          <w:lang w:val="sl-SI"/>
        </w:rPr>
        <w:t xml:space="preserve">Izvedbena uredba Komisije (EU) št. 503/2013 z dne 3. aprila 2013 o vlogah za odobritev gensko spremenjenih živil in krme v skladu z Uredbo (ES) št. 1829/2003 Evropskega parlamenta in Sveta in o spremembi uredb Komisije (ES) št. 641/2004 in (ES) št. 1981/2006 (UL L 157, </w:t>
      </w:r>
      <w:proofErr w:type="gramStart"/>
      <w:r w:rsidRPr="00DF3A50">
        <w:rPr>
          <w:sz w:val="24"/>
          <w:lang w:val="sl-SI"/>
        </w:rPr>
        <w:t>8.6.2013</w:t>
      </w:r>
      <w:proofErr w:type="gramEnd"/>
      <w:r w:rsidRPr="00DF3A50">
        <w:rPr>
          <w:sz w:val="24"/>
          <w:lang w:val="sl-SI"/>
        </w:rPr>
        <w:t xml:space="preserve">, str. 1, ELI: </w:t>
      </w:r>
      <w:hyperlink r:id="rId17" w:history="1">
        <w:r w:rsidRPr="00DF3A50">
          <w:rPr>
            <w:rStyle w:val="Hyperlink"/>
            <w:sz w:val="24"/>
            <w:lang w:val="sl-SI"/>
          </w:rPr>
          <w:t>http://data.europa.eu/eli/reg_impl/2013/503/oj</w:t>
        </w:r>
      </w:hyperlink>
      <w:r w:rsidRPr="00DF3A50">
        <w:rPr>
          <w:sz w:val="24"/>
          <w:lang w:val="sl-SI"/>
        </w:rPr>
        <w:t>).</w:t>
      </w:r>
    </w:p>
  </w:footnote>
  <w:footnote w:id="9">
    <w:p w14:paraId="719680E5" w14:textId="05254EDB" w:rsidR="001B2825" w:rsidRPr="00DF3A50" w:rsidRDefault="001B2825" w:rsidP="00DF3A50">
      <w:pPr>
        <w:pStyle w:val="FootnoteText"/>
        <w:ind w:left="567" w:hanging="567"/>
        <w:rPr>
          <w:sz w:val="24"/>
          <w:lang w:val="sl-SI"/>
        </w:rPr>
      </w:pPr>
      <w:r w:rsidRPr="00DF3A50">
        <w:rPr>
          <w:rStyle w:val="FootnoteReference"/>
          <w:sz w:val="24"/>
          <w:lang w:val="sl-SI"/>
        </w:rPr>
        <w:footnoteRef/>
      </w:r>
      <w:r w:rsidR="00DF3A50" w:rsidRPr="00DF3A50">
        <w:rPr>
          <w:sz w:val="24"/>
          <w:lang w:val="sl-SI"/>
        </w:rPr>
        <w:t xml:space="preserve"> </w:t>
      </w:r>
      <w:r w:rsidR="00DF3A50" w:rsidRPr="00DF3A50">
        <w:rPr>
          <w:sz w:val="24"/>
          <w:lang w:val="sl-SI"/>
        </w:rPr>
        <w:tab/>
      </w:r>
      <w:proofErr w:type="spellStart"/>
      <w:r w:rsidRPr="00DF3A50">
        <w:rPr>
          <w:sz w:val="24"/>
          <w:lang w:val="sl-SI"/>
        </w:rPr>
        <w:t>Trtikova</w:t>
      </w:r>
      <w:proofErr w:type="spellEnd"/>
      <w:r w:rsidRPr="00DF3A50">
        <w:rPr>
          <w:sz w:val="24"/>
          <w:lang w:val="sl-SI"/>
        </w:rPr>
        <w:t xml:space="preserve">, M., </w:t>
      </w:r>
      <w:proofErr w:type="spellStart"/>
      <w:r w:rsidRPr="00DF3A50">
        <w:rPr>
          <w:sz w:val="24"/>
          <w:lang w:val="sl-SI"/>
        </w:rPr>
        <w:t>Wikmark</w:t>
      </w:r>
      <w:proofErr w:type="spellEnd"/>
      <w:r w:rsidRPr="00DF3A50">
        <w:rPr>
          <w:sz w:val="24"/>
          <w:lang w:val="sl-SI"/>
        </w:rPr>
        <w:t xml:space="preserve"> O. G., Zemp, N., Widmer, A., Hilbeck, A., (2015) </w:t>
      </w:r>
      <w:r w:rsidRPr="00DF3A50">
        <w:rPr>
          <w:i/>
          <w:iCs/>
          <w:sz w:val="24"/>
          <w:lang w:val="sl-SI"/>
        </w:rPr>
        <w:t xml:space="preserve">Transgene </w:t>
      </w:r>
      <w:proofErr w:type="spellStart"/>
      <w:r w:rsidRPr="00DF3A50">
        <w:rPr>
          <w:i/>
          <w:iCs/>
          <w:sz w:val="24"/>
          <w:lang w:val="sl-SI"/>
        </w:rPr>
        <w:t>Expression</w:t>
      </w:r>
      <w:proofErr w:type="spellEnd"/>
      <w:r w:rsidRPr="00DF3A50">
        <w:rPr>
          <w:i/>
          <w:iCs/>
          <w:sz w:val="24"/>
          <w:lang w:val="sl-SI"/>
        </w:rPr>
        <w:t xml:space="preserve"> and </w:t>
      </w:r>
      <w:proofErr w:type="spellStart"/>
      <w:proofErr w:type="gramStart"/>
      <w:r w:rsidRPr="00DF3A50">
        <w:rPr>
          <w:i/>
          <w:iCs/>
          <w:sz w:val="24"/>
          <w:lang w:val="sl-SI"/>
        </w:rPr>
        <w:t>Bt</w:t>
      </w:r>
      <w:proofErr w:type="spellEnd"/>
      <w:proofErr w:type="gramEnd"/>
      <w:r w:rsidRPr="00DF3A50">
        <w:rPr>
          <w:i/>
          <w:iCs/>
          <w:sz w:val="24"/>
          <w:lang w:val="sl-SI"/>
        </w:rPr>
        <w:t xml:space="preserve"> Protein </w:t>
      </w:r>
      <w:proofErr w:type="spellStart"/>
      <w:r w:rsidRPr="00DF3A50">
        <w:rPr>
          <w:i/>
          <w:iCs/>
          <w:sz w:val="24"/>
          <w:lang w:val="sl-SI"/>
        </w:rPr>
        <w:t>Content</w:t>
      </w:r>
      <w:proofErr w:type="spellEnd"/>
      <w:r w:rsidRPr="00DF3A50">
        <w:rPr>
          <w:i/>
          <w:iCs/>
          <w:sz w:val="24"/>
          <w:lang w:val="sl-SI"/>
        </w:rPr>
        <w:t xml:space="preserve"> in </w:t>
      </w:r>
      <w:proofErr w:type="spellStart"/>
      <w:r w:rsidRPr="00DF3A50">
        <w:rPr>
          <w:i/>
          <w:iCs/>
          <w:sz w:val="24"/>
          <w:lang w:val="sl-SI"/>
        </w:rPr>
        <w:t>Transgenic</w:t>
      </w:r>
      <w:proofErr w:type="spellEnd"/>
      <w:r w:rsidRPr="00DF3A50">
        <w:rPr>
          <w:i/>
          <w:iCs/>
          <w:sz w:val="24"/>
          <w:lang w:val="sl-SI"/>
        </w:rPr>
        <w:t xml:space="preserve"> </w:t>
      </w:r>
      <w:proofErr w:type="spellStart"/>
      <w:r w:rsidRPr="00DF3A50">
        <w:rPr>
          <w:i/>
          <w:iCs/>
          <w:sz w:val="24"/>
          <w:lang w:val="sl-SI"/>
        </w:rPr>
        <w:t>Bt</w:t>
      </w:r>
      <w:proofErr w:type="spellEnd"/>
      <w:r w:rsidRPr="00DF3A50">
        <w:rPr>
          <w:i/>
          <w:iCs/>
          <w:sz w:val="24"/>
          <w:lang w:val="sl-SI"/>
        </w:rPr>
        <w:t xml:space="preserve"> </w:t>
      </w:r>
      <w:proofErr w:type="spellStart"/>
      <w:r w:rsidRPr="00DF3A50">
        <w:rPr>
          <w:i/>
          <w:iCs/>
          <w:sz w:val="24"/>
          <w:lang w:val="sl-SI"/>
        </w:rPr>
        <w:t>Maize</w:t>
      </w:r>
      <w:proofErr w:type="spellEnd"/>
      <w:r w:rsidRPr="00DF3A50">
        <w:rPr>
          <w:i/>
          <w:iCs/>
          <w:sz w:val="24"/>
          <w:lang w:val="sl-SI"/>
        </w:rPr>
        <w:t xml:space="preserve"> (MON810) </w:t>
      </w:r>
      <w:proofErr w:type="spellStart"/>
      <w:r w:rsidRPr="00DF3A50">
        <w:rPr>
          <w:i/>
          <w:iCs/>
          <w:sz w:val="24"/>
          <w:lang w:val="sl-SI"/>
        </w:rPr>
        <w:t>under</w:t>
      </w:r>
      <w:proofErr w:type="spellEnd"/>
      <w:r w:rsidRPr="00DF3A50">
        <w:rPr>
          <w:i/>
          <w:iCs/>
          <w:sz w:val="24"/>
          <w:lang w:val="sl-SI"/>
        </w:rPr>
        <w:t xml:space="preserve"> </w:t>
      </w:r>
      <w:proofErr w:type="spellStart"/>
      <w:r w:rsidRPr="00DF3A50">
        <w:rPr>
          <w:i/>
          <w:iCs/>
          <w:sz w:val="24"/>
          <w:lang w:val="sl-SI"/>
        </w:rPr>
        <w:t>Optimal</w:t>
      </w:r>
      <w:proofErr w:type="spellEnd"/>
      <w:r w:rsidRPr="00DF3A50">
        <w:rPr>
          <w:i/>
          <w:iCs/>
          <w:sz w:val="24"/>
          <w:lang w:val="sl-SI"/>
        </w:rPr>
        <w:t xml:space="preserve"> and </w:t>
      </w:r>
      <w:proofErr w:type="spellStart"/>
      <w:r w:rsidRPr="00DF3A50">
        <w:rPr>
          <w:i/>
          <w:iCs/>
          <w:sz w:val="24"/>
          <w:lang w:val="sl-SI"/>
        </w:rPr>
        <w:t>Stressful</w:t>
      </w:r>
      <w:proofErr w:type="spellEnd"/>
      <w:r w:rsidRPr="00DF3A50">
        <w:rPr>
          <w:i/>
          <w:iCs/>
          <w:sz w:val="24"/>
          <w:lang w:val="sl-SI"/>
        </w:rPr>
        <w:t xml:space="preserve"> </w:t>
      </w:r>
      <w:proofErr w:type="spellStart"/>
      <w:r w:rsidRPr="00DF3A50">
        <w:rPr>
          <w:i/>
          <w:iCs/>
          <w:sz w:val="24"/>
          <w:lang w:val="sl-SI"/>
        </w:rPr>
        <w:t>Environmental</w:t>
      </w:r>
      <w:proofErr w:type="spellEnd"/>
      <w:r w:rsidRPr="00DF3A50">
        <w:rPr>
          <w:i/>
          <w:iCs/>
          <w:sz w:val="24"/>
          <w:lang w:val="sl-SI"/>
        </w:rPr>
        <w:t xml:space="preserve"> </w:t>
      </w:r>
      <w:proofErr w:type="spellStart"/>
      <w:r w:rsidRPr="00DF3A50">
        <w:rPr>
          <w:i/>
          <w:iCs/>
          <w:sz w:val="24"/>
          <w:lang w:val="sl-SI"/>
        </w:rPr>
        <w:t>Conditions</w:t>
      </w:r>
      <w:proofErr w:type="spellEnd"/>
      <w:r w:rsidRPr="00DF3A50">
        <w:rPr>
          <w:sz w:val="24"/>
          <w:lang w:val="sl-SI"/>
        </w:rPr>
        <w:t xml:space="preserve"> (Izražanje transgenov in vsebine beljakovine </w:t>
      </w:r>
      <w:proofErr w:type="spellStart"/>
      <w:r w:rsidRPr="00DF3A50">
        <w:rPr>
          <w:sz w:val="24"/>
          <w:lang w:val="sl-SI"/>
        </w:rPr>
        <w:t>Bt</w:t>
      </w:r>
      <w:proofErr w:type="spellEnd"/>
      <w:r w:rsidRPr="00DF3A50">
        <w:rPr>
          <w:sz w:val="24"/>
          <w:lang w:val="sl-SI"/>
        </w:rPr>
        <w:t xml:space="preserve"> v transgeni koruzi </w:t>
      </w:r>
      <w:proofErr w:type="spellStart"/>
      <w:r w:rsidRPr="00DF3A50">
        <w:rPr>
          <w:sz w:val="24"/>
          <w:lang w:val="sl-SI"/>
        </w:rPr>
        <w:t>Bt</w:t>
      </w:r>
      <w:proofErr w:type="spellEnd"/>
      <w:r w:rsidRPr="00DF3A50">
        <w:rPr>
          <w:sz w:val="24"/>
          <w:lang w:val="sl-SI"/>
        </w:rPr>
        <w:t xml:space="preserve"> (MON810) v optimalnih in stresnih okoljskih okoliščinah), </w:t>
      </w:r>
      <w:proofErr w:type="spellStart"/>
      <w:r w:rsidRPr="00DF3A50">
        <w:rPr>
          <w:sz w:val="24"/>
          <w:lang w:val="sl-SI"/>
        </w:rPr>
        <w:t>PLoS</w:t>
      </w:r>
      <w:proofErr w:type="spellEnd"/>
      <w:r w:rsidRPr="00DF3A50">
        <w:rPr>
          <w:sz w:val="24"/>
          <w:lang w:val="sl-SI"/>
        </w:rPr>
        <w:t xml:space="preserve"> ONE 10(4): e0123011, </w:t>
      </w:r>
      <w:hyperlink r:id="rId18" w:history="1">
        <w:r w:rsidRPr="00DF3A50">
          <w:rPr>
            <w:rStyle w:val="Hyperlink"/>
            <w:sz w:val="24"/>
            <w:lang w:val="sl-SI"/>
          </w:rPr>
          <w:t>https://doi.org/10.1371/journal.pone.0123011</w:t>
        </w:r>
      </w:hyperlink>
      <w:r w:rsidRPr="00DF3A50">
        <w:rPr>
          <w:sz w:val="24"/>
          <w:lang w:val="sl-SI"/>
        </w:rPr>
        <w:t>.</w:t>
      </w:r>
    </w:p>
  </w:footnote>
  <w:footnote w:id="10">
    <w:p w14:paraId="35DBBF43" w14:textId="0487F7A4" w:rsidR="001B2825" w:rsidRPr="00DF3A50" w:rsidRDefault="001B2825" w:rsidP="00DF3A50">
      <w:pPr>
        <w:pStyle w:val="FootnoteText"/>
        <w:ind w:left="567" w:hanging="567"/>
        <w:rPr>
          <w:sz w:val="24"/>
          <w:lang w:val="sl-SI"/>
        </w:rPr>
      </w:pPr>
      <w:r w:rsidRPr="00DF3A50">
        <w:rPr>
          <w:rStyle w:val="FootnoteReference"/>
          <w:sz w:val="24"/>
          <w:lang w:val="sl-SI"/>
        </w:rPr>
        <w:footnoteRef/>
      </w:r>
      <w:r w:rsidR="00DF3A50" w:rsidRPr="00DF3A50">
        <w:rPr>
          <w:sz w:val="24"/>
          <w:lang w:val="sl-SI"/>
        </w:rPr>
        <w:t xml:space="preserve"> </w:t>
      </w:r>
      <w:r w:rsidR="00DF3A50" w:rsidRPr="00DF3A50">
        <w:rPr>
          <w:sz w:val="24"/>
          <w:lang w:val="sl-SI"/>
        </w:rPr>
        <w:tab/>
      </w:r>
      <w:r w:rsidRPr="00DF3A50">
        <w:rPr>
          <w:sz w:val="24"/>
          <w:lang w:val="sl-SI"/>
        </w:rPr>
        <w:t xml:space="preserve">Gl. na primer Schulz, R., Bub, S., </w:t>
      </w:r>
      <w:proofErr w:type="spellStart"/>
      <w:r w:rsidRPr="00DF3A50">
        <w:rPr>
          <w:sz w:val="24"/>
          <w:lang w:val="sl-SI"/>
        </w:rPr>
        <w:t>Petschick</w:t>
      </w:r>
      <w:proofErr w:type="spellEnd"/>
      <w:r w:rsidRPr="00DF3A50">
        <w:rPr>
          <w:sz w:val="24"/>
          <w:lang w:val="sl-SI"/>
        </w:rPr>
        <w:t xml:space="preserve">, L. L., Stehle, S., Wolfram, J. (2021), </w:t>
      </w:r>
      <w:proofErr w:type="spellStart"/>
      <w:r w:rsidRPr="00DF3A50">
        <w:rPr>
          <w:i/>
          <w:iCs/>
          <w:sz w:val="24"/>
          <w:lang w:val="sl-SI"/>
        </w:rPr>
        <w:t>Applied</w:t>
      </w:r>
      <w:proofErr w:type="spellEnd"/>
      <w:r w:rsidRPr="00DF3A50">
        <w:rPr>
          <w:i/>
          <w:iCs/>
          <w:sz w:val="24"/>
          <w:lang w:val="sl-SI"/>
        </w:rPr>
        <w:t xml:space="preserve"> pesticide </w:t>
      </w:r>
      <w:proofErr w:type="spellStart"/>
      <w:r w:rsidRPr="00DF3A50">
        <w:rPr>
          <w:i/>
          <w:iCs/>
          <w:sz w:val="24"/>
          <w:lang w:val="sl-SI"/>
        </w:rPr>
        <w:t>toxicity</w:t>
      </w:r>
      <w:proofErr w:type="spellEnd"/>
      <w:r w:rsidRPr="00DF3A50">
        <w:rPr>
          <w:i/>
          <w:iCs/>
          <w:sz w:val="24"/>
          <w:lang w:val="sl-SI"/>
        </w:rPr>
        <w:t xml:space="preserve"> </w:t>
      </w:r>
      <w:proofErr w:type="spellStart"/>
      <w:r w:rsidRPr="00DF3A50">
        <w:rPr>
          <w:i/>
          <w:iCs/>
          <w:sz w:val="24"/>
          <w:lang w:val="sl-SI"/>
        </w:rPr>
        <w:t>shifts</w:t>
      </w:r>
      <w:proofErr w:type="spellEnd"/>
      <w:r w:rsidRPr="00DF3A50">
        <w:rPr>
          <w:i/>
          <w:iCs/>
          <w:sz w:val="24"/>
          <w:lang w:val="sl-SI"/>
        </w:rPr>
        <w:t xml:space="preserve"> to </w:t>
      </w:r>
      <w:proofErr w:type="spellStart"/>
      <w:r w:rsidRPr="00DF3A50">
        <w:rPr>
          <w:i/>
          <w:iCs/>
          <w:sz w:val="24"/>
          <w:lang w:val="sl-SI"/>
        </w:rPr>
        <w:t>plant</w:t>
      </w:r>
      <w:proofErr w:type="spellEnd"/>
      <w:r w:rsidRPr="00DF3A50">
        <w:rPr>
          <w:i/>
          <w:iCs/>
          <w:sz w:val="24"/>
          <w:lang w:val="sl-SI"/>
        </w:rPr>
        <w:t xml:space="preserve"> and </w:t>
      </w:r>
      <w:proofErr w:type="spellStart"/>
      <w:r w:rsidRPr="00DF3A50">
        <w:rPr>
          <w:i/>
          <w:iCs/>
          <w:sz w:val="24"/>
          <w:lang w:val="sl-SI"/>
        </w:rPr>
        <w:t>nevertebrates</w:t>
      </w:r>
      <w:proofErr w:type="spellEnd"/>
      <w:r w:rsidRPr="00DF3A50">
        <w:rPr>
          <w:i/>
          <w:iCs/>
          <w:sz w:val="24"/>
          <w:lang w:val="sl-SI"/>
        </w:rPr>
        <w:t xml:space="preserve">, </w:t>
      </w:r>
      <w:proofErr w:type="spellStart"/>
      <w:r w:rsidRPr="00DF3A50">
        <w:rPr>
          <w:i/>
          <w:iCs/>
          <w:sz w:val="24"/>
          <w:lang w:val="sl-SI"/>
        </w:rPr>
        <w:t>even</w:t>
      </w:r>
      <w:proofErr w:type="spellEnd"/>
      <w:r w:rsidRPr="00DF3A50">
        <w:rPr>
          <w:i/>
          <w:iCs/>
          <w:sz w:val="24"/>
          <w:lang w:val="sl-SI"/>
        </w:rPr>
        <w:t xml:space="preserve"> in GM </w:t>
      </w:r>
      <w:proofErr w:type="spellStart"/>
      <w:r w:rsidRPr="00DF3A50">
        <w:rPr>
          <w:i/>
          <w:iCs/>
          <w:sz w:val="24"/>
          <w:lang w:val="sl-SI"/>
        </w:rPr>
        <w:t>crops</w:t>
      </w:r>
      <w:proofErr w:type="spellEnd"/>
      <w:r w:rsidRPr="00DF3A50">
        <w:rPr>
          <w:sz w:val="24"/>
          <w:lang w:val="sl-SI"/>
        </w:rPr>
        <w:t xml:space="preserve"> (Toksičnost uporabljenih pesticidov se prenese na rastline in nevretenčarje, tudi pri gensko spremenjenih kmetijskih rastlinah), Science 372(6537), str. 81–84, </w:t>
      </w:r>
      <w:hyperlink r:id="rId19" w:history="1">
        <w:r w:rsidRPr="00DF3A50">
          <w:rPr>
            <w:rStyle w:val="Hyperlink"/>
            <w:sz w:val="24"/>
            <w:lang w:val="sl-SI"/>
          </w:rPr>
          <w:t>https://doi.org/10.1126/science.abe1148</w:t>
        </w:r>
      </w:hyperlink>
      <w:r w:rsidRPr="00DF3A50">
        <w:rPr>
          <w:sz w:val="24"/>
          <w:lang w:val="sl-SI"/>
        </w:rPr>
        <w:t xml:space="preserve">; Bonny, S., </w:t>
      </w:r>
      <w:proofErr w:type="spellStart"/>
      <w:r w:rsidRPr="00DF3A50">
        <w:rPr>
          <w:i/>
          <w:iCs/>
          <w:sz w:val="24"/>
          <w:lang w:val="sl-SI"/>
        </w:rPr>
        <w:t>Genetically</w:t>
      </w:r>
      <w:proofErr w:type="spellEnd"/>
      <w:r w:rsidRPr="00DF3A50">
        <w:rPr>
          <w:i/>
          <w:iCs/>
          <w:sz w:val="24"/>
          <w:lang w:val="sl-SI"/>
        </w:rPr>
        <w:t xml:space="preserve"> </w:t>
      </w:r>
      <w:proofErr w:type="spellStart"/>
      <w:r w:rsidRPr="00DF3A50">
        <w:rPr>
          <w:i/>
          <w:iCs/>
          <w:sz w:val="24"/>
          <w:lang w:val="sl-SI"/>
        </w:rPr>
        <w:t>Modified</w:t>
      </w:r>
      <w:proofErr w:type="spellEnd"/>
      <w:r w:rsidRPr="00DF3A50">
        <w:rPr>
          <w:i/>
          <w:iCs/>
          <w:sz w:val="24"/>
          <w:lang w:val="sl-SI"/>
        </w:rPr>
        <w:t xml:space="preserve"> Herbicide-</w:t>
      </w:r>
      <w:proofErr w:type="spellStart"/>
      <w:r w:rsidRPr="00DF3A50">
        <w:rPr>
          <w:i/>
          <w:iCs/>
          <w:sz w:val="24"/>
          <w:lang w:val="sl-SI"/>
        </w:rPr>
        <w:t>Tolerant</w:t>
      </w:r>
      <w:proofErr w:type="spellEnd"/>
      <w:r w:rsidRPr="00DF3A50">
        <w:rPr>
          <w:i/>
          <w:iCs/>
          <w:sz w:val="24"/>
          <w:lang w:val="sl-SI"/>
        </w:rPr>
        <w:t xml:space="preserve"> </w:t>
      </w:r>
      <w:proofErr w:type="spellStart"/>
      <w:r w:rsidRPr="00DF3A50">
        <w:rPr>
          <w:i/>
          <w:iCs/>
          <w:sz w:val="24"/>
          <w:lang w:val="sl-SI"/>
        </w:rPr>
        <w:t>Crops</w:t>
      </w:r>
      <w:proofErr w:type="spellEnd"/>
      <w:r w:rsidRPr="00DF3A50">
        <w:rPr>
          <w:i/>
          <w:iCs/>
          <w:sz w:val="24"/>
          <w:lang w:val="sl-SI"/>
        </w:rPr>
        <w:t xml:space="preserve">, </w:t>
      </w:r>
      <w:proofErr w:type="spellStart"/>
      <w:r w:rsidRPr="00DF3A50">
        <w:rPr>
          <w:i/>
          <w:iCs/>
          <w:sz w:val="24"/>
          <w:lang w:val="sl-SI"/>
        </w:rPr>
        <w:t>Weeds</w:t>
      </w:r>
      <w:proofErr w:type="spellEnd"/>
      <w:r w:rsidRPr="00DF3A50">
        <w:rPr>
          <w:i/>
          <w:iCs/>
          <w:sz w:val="24"/>
          <w:lang w:val="sl-SI"/>
        </w:rPr>
        <w:t xml:space="preserve">, and </w:t>
      </w:r>
      <w:proofErr w:type="spellStart"/>
      <w:r w:rsidRPr="00DF3A50">
        <w:rPr>
          <w:i/>
          <w:iCs/>
          <w:sz w:val="24"/>
          <w:lang w:val="sl-SI"/>
        </w:rPr>
        <w:t>Herbicides</w:t>
      </w:r>
      <w:proofErr w:type="spellEnd"/>
      <w:r w:rsidRPr="00DF3A50">
        <w:rPr>
          <w:i/>
          <w:iCs/>
          <w:sz w:val="24"/>
          <w:lang w:val="sl-SI"/>
        </w:rPr>
        <w:t>:</w:t>
      </w:r>
      <w:r w:rsidRPr="00DF3A50">
        <w:rPr>
          <w:sz w:val="24"/>
          <w:lang w:val="sl-SI"/>
        </w:rPr>
        <w:t xml:space="preserve"> </w:t>
      </w:r>
      <w:proofErr w:type="spellStart"/>
      <w:r w:rsidRPr="00DF3A50">
        <w:rPr>
          <w:i/>
          <w:iCs/>
          <w:sz w:val="24"/>
          <w:lang w:val="sl-SI"/>
        </w:rPr>
        <w:t>Overview</w:t>
      </w:r>
      <w:proofErr w:type="spellEnd"/>
      <w:r w:rsidRPr="00DF3A50">
        <w:rPr>
          <w:i/>
          <w:iCs/>
          <w:sz w:val="24"/>
          <w:lang w:val="sl-SI"/>
        </w:rPr>
        <w:t xml:space="preserve"> and </w:t>
      </w:r>
      <w:proofErr w:type="spellStart"/>
      <w:r w:rsidRPr="00DF3A50">
        <w:rPr>
          <w:i/>
          <w:iCs/>
          <w:sz w:val="24"/>
          <w:lang w:val="sl-SI"/>
        </w:rPr>
        <w:t>Impact</w:t>
      </w:r>
      <w:proofErr w:type="spellEnd"/>
      <w:r w:rsidRPr="00DF3A50">
        <w:rPr>
          <w:sz w:val="24"/>
          <w:lang w:val="sl-SI"/>
        </w:rPr>
        <w:t xml:space="preserve"> (Modificirane poljščine, ki so odporne proti herbicidom, pleveli in herbicidi: pregled in vpliv), </w:t>
      </w:r>
      <w:proofErr w:type="spellStart"/>
      <w:r w:rsidRPr="00DF3A50">
        <w:rPr>
          <w:sz w:val="24"/>
          <w:lang w:val="sl-SI"/>
        </w:rPr>
        <w:t>Environmental</w:t>
      </w:r>
      <w:proofErr w:type="spellEnd"/>
      <w:r w:rsidRPr="00DF3A50">
        <w:rPr>
          <w:sz w:val="24"/>
          <w:lang w:val="sl-SI"/>
        </w:rPr>
        <w:t xml:space="preserve"> Management, januar 2016, 57(1), str. 31–48, </w:t>
      </w:r>
      <w:hyperlink r:id="rId20" w:history="1">
        <w:r w:rsidRPr="00DF3A50">
          <w:rPr>
            <w:rStyle w:val="Hyperlink"/>
            <w:sz w:val="24"/>
            <w:lang w:val="sl-SI"/>
          </w:rPr>
          <w:t>https://www.ncbi.nlm.nih.gov/pubmed/26296738</w:t>
        </w:r>
      </w:hyperlink>
      <w:r w:rsidRPr="00DF3A50">
        <w:rPr>
          <w:sz w:val="24"/>
          <w:lang w:val="sl-SI"/>
        </w:rPr>
        <w:t xml:space="preserve">; in </w:t>
      </w:r>
      <w:proofErr w:type="spellStart"/>
      <w:r w:rsidRPr="00DF3A50">
        <w:rPr>
          <w:sz w:val="24"/>
          <w:lang w:val="sl-SI"/>
        </w:rPr>
        <w:t>Benbrook</w:t>
      </w:r>
      <w:proofErr w:type="spellEnd"/>
      <w:r w:rsidRPr="00DF3A50">
        <w:rPr>
          <w:sz w:val="24"/>
          <w:lang w:val="sl-SI"/>
        </w:rPr>
        <w:t xml:space="preserve">, C.M., </w:t>
      </w:r>
      <w:proofErr w:type="spellStart"/>
      <w:r w:rsidRPr="00DF3A50">
        <w:rPr>
          <w:i/>
          <w:iCs/>
          <w:sz w:val="24"/>
          <w:lang w:val="sl-SI"/>
        </w:rPr>
        <w:t>Impacts</w:t>
      </w:r>
      <w:proofErr w:type="spellEnd"/>
      <w:r w:rsidRPr="00DF3A50">
        <w:rPr>
          <w:i/>
          <w:iCs/>
          <w:sz w:val="24"/>
          <w:lang w:val="sl-SI"/>
        </w:rPr>
        <w:t xml:space="preserve"> of </w:t>
      </w:r>
      <w:proofErr w:type="spellStart"/>
      <w:r w:rsidRPr="00DF3A50">
        <w:rPr>
          <w:i/>
          <w:iCs/>
          <w:sz w:val="24"/>
          <w:lang w:val="sl-SI"/>
        </w:rPr>
        <w:t>genetically</w:t>
      </w:r>
      <w:proofErr w:type="spellEnd"/>
      <w:r w:rsidRPr="00DF3A50">
        <w:rPr>
          <w:i/>
          <w:iCs/>
          <w:sz w:val="24"/>
          <w:lang w:val="sl-SI"/>
        </w:rPr>
        <w:t xml:space="preserve"> </w:t>
      </w:r>
      <w:proofErr w:type="spellStart"/>
      <w:r w:rsidRPr="00DF3A50">
        <w:rPr>
          <w:i/>
          <w:iCs/>
          <w:sz w:val="24"/>
          <w:lang w:val="sl-SI"/>
        </w:rPr>
        <w:t>engineered</w:t>
      </w:r>
      <w:proofErr w:type="spellEnd"/>
      <w:r w:rsidRPr="00DF3A50">
        <w:rPr>
          <w:i/>
          <w:iCs/>
          <w:sz w:val="24"/>
          <w:lang w:val="sl-SI"/>
        </w:rPr>
        <w:t xml:space="preserve"> </w:t>
      </w:r>
      <w:proofErr w:type="spellStart"/>
      <w:r w:rsidRPr="00DF3A50">
        <w:rPr>
          <w:i/>
          <w:iCs/>
          <w:sz w:val="24"/>
          <w:lang w:val="sl-SI"/>
        </w:rPr>
        <w:t>crops</w:t>
      </w:r>
      <w:proofErr w:type="spellEnd"/>
      <w:r w:rsidRPr="00DF3A50">
        <w:rPr>
          <w:i/>
          <w:iCs/>
          <w:sz w:val="24"/>
          <w:lang w:val="sl-SI"/>
        </w:rPr>
        <w:t xml:space="preserve"> on pesticide </w:t>
      </w:r>
      <w:proofErr w:type="spellStart"/>
      <w:proofErr w:type="gramStart"/>
      <w:r w:rsidRPr="00DF3A50">
        <w:rPr>
          <w:i/>
          <w:iCs/>
          <w:sz w:val="24"/>
          <w:lang w:val="sl-SI"/>
        </w:rPr>
        <w:t>use</w:t>
      </w:r>
      <w:proofErr w:type="spellEnd"/>
      <w:proofErr w:type="gramEnd"/>
      <w:r w:rsidRPr="00DF3A50">
        <w:rPr>
          <w:i/>
          <w:iCs/>
          <w:sz w:val="24"/>
          <w:lang w:val="sl-SI"/>
        </w:rPr>
        <w:t xml:space="preserve"> in the U.S. – the </w:t>
      </w:r>
      <w:proofErr w:type="spellStart"/>
      <w:r w:rsidRPr="00DF3A50">
        <w:rPr>
          <w:i/>
          <w:iCs/>
          <w:sz w:val="24"/>
          <w:lang w:val="sl-SI"/>
        </w:rPr>
        <w:t>first</w:t>
      </w:r>
      <w:proofErr w:type="spellEnd"/>
      <w:r w:rsidRPr="00DF3A50">
        <w:rPr>
          <w:i/>
          <w:iCs/>
          <w:sz w:val="24"/>
          <w:lang w:val="sl-SI"/>
        </w:rPr>
        <w:t xml:space="preserve"> </w:t>
      </w:r>
      <w:proofErr w:type="spellStart"/>
      <w:r w:rsidRPr="00DF3A50">
        <w:rPr>
          <w:i/>
          <w:iCs/>
          <w:sz w:val="24"/>
          <w:lang w:val="sl-SI"/>
        </w:rPr>
        <w:t>sixteen</w:t>
      </w:r>
      <w:proofErr w:type="spellEnd"/>
      <w:r w:rsidRPr="00DF3A50">
        <w:rPr>
          <w:i/>
          <w:iCs/>
          <w:sz w:val="24"/>
          <w:lang w:val="sl-SI"/>
        </w:rPr>
        <w:t xml:space="preserve"> </w:t>
      </w:r>
      <w:proofErr w:type="spellStart"/>
      <w:r w:rsidRPr="00DF3A50">
        <w:rPr>
          <w:i/>
          <w:iCs/>
          <w:sz w:val="24"/>
          <w:lang w:val="sl-SI"/>
        </w:rPr>
        <w:t>years</w:t>
      </w:r>
      <w:proofErr w:type="spellEnd"/>
      <w:r w:rsidRPr="00DF3A50">
        <w:rPr>
          <w:sz w:val="24"/>
          <w:lang w:val="sl-SI"/>
        </w:rPr>
        <w:t xml:space="preserve"> (Učinek gensko spremenjenih poljščin na pesticide v ZDA – prvih šestnajst let), </w:t>
      </w:r>
      <w:proofErr w:type="spellStart"/>
      <w:r w:rsidRPr="00DF3A50">
        <w:rPr>
          <w:sz w:val="24"/>
          <w:lang w:val="sl-SI"/>
        </w:rPr>
        <w:t>Environmental</w:t>
      </w:r>
      <w:proofErr w:type="spellEnd"/>
      <w:r w:rsidRPr="00DF3A50">
        <w:rPr>
          <w:sz w:val="24"/>
          <w:lang w:val="sl-SI"/>
        </w:rPr>
        <w:t xml:space="preserve"> </w:t>
      </w:r>
      <w:proofErr w:type="spellStart"/>
      <w:r w:rsidRPr="00DF3A50">
        <w:rPr>
          <w:sz w:val="24"/>
          <w:lang w:val="sl-SI"/>
        </w:rPr>
        <w:t>Sciences</w:t>
      </w:r>
      <w:proofErr w:type="spellEnd"/>
      <w:r w:rsidRPr="00DF3A50">
        <w:rPr>
          <w:sz w:val="24"/>
          <w:lang w:val="sl-SI"/>
        </w:rPr>
        <w:t xml:space="preserve"> Europe, 28. september 2012, zvezek 24(24), </w:t>
      </w:r>
      <w:hyperlink r:id="rId21" w:history="1">
        <w:r w:rsidRPr="00DF3A50">
          <w:rPr>
            <w:rStyle w:val="Hyperlink"/>
            <w:sz w:val="24"/>
            <w:lang w:val="sl-SI"/>
          </w:rPr>
          <w:t>https://doi.org/10.1186/2190-4715-24-24</w:t>
        </w:r>
      </w:hyperlink>
      <w:r w:rsidRPr="00DF3A50">
        <w:rPr>
          <w:sz w:val="24"/>
          <w:lang w:val="sl-SI"/>
        </w:rPr>
        <w:t>.</w:t>
      </w:r>
    </w:p>
  </w:footnote>
  <w:footnote w:id="11">
    <w:p w14:paraId="4A4540BC" w14:textId="3F497513" w:rsidR="001B2825" w:rsidRPr="00DF3A50" w:rsidRDefault="001B2825" w:rsidP="00DF3A50">
      <w:pPr>
        <w:pStyle w:val="FootnoteText"/>
        <w:ind w:left="567" w:hanging="567"/>
        <w:rPr>
          <w:sz w:val="24"/>
          <w:lang w:val="sl-SI"/>
        </w:rPr>
      </w:pPr>
      <w:r w:rsidRPr="00DF3A50">
        <w:rPr>
          <w:rStyle w:val="FootnoteReference"/>
          <w:sz w:val="24"/>
          <w:lang w:val="sl-SI"/>
        </w:rPr>
        <w:footnoteRef/>
      </w:r>
      <w:r w:rsidR="00DF3A50" w:rsidRPr="00DF3A50">
        <w:rPr>
          <w:sz w:val="24"/>
          <w:lang w:val="sl-SI"/>
        </w:rPr>
        <w:t xml:space="preserve"> </w:t>
      </w:r>
      <w:r w:rsidR="00DF3A50" w:rsidRPr="00DF3A50">
        <w:rPr>
          <w:sz w:val="24"/>
          <w:lang w:val="sl-SI"/>
        </w:rPr>
        <w:tab/>
      </w:r>
      <w:r w:rsidRPr="00DF3A50">
        <w:rPr>
          <w:sz w:val="24"/>
          <w:lang w:val="sl-SI"/>
        </w:rPr>
        <w:t>Za pregled gl. Rubio-Infante, N., Moreno-</w:t>
      </w:r>
      <w:proofErr w:type="spellStart"/>
      <w:r w:rsidRPr="00DF3A50">
        <w:rPr>
          <w:sz w:val="24"/>
          <w:lang w:val="sl-SI"/>
        </w:rPr>
        <w:t>Fierros</w:t>
      </w:r>
      <w:proofErr w:type="spellEnd"/>
      <w:r w:rsidRPr="00DF3A50">
        <w:rPr>
          <w:sz w:val="24"/>
          <w:lang w:val="sl-SI"/>
        </w:rPr>
        <w:t xml:space="preserve">, L., </w:t>
      </w:r>
      <w:r w:rsidRPr="00DF3A50">
        <w:rPr>
          <w:i/>
          <w:iCs/>
          <w:sz w:val="24"/>
          <w:lang w:val="sl-SI"/>
        </w:rPr>
        <w:t xml:space="preserve">An </w:t>
      </w:r>
      <w:proofErr w:type="spellStart"/>
      <w:r w:rsidRPr="00DF3A50">
        <w:rPr>
          <w:i/>
          <w:iCs/>
          <w:sz w:val="24"/>
          <w:lang w:val="sl-SI"/>
        </w:rPr>
        <w:t>overview</w:t>
      </w:r>
      <w:proofErr w:type="spellEnd"/>
      <w:r w:rsidRPr="00DF3A50">
        <w:rPr>
          <w:i/>
          <w:iCs/>
          <w:sz w:val="24"/>
          <w:lang w:val="sl-SI"/>
        </w:rPr>
        <w:t xml:space="preserve"> of the </w:t>
      </w:r>
      <w:proofErr w:type="spellStart"/>
      <w:r w:rsidRPr="00DF3A50">
        <w:rPr>
          <w:i/>
          <w:iCs/>
          <w:sz w:val="24"/>
          <w:lang w:val="sl-SI"/>
        </w:rPr>
        <w:t>safety</w:t>
      </w:r>
      <w:proofErr w:type="spellEnd"/>
      <w:r w:rsidRPr="00DF3A50">
        <w:rPr>
          <w:i/>
          <w:iCs/>
          <w:sz w:val="24"/>
          <w:lang w:val="sl-SI"/>
        </w:rPr>
        <w:t xml:space="preserve"> and </w:t>
      </w:r>
      <w:proofErr w:type="spellStart"/>
      <w:r w:rsidRPr="00DF3A50">
        <w:rPr>
          <w:i/>
          <w:iCs/>
          <w:sz w:val="24"/>
          <w:lang w:val="sl-SI"/>
        </w:rPr>
        <w:t>biological</w:t>
      </w:r>
      <w:proofErr w:type="spellEnd"/>
      <w:r w:rsidRPr="00DF3A50">
        <w:rPr>
          <w:i/>
          <w:iCs/>
          <w:sz w:val="24"/>
          <w:lang w:val="sl-SI"/>
        </w:rPr>
        <w:t xml:space="preserve"> </w:t>
      </w:r>
      <w:proofErr w:type="spellStart"/>
      <w:r w:rsidRPr="00DF3A50">
        <w:rPr>
          <w:i/>
          <w:iCs/>
          <w:sz w:val="24"/>
          <w:lang w:val="sl-SI"/>
        </w:rPr>
        <w:t>effects</w:t>
      </w:r>
      <w:proofErr w:type="spellEnd"/>
      <w:r w:rsidRPr="00DF3A50">
        <w:rPr>
          <w:i/>
          <w:iCs/>
          <w:sz w:val="24"/>
          <w:lang w:val="sl-SI"/>
        </w:rPr>
        <w:t xml:space="preserve"> of </w:t>
      </w:r>
      <w:proofErr w:type="spellStart"/>
      <w:r w:rsidRPr="00DF3A50">
        <w:rPr>
          <w:i/>
          <w:iCs/>
          <w:sz w:val="24"/>
          <w:lang w:val="sl-SI"/>
        </w:rPr>
        <w:t>Bacillus</w:t>
      </w:r>
      <w:proofErr w:type="spellEnd"/>
      <w:r w:rsidRPr="00DF3A50">
        <w:rPr>
          <w:i/>
          <w:iCs/>
          <w:sz w:val="24"/>
          <w:lang w:val="sl-SI"/>
        </w:rPr>
        <w:t xml:space="preserve"> </w:t>
      </w:r>
      <w:proofErr w:type="spellStart"/>
      <w:r w:rsidRPr="00DF3A50">
        <w:rPr>
          <w:i/>
          <w:iCs/>
          <w:sz w:val="24"/>
          <w:lang w:val="sl-SI"/>
        </w:rPr>
        <w:t>thuringiensis</w:t>
      </w:r>
      <w:proofErr w:type="spellEnd"/>
      <w:r w:rsidRPr="00DF3A50">
        <w:rPr>
          <w:i/>
          <w:iCs/>
          <w:sz w:val="24"/>
          <w:lang w:val="sl-SI"/>
        </w:rPr>
        <w:t> </w:t>
      </w:r>
      <w:proofErr w:type="spellStart"/>
      <w:r w:rsidRPr="00DF3A50">
        <w:rPr>
          <w:i/>
          <w:iCs/>
          <w:sz w:val="24"/>
          <w:lang w:val="sl-SI"/>
        </w:rPr>
        <w:t>Cry</w:t>
      </w:r>
      <w:proofErr w:type="spellEnd"/>
      <w:r w:rsidRPr="00DF3A50">
        <w:rPr>
          <w:i/>
          <w:iCs/>
          <w:sz w:val="24"/>
          <w:lang w:val="sl-SI"/>
        </w:rPr>
        <w:t xml:space="preserve"> </w:t>
      </w:r>
      <w:proofErr w:type="spellStart"/>
      <w:r w:rsidRPr="00DF3A50">
        <w:rPr>
          <w:i/>
          <w:iCs/>
          <w:sz w:val="24"/>
          <w:lang w:val="sl-SI"/>
        </w:rPr>
        <w:t>toxins</w:t>
      </w:r>
      <w:proofErr w:type="spellEnd"/>
      <w:r w:rsidRPr="00DF3A50">
        <w:rPr>
          <w:i/>
          <w:iCs/>
          <w:sz w:val="24"/>
          <w:lang w:val="sl-SI"/>
        </w:rPr>
        <w:t xml:space="preserve"> in </w:t>
      </w:r>
      <w:proofErr w:type="spellStart"/>
      <w:r w:rsidRPr="00DF3A50">
        <w:rPr>
          <w:i/>
          <w:iCs/>
          <w:sz w:val="24"/>
          <w:lang w:val="sl-SI"/>
        </w:rPr>
        <w:t>mammals</w:t>
      </w:r>
      <w:proofErr w:type="spellEnd"/>
      <w:r w:rsidRPr="00DF3A50">
        <w:rPr>
          <w:sz w:val="24"/>
          <w:lang w:val="sl-SI"/>
        </w:rPr>
        <w:t xml:space="preserve"> (Pregled varnosti in bioloških učinkov toksinov </w:t>
      </w:r>
      <w:proofErr w:type="spellStart"/>
      <w:r w:rsidRPr="00DF3A50">
        <w:rPr>
          <w:sz w:val="24"/>
          <w:lang w:val="sl-SI"/>
        </w:rPr>
        <w:t>Cry</w:t>
      </w:r>
      <w:proofErr w:type="spellEnd"/>
      <w:r w:rsidRPr="00DF3A50">
        <w:rPr>
          <w:sz w:val="24"/>
          <w:lang w:val="sl-SI"/>
        </w:rPr>
        <w:t xml:space="preserve"> bakterije </w:t>
      </w:r>
      <w:proofErr w:type="spellStart"/>
      <w:r w:rsidRPr="00DF3A50">
        <w:rPr>
          <w:sz w:val="24"/>
          <w:lang w:val="sl-SI"/>
        </w:rPr>
        <w:t>Bacillus</w:t>
      </w:r>
      <w:proofErr w:type="spellEnd"/>
      <w:r w:rsidRPr="00DF3A50">
        <w:rPr>
          <w:sz w:val="24"/>
          <w:lang w:val="sl-SI"/>
        </w:rPr>
        <w:t xml:space="preserve"> </w:t>
      </w:r>
      <w:proofErr w:type="spellStart"/>
      <w:r w:rsidRPr="00DF3A50">
        <w:rPr>
          <w:sz w:val="24"/>
          <w:lang w:val="sl-SI"/>
        </w:rPr>
        <w:t>thuringiensis</w:t>
      </w:r>
      <w:proofErr w:type="spellEnd"/>
      <w:r w:rsidRPr="00DF3A50">
        <w:rPr>
          <w:sz w:val="24"/>
          <w:lang w:val="sl-SI"/>
        </w:rPr>
        <w:t xml:space="preserve"> na sesalce), Journal of </w:t>
      </w:r>
      <w:proofErr w:type="spellStart"/>
      <w:r w:rsidRPr="00DF3A50">
        <w:rPr>
          <w:sz w:val="24"/>
          <w:lang w:val="sl-SI"/>
        </w:rPr>
        <w:t>Applied</w:t>
      </w:r>
      <w:proofErr w:type="spellEnd"/>
      <w:r w:rsidRPr="00DF3A50">
        <w:rPr>
          <w:sz w:val="24"/>
          <w:lang w:val="sl-SI"/>
        </w:rPr>
        <w:t xml:space="preserve"> </w:t>
      </w:r>
      <w:proofErr w:type="spellStart"/>
      <w:r w:rsidRPr="00DF3A50">
        <w:rPr>
          <w:sz w:val="24"/>
          <w:lang w:val="sl-SI"/>
        </w:rPr>
        <w:t>Toxicology</w:t>
      </w:r>
      <w:proofErr w:type="spellEnd"/>
      <w:r w:rsidRPr="00DF3A50">
        <w:rPr>
          <w:sz w:val="24"/>
          <w:lang w:val="sl-SI"/>
        </w:rPr>
        <w:t xml:space="preserve">, maj 2016, 36(5), str. 630–648, </w:t>
      </w:r>
      <w:hyperlink r:id="rId22" w:history="1">
        <w:r w:rsidRPr="00DF3A50">
          <w:rPr>
            <w:rStyle w:val="Hyperlink"/>
            <w:sz w:val="24"/>
            <w:lang w:val="sl-SI"/>
          </w:rPr>
          <w:t>https://onlinelibrary.wiley.com/doi/full/10.1002/jat.3252</w:t>
        </w:r>
      </w:hyperlink>
      <w:r w:rsidRPr="00DF3A50">
        <w:rPr>
          <w:sz w:val="24"/>
          <w:lang w:val="sl-SI"/>
        </w:rPr>
        <w:t>.</w:t>
      </w:r>
    </w:p>
  </w:footnote>
  <w:footnote w:id="12">
    <w:p w14:paraId="5DD14C81" w14:textId="44805144" w:rsidR="001B2825" w:rsidRPr="00DF3A50" w:rsidRDefault="001B2825" w:rsidP="00DF3A50">
      <w:pPr>
        <w:pStyle w:val="FootnoteText"/>
        <w:ind w:left="567" w:hanging="567"/>
        <w:rPr>
          <w:sz w:val="24"/>
          <w:lang w:val="sl-SI"/>
        </w:rPr>
      </w:pPr>
      <w:r w:rsidRPr="00DF3A50">
        <w:rPr>
          <w:rStyle w:val="FootnoteReference"/>
          <w:sz w:val="24"/>
          <w:lang w:val="sl-SI"/>
        </w:rPr>
        <w:footnoteRef/>
      </w:r>
      <w:r w:rsidR="00DF3A50" w:rsidRPr="00DF3A50">
        <w:rPr>
          <w:sz w:val="24"/>
          <w:lang w:val="sl-SI"/>
        </w:rPr>
        <w:t xml:space="preserve"> </w:t>
      </w:r>
      <w:r w:rsidR="00DF3A50" w:rsidRPr="00DF3A50">
        <w:rPr>
          <w:sz w:val="24"/>
          <w:lang w:val="sl-SI"/>
        </w:rPr>
        <w:tab/>
      </w:r>
      <w:proofErr w:type="spellStart"/>
      <w:r w:rsidRPr="00DF3A50">
        <w:rPr>
          <w:sz w:val="24"/>
          <w:lang w:val="sl-SI"/>
        </w:rPr>
        <w:t>Bøhn</w:t>
      </w:r>
      <w:proofErr w:type="spellEnd"/>
      <w:r w:rsidRPr="00DF3A50">
        <w:rPr>
          <w:sz w:val="24"/>
          <w:lang w:val="sl-SI"/>
        </w:rPr>
        <w:t xml:space="preserve">, T., </w:t>
      </w:r>
      <w:proofErr w:type="spellStart"/>
      <w:r w:rsidRPr="00DF3A50">
        <w:rPr>
          <w:sz w:val="24"/>
          <w:lang w:val="sl-SI"/>
        </w:rPr>
        <w:t>Macagnan</w:t>
      </w:r>
      <w:proofErr w:type="spellEnd"/>
      <w:r w:rsidRPr="00DF3A50">
        <w:rPr>
          <w:sz w:val="24"/>
          <w:lang w:val="sl-SI"/>
        </w:rPr>
        <w:t xml:space="preserve"> Rover, C., </w:t>
      </w:r>
      <w:proofErr w:type="spellStart"/>
      <w:r w:rsidRPr="00DF3A50">
        <w:rPr>
          <w:sz w:val="24"/>
          <w:lang w:val="sl-SI"/>
        </w:rPr>
        <w:t>Semenchuk</w:t>
      </w:r>
      <w:proofErr w:type="spellEnd"/>
      <w:r w:rsidRPr="00DF3A50">
        <w:rPr>
          <w:sz w:val="24"/>
          <w:lang w:val="sl-SI"/>
        </w:rPr>
        <w:t xml:space="preserve">, P. R., </w:t>
      </w:r>
      <w:proofErr w:type="spellStart"/>
      <w:r w:rsidRPr="00DF3A50">
        <w:rPr>
          <w:i/>
          <w:iCs/>
          <w:sz w:val="24"/>
          <w:lang w:val="sl-SI"/>
        </w:rPr>
        <w:t>Daphnia</w:t>
      </w:r>
      <w:proofErr w:type="spellEnd"/>
      <w:r w:rsidRPr="00DF3A50">
        <w:rPr>
          <w:i/>
          <w:iCs/>
          <w:sz w:val="24"/>
          <w:lang w:val="sl-SI"/>
        </w:rPr>
        <w:t xml:space="preserve"> </w:t>
      </w:r>
      <w:proofErr w:type="spellStart"/>
      <w:proofErr w:type="gramStart"/>
      <w:r w:rsidRPr="00DF3A50">
        <w:rPr>
          <w:i/>
          <w:iCs/>
          <w:sz w:val="24"/>
          <w:lang w:val="sl-SI"/>
        </w:rPr>
        <w:t>magna</w:t>
      </w:r>
      <w:proofErr w:type="spellEnd"/>
      <w:proofErr w:type="gramEnd"/>
      <w:r w:rsidRPr="00DF3A50">
        <w:rPr>
          <w:i/>
          <w:iCs/>
          <w:sz w:val="24"/>
          <w:lang w:val="sl-SI"/>
        </w:rPr>
        <w:t xml:space="preserve"> </w:t>
      </w:r>
      <w:proofErr w:type="spellStart"/>
      <w:r w:rsidRPr="00DF3A50">
        <w:rPr>
          <w:i/>
          <w:iCs/>
          <w:sz w:val="24"/>
          <w:lang w:val="sl-SI"/>
        </w:rPr>
        <w:t>negatively</w:t>
      </w:r>
      <w:proofErr w:type="spellEnd"/>
      <w:r w:rsidRPr="00DF3A50">
        <w:rPr>
          <w:i/>
          <w:iCs/>
          <w:sz w:val="24"/>
          <w:lang w:val="sl-SI"/>
        </w:rPr>
        <w:t xml:space="preserve"> </w:t>
      </w:r>
      <w:proofErr w:type="spellStart"/>
      <w:r w:rsidRPr="00DF3A50">
        <w:rPr>
          <w:i/>
          <w:iCs/>
          <w:sz w:val="24"/>
          <w:lang w:val="sl-SI"/>
        </w:rPr>
        <w:t>affected</w:t>
      </w:r>
      <w:proofErr w:type="spellEnd"/>
      <w:r w:rsidRPr="00DF3A50">
        <w:rPr>
          <w:i/>
          <w:iCs/>
          <w:sz w:val="24"/>
          <w:lang w:val="sl-SI"/>
        </w:rPr>
        <w:t xml:space="preserve"> </w:t>
      </w:r>
      <w:proofErr w:type="spellStart"/>
      <w:r w:rsidRPr="00DF3A50">
        <w:rPr>
          <w:i/>
          <w:iCs/>
          <w:sz w:val="24"/>
          <w:lang w:val="sl-SI"/>
        </w:rPr>
        <w:t>by</w:t>
      </w:r>
      <w:proofErr w:type="spellEnd"/>
      <w:r w:rsidRPr="00DF3A50">
        <w:rPr>
          <w:i/>
          <w:iCs/>
          <w:sz w:val="24"/>
          <w:lang w:val="sl-SI"/>
        </w:rPr>
        <w:t xml:space="preserve"> </w:t>
      </w:r>
      <w:proofErr w:type="spellStart"/>
      <w:r w:rsidRPr="00DF3A50">
        <w:rPr>
          <w:i/>
          <w:iCs/>
          <w:sz w:val="24"/>
          <w:lang w:val="sl-SI"/>
        </w:rPr>
        <w:t>chronic</w:t>
      </w:r>
      <w:proofErr w:type="spellEnd"/>
      <w:r w:rsidRPr="00DF3A50">
        <w:rPr>
          <w:i/>
          <w:iCs/>
          <w:sz w:val="24"/>
          <w:lang w:val="sl-SI"/>
        </w:rPr>
        <w:t xml:space="preserve"> </w:t>
      </w:r>
      <w:proofErr w:type="spellStart"/>
      <w:r w:rsidRPr="00DF3A50">
        <w:rPr>
          <w:i/>
          <w:iCs/>
          <w:sz w:val="24"/>
          <w:lang w:val="sl-SI"/>
        </w:rPr>
        <w:t>exposure</w:t>
      </w:r>
      <w:proofErr w:type="spellEnd"/>
      <w:r w:rsidRPr="00DF3A50">
        <w:rPr>
          <w:i/>
          <w:iCs/>
          <w:sz w:val="24"/>
          <w:lang w:val="sl-SI"/>
        </w:rPr>
        <w:t xml:space="preserve"> to </w:t>
      </w:r>
      <w:proofErr w:type="spellStart"/>
      <w:r w:rsidRPr="00DF3A50">
        <w:rPr>
          <w:i/>
          <w:iCs/>
          <w:sz w:val="24"/>
          <w:lang w:val="sl-SI"/>
        </w:rPr>
        <w:t>purified</w:t>
      </w:r>
      <w:proofErr w:type="spellEnd"/>
      <w:r w:rsidRPr="00DF3A50">
        <w:rPr>
          <w:i/>
          <w:iCs/>
          <w:sz w:val="24"/>
          <w:lang w:val="sl-SI"/>
        </w:rPr>
        <w:t xml:space="preserve"> </w:t>
      </w:r>
      <w:proofErr w:type="spellStart"/>
      <w:r w:rsidRPr="00DF3A50">
        <w:rPr>
          <w:i/>
          <w:iCs/>
          <w:sz w:val="24"/>
          <w:lang w:val="sl-SI"/>
        </w:rPr>
        <w:t>Cry</w:t>
      </w:r>
      <w:proofErr w:type="spellEnd"/>
      <w:r w:rsidRPr="00DF3A50">
        <w:rPr>
          <w:i/>
          <w:iCs/>
          <w:sz w:val="24"/>
          <w:lang w:val="sl-SI"/>
        </w:rPr>
        <w:t>-</w:t>
      </w:r>
      <w:proofErr w:type="spellStart"/>
      <w:r w:rsidRPr="00DF3A50">
        <w:rPr>
          <w:i/>
          <w:iCs/>
          <w:sz w:val="24"/>
          <w:lang w:val="sl-SI"/>
        </w:rPr>
        <w:t>toxins</w:t>
      </w:r>
      <w:proofErr w:type="spellEnd"/>
      <w:r w:rsidRPr="00DF3A50">
        <w:rPr>
          <w:sz w:val="24"/>
          <w:lang w:val="sl-SI"/>
        </w:rPr>
        <w:t xml:space="preserve"> (Negativni učinek kronične izpostavljenosti prečiščenim toksinom </w:t>
      </w:r>
      <w:proofErr w:type="spellStart"/>
      <w:r w:rsidRPr="00DF3A50">
        <w:rPr>
          <w:sz w:val="24"/>
          <w:lang w:val="sl-SI"/>
        </w:rPr>
        <w:t>Cry</w:t>
      </w:r>
      <w:proofErr w:type="spellEnd"/>
      <w:r w:rsidRPr="00DF3A50">
        <w:rPr>
          <w:sz w:val="24"/>
          <w:lang w:val="sl-SI"/>
        </w:rPr>
        <w:t xml:space="preserve"> na </w:t>
      </w:r>
      <w:proofErr w:type="spellStart"/>
      <w:r w:rsidRPr="00DF3A50">
        <w:rPr>
          <w:sz w:val="24"/>
          <w:lang w:val="sl-SI"/>
        </w:rPr>
        <w:t>Daphnia</w:t>
      </w:r>
      <w:proofErr w:type="spellEnd"/>
      <w:r w:rsidRPr="00DF3A50">
        <w:rPr>
          <w:sz w:val="24"/>
          <w:lang w:val="sl-SI"/>
        </w:rPr>
        <w:t xml:space="preserve"> </w:t>
      </w:r>
      <w:proofErr w:type="spellStart"/>
      <w:r w:rsidRPr="00DF3A50">
        <w:rPr>
          <w:sz w:val="24"/>
          <w:lang w:val="sl-SI"/>
        </w:rPr>
        <w:t>magna</w:t>
      </w:r>
      <w:proofErr w:type="spellEnd"/>
      <w:r w:rsidRPr="00DF3A50">
        <w:rPr>
          <w:sz w:val="24"/>
          <w:lang w:val="sl-SI"/>
        </w:rPr>
        <w:t xml:space="preserve">), Food and </w:t>
      </w:r>
      <w:proofErr w:type="spellStart"/>
      <w:r w:rsidRPr="00DF3A50">
        <w:rPr>
          <w:sz w:val="24"/>
          <w:lang w:val="sl-SI"/>
        </w:rPr>
        <w:t>Chemical</w:t>
      </w:r>
      <w:proofErr w:type="spellEnd"/>
      <w:r w:rsidRPr="00DF3A50">
        <w:rPr>
          <w:sz w:val="24"/>
          <w:lang w:val="sl-SI"/>
        </w:rPr>
        <w:t xml:space="preserve"> </w:t>
      </w:r>
      <w:proofErr w:type="spellStart"/>
      <w:r w:rsidRPr="00DF3A50">
        <w:rPr>
          <w:sz w:val="24"/>
          <w:lang w:val="sl-SI"/>
        </w:rPr>
        <w:t>Toxicology</w:t>
      </w:r>
      <w:proofErr w:type="spellEnd"/>
      <w:r w:rsidRPr="00DF3A50">
        <w:rPr>
          <w:sz w:val="24"/>
          <w:lang w:val="sl-SI"/>
        </w:rPr>
        <w:t xml:space="preserve">, maj 2016, zvezek 91, str. 130–140, </w:t>
      </w:r>
      <w:hyperlink r:id="rId23" w:history="1">
        <w:r w:rsidRPr="00DF3A50">
          <w:rPr>
            <w:rStyle w:val="Hyperlink"/>
            <w:sz w:val="24"/>
            <w:lang w:val="sl-SI"/>
          </w:rPr>
          <w:t>https://doi.org/10.1016/j.fct.2016.03.009</w:t>
        </w:r>
      </w:hyperlink>
      <w:r w:rsidRPr="00DF3A50">
        <w:rPr>
          <w:sz w:val="24"/>
          <w:lang w:val="sl-SI"/>
        </w:rPr>
        <w:t>.</w:t>
      </w:r>
    </w:p>
  </w:footnote>
  <w:footnote w:id="13">
    <w:p w14:paraId="4170D365" w14:textId="38A51CFA" w:rsidR="001B2825" w:rsidRPr="00DF3A50" w:rsidRDefault="001B2825" w:rsidP="00DF3A50">
      <w:pPr>
        <w:pStyle w:val="FootnoteText"/>
        <w:ind w:left="567" w:hanging="567"/>
        <w:rPr>
          <w:sz w:val="24"/>
          <w:lang w:val="sl-SI"/>
        </w:rPr>
      </w:pPr>
      <w:r w:rsidRPr="00DF3A50">
        <w:rPr>
          <w:rStyle w:val="FootnoteReference"/>
          <w:sz w:val="24"/>
          <w:lang w:val="sl-SI"/>
        </w:rPr>
        <w:footnoteRef/>
      </w:r>
      <w:r w:rsidR="00DF3A50" w:rsidRPr="00DF3A50">
        <w:rPr>
          <w:sz w:val="24"/>
          <w:lang w:val="sl-SI"/>
        </w:rPr>
        <w:t xml:space="preserve"> </w:t>
      </w:r>
      <w:r w:rsidR="00DF3A50" w:rsidRPr="00DF3A50">
        <w:rPr>
          <w:sz w:val="24"/>
          <w:lang w:val="sl-SI"/>
        </w:rPr>
        <w:tab/>
      </w:r>
      <w:proofErr w:type="spellStart"/>
      <w:r w:rsidRPr="00DF3A50">
        <w:rPr>
          <w:sz w:val="24"/>
          <w:lang w:val="sl-SI"/>
        </w:rPr>
        <w:t>Trtikova</w:t>
      </w:r>
      <w:proofErr w:type="spellEnd"/>
      <w:r w:rsidRPr="00DF3A50">
        <w:rPr>
          <w:sz w:val="24"/>
          <w:lang w:val="sl-SI"/>
        </w:rPr>
        <w:t xml:space="preserve">, M., </w:t>
      </w:r>
      <w:proofErr w:type="spellStart"/>
      <w:r w:rsidRPr="00DF3A50">
        <w:rPr>
          <w:sz w:val="24"/>
          <w:lang w:val="sl-SI"/>
        </w:rPr>
        <w:t>Lohn</w:t>
      </w:r>
      <w:proofErr w:type="spellEnd"/>
      <w:r w:rsidRPr="00DF3A50">
        <w:rPr>
          <w:sz w:val="24"/>
          <w:lang w:val="sl-SI"/>
        </w:rPr>
        <w:t xml:space="preserve">, A., </w:t>
      </w:r>
      <w:proofErr w:type="spellStart"/>
      <w:r w:rsidRPr="00DF3A50">
        <w:rPr>
          <w:sz w:val="24"/>
          <w:lang w:val="sl-SI"/>
        </w:rPr>
        <w:t>Binimelis</w:t>
      </w:r>
      <w:proofErr w:type="spellEnd"/>
      <w:r w:rsidRPr="00DF3A50">
        <w:rPr>
          <w:sz w:val="24"/>
          <w:lang w:val="sl-SI"/>
        </w:rPr>
        <w:t xml:space="preserve">, R., </w:t>
      </w:r>
      <w:proofErr w:type="spellStart"/>
      <w:r w:rsidRPr="00DF3A50">
        <w:rPr>
          <w:sz w:val="24"/>
          <w:lang w:val="sl-SI"/>
        </w:rPr>
        <w:t>Chapela</w:t>
      </w:r>
      <w:proofErr w:type="spellEnd"/>
      <w:r w:rsidRPr="00DF3A50">
        <w:rPr>
          <w:sz w:val="24"/>
          <w:lang w:val="sl-SI"/>
        </w:rPr>
        <w:t xml:space="preserve">, I., </w:t>
      </w:r>
      <w:proofErr w:type="spellStart"/>
      <w:r w:rsidRPr="00DF3A50">
        <w:rPr>
          <w:sz w:val="24"/>
          <w:lang w:val="sl-SI"/>
        </w:rPr>
        <w:t>Oehen</w:t>
      </w:r>
      <w:proofErr w:type="spellEnd"/>
      <w:r w:rsidRPr="00DF3A50">
        <w:rPr>
          <w:sz w:val="24"/>
          <w:lang w:val="sl-SI"/>
        </w:rPr>
        <w:t xml:space="preserve">, B., Zemp, N., Widmer, A., Hilbeck, A., (2017), </w:t>
      </w:r>
      <w:proofErr w:type="spellStart"/>
      <w:r w:rsidRPr="00DF3A50">
        <w:rPr>
          <w:i/>
          <w:iCs/>
          <w:sz w:val="24"/>
          <w:lang w:val="sl-SI"/>
        </w:rPr>
        <w:t>Teosinte</w:t>
      </w:r>
      <w:proofErr w:type="spellEnd"/>
      <w:r w:rsidRPr="00DF3A50">
        <w:rPr>
          <w:i/>
          <w:iCs/>
          <w:sz w:val="24"/>
          <w:lang w:val="sl-SI"/>
        </w:rPr>
        <w:t xml:space="preserve"> in Europe – </w:t>
      </w:r>
      <w:proofErr w:type="spellStart"/>
      <w:r w:rsidRPr="00DF3A50">
        <w:rPr>
          <w:i/>
          <w:iCs/>
          <w:sz w:val="24"/>
          <w:lang w:val="sl-SI"/>
        </w:rPr>
        <w:t>Searching</w:t>
      </w:r>
      <w:proofErr w:type="spellEnd"/>
      <w:r w:rsidRPr="00DF3A50">
        <w:rPr>
          <w:i/>
          <w:iCs/>
          <w:sz w:val="24"/>
          <w:lang w:val="sl-SI"/>
        </w:rPr>
        <w:t xml:space="preserve"> for the Origin of</w:t>
      </w:r>
      <w:proofErr w:type="gramStart"/>
      <w:r w:rsidRPr="00DF3A50">
        <w:rPr>
          <w:i/>
          <w:iCs/>
          <w:sz w:val="24"/>
          <w:lang w:val="sl-SI"/>
        </w:rPr>
        <w:t xml:space="preserve"> a</w:t>
      </w:r>
      <w:proofErr w:type="gramEnd"/>
      <w:r w:rsidRPr="00DF3A50">
        <w:rPr>
          <w:i/>
          <w:iCs/>
          <w:sz w:val="24"/>
          <w:lang w:val="sl-SI"/>
        </w:rPr>
        <w:t xml:space="preserve"> Novel Weed</w:t>
      </w:r>
      <w:r w:rsidRPr="00DF3A50">
        <w:rPr>
          <w:sz w:val="24"/>
          <w:lang w:val="sl-SI"/>
        </w:rPr>
        <w:t xml:space="preserve"> (</w:t>
      </w:r>
      <w:proofErr w:type="spellStart"/>
      <w:r w:rsidRPr="00DF3A50">
        <w:rPr>
          <w:sz w:val="24"/>
          <w:lang w:val="sl-SI"/>
        </w:rPr>
        <w:t>Teozint</w:t>
      </w:r>
      <w:proofErr w:type="spellEnd"/>
      <w:r w:rsidRPr="00DF3A50">
        <w:rPr>
          <w:sz w:val="24"/>
          <w:lang w:val="sl-SI"/>
        </w:rPr>
        <w:t xml:space="preserve"> v Evropi – Iskanje izvora novega plevela), </w:t>
      </w:r>
      <w:proofErr w:type="spellStart"/>
      <w:r w:rsidRPr="00DF3A50">
        <w:rPr>
          <w:sz w:val="24"/>
          <w:lang w:val="sl-SI"/>
        </w:rPr>
        <w:t>Scientific</w:t>
      </w:r>
      <w:proofErr w:type="spellEnd"/>
      <w:r w:rsidRPr="00DF3A50">
        <w:rPr>
          <w:sz w:val="24"/>
          <w:lang w:val="sl-SI"/>
        </w:rPr>
        <w:t xml:space="preserve"> </w:t>
      </w:r>
      <w:proofErr w:type="spellStart"/>
      <w:r w:rsidRPr="00DF3A50">
        <w:rPr>
          <w:sz w:val="24"/>
          <w:lang w:val="sl-SI"/>
        </w:rPr>
        <w:t>Reports</w:t>
      </w:r>
      <w:proofErr w:type="spellEnd"/>
      <w:r w:rsidRPr="00DF3A50">
        <w:rPr>
          <w:sz w:val="24"/>
          <w:lang w:val="sl-SI"/>
        </w:rPr>
        <w:t xml:space="preserve">, 7:1560, </w:t>
      </w:r>
      <w:hyperlink r:id="rId24" w:history="1">
        <w:r w:rsidRPr="00DF3A50">
          <w:rPr>
            <w:rStyle w:val="Hyperlink"/>
            <w:sz w:val="24"/>
            <w:lang w:val="sl-SI"/>
          </w:rPr>
          <w:t>https://doi.org/10.1038/s41598-017-01478-w</w:t>
        </w:r>
      </w:hyperlink>
      <w:r w:rsidRPr="00DF3A50">
        <w:rPr>
          <w:sz w:val="24"/>
          <w:lang w:val="sl-SI"/>
        </w:rPr>
        <w:t>.</w:t>
      </w:r>
    </w:p>
  </w:footnote>
  <w:footnote w:id="14">
    <w:p w14:paraId="206A9E10" w14:textId="297F465D" w:rsidR="001B2825" w:rsidRPr="00DF3A50" w:rsidRDefault="001B2825" w:rsidP="00DF3A50">
      <w:pPr>
        <w:pStyle w:val="FootnoteText"/>
        <w:ind w:left="567" w:hanging="567"/>
        <w:rPr>
          <w:sz w:val="24"/>
          <w:lang w:val="sl-SI"/>
        </w:rPr>
      </w:pPr>
      <w:r w:rsidRPr="00DF3A50">
        <w:rPr>
          <w:rStyle w:val="FootnoteReference"/>
          <w:sz w:val="24"/>
          <w:lang w:val="sl-SI"/>
        </w:rPr>
        <w:footnoteRef/>
      </w:r>
      <w:r w:rsidR="00DF3A50" w:rsidRPr="00DF3A50">
        <w:rPr>
          <w:i/>
          <w:iCs/>
          <w:sz w:val="24"/>
          <w:lang w:val="sl-SI"/>
        </w:rPr>
        <w:t xml:space="preserve"> </w:t>
      </w:r>
      <w:r w:rsidR="00DF3A50" w:rsidRPr="00DF3A50">
        <w:rPr>
          <w:i/>
          <w:iCs/>
          <w:sz w:val="24"/>
          <w:lang w:val="sl-SI"/>
        </w:rPr>
        <w:tab/>
      </w:r>
      <w:proofErr w:type="spellStart"/>
      <w:r w:rsidRPr="00DF3A50">
        <w:rPr>
          <w:i/>
          <w:iCs/>
          <w:sz w:val="24"/>
          <w:lang w:val="sl-SI"/>
        </w:rPr>
        <w:t>Strategic</w:t>
      </w:r>
      <w:proofErr w:type="spellEnd"/>
      <w:r w:rsidRPr="00DF3A50">
        <w:rPr>
          <w:i/>
          <w:iCs/>
          <w:sz w:val="24"/>
          <w:lang w:val="sl-SI"/>
        </w:rPr>
        <w:t xml:space="preserve"> </w:t>
      </w:r>
      <w:proofErr w:type="spellStart"/>
      <w:r w:rsidRPr="00DF3A50">
        <w:rPr>
          <w:i/>
          <w:iCs/>
          <w:sz w:val="24"/>
          <w:lang w:val="sl-SI"/>
        </w:rPr>
        <w:t>Dialogue</w:t>
      </w:r>
      <w:proofErr w:type="spellEnd"/>
      <w:r w:rsidRPr="00DF3A50">
        <w:rPr>
          <w:i/>
          <w:iCs/>
          <w:sz w:val="24"/>
          <w:lang w:val="sl-SI"/>
        </w:rPr>
        <w:t xml:space="preserve"> on the Future of EU </w:t>
      </w:r>
      <w:proofErr w:type="spellStart"/>
      <w:r w:rsidRPr="00DF3A50">
        <w:rPr>
          <w:i/>
          <w:iCs/>
          <w:sz w:val="24"/>
          <w:lang w:val="sl-SI"/>
        </w:rPr>
        <w:t>Agriculture</w:t>
      </w:r>
      <w:proofErr w:type="spellEnd"/>
      <w:r w:rsidRPr="00DF3A50">
        <w:rPr>
          <w:i/>
          <w:iCs/>
          <w:sz w:val="24"/>
          <w:lang w:val="sl-SI"/>
        </w:rPr>
        <w:t xml:space="preserve"> - A </w:t>
      </w:r>
      <w:proofErr w:type="spellStart"/>
      <w:r w:rsidRPr="00DF3A50">
        <w:rPr>
          <w:i/>
          <w:iCs/>
          <w:sz w:val="24"/>
          <w:lang w:val="sl-SI"/>
        </w:rPr>
        <w:t>shared</w:t>
      </w:r>
      <w:proofErr w:type="spellEnd"/>
      <w:r w:rsidRPr="00DF3A50">
        <w:rPr>
          <w:i/>
          <w:iCs/>
          <w:sz w:val="24"/>
          <w:lang w:val="sl-SI"/>
        </w:rPr>
        <w:t xml:space="preserve"> </w:t>
      </w:r>
      <w:proofErr w:type="spellStart"/>
      <w:r w:rsidRPr="00DF3A50">
        <w:rPr>
          <w:i/>
          <w:iCs/>
          <w:sz w:val="24"/>
          <w:lang w:val="sl-SI"/>
        </w:rPr>
        <w:t>prospect</w:t>
      </w:r>
      <w:proofErr w:type="spellEnd"/>
      <w:r w:rsidRPr="00DF3A50">
        <w:rPr>
          <w:i/>
          <w:iCs/>
          <w:sz w:val="24"/>
          <w:lang w:val="sl-SI"/>
        </w:rPr>
        <w:t xml:space="preserve"> </w:t>
      </w:r>
      <w:proofErr w:type="gramStart"/>
      <w:r w:rsidRPr="00DF3A50">
        <w:rPr>
          <w:i/>
          <w:iCs/>
          <w:sz w:val="24"/>
          <w:lang w:val="sl-SI"/>
        </w:rPr>
        <w:t>for</w:t>
      </w:r>
      <w:proofErr w:type="gramEnd"/>
      <w:r w:rsidRPr="00DF3A50">
        <w:rPr>
          <w:i/>
          <w:iCs/>
          <w:sz w:val="24"/>
          <w:lang w:val="sl-SI"/>
        </w:rPr>
        <w:t xml:space="preserve"> </w:t>
      </w:r>
      <w:proofErr w:type="spellStart"/>
      <w:r w:rsidRPr="00DF3A50">
        <w:rPr>
          <w:i/>
          <w:iCs/>
          <w:sz w:val="24"/>
          <w:lang w:val="sl-SI"/>
        </w:rPr>
        <w:t>farming</w:t>
      </w:r>
      <w:proofErr w:type="spellEnd"/>
      <w:r w:rsidRPr="00DF3A50">
        <w:rPr>
          <w:i/>
          <w:iCs/>
          <w:sz w:val="24"/>
          <w:lang w:val="sl-SI"/>
        </w:rPr>
        <w:t xml:space="preserve"> and food in Europe</w:t>
      </w:r>
      <w:r w:rsidRPr="00DF3A50">
        <w:rPr>
          <w:sz w:val="24"/>
          <w:lang w:val="sl-SI"/>
        </w:rPr>
        <w:t xml:space="preserve"> (Strateški dialog o prihodnosti kmetijstva v EU – skupna perspektiva za kmetijstvo in prehrano v Evropi), september 2024, </w:t>
      </w:r>
      <w:hyperlink r:id="rId25" w:history="1">
        <w:r w:rsidRPr="00DF3A50">
          <w:rPr>
            <w:rStyle w:val="Hyperlink"/>
            <w:sz w:val="24"/>
            <w:lang w:val="sl-SI"/>
          </w:rPr>
          <w:t>https://agriculture.ec.europa.eu/document/download/171329ff-0f50-4fa5-946f-aea11032172e_en?filename=strategic-dialogue-report-2024_en.pdf</w:t>
        </w:r>
      </w:hyperlink>
      <w:r w:rsidRPr="00DF3A50">
        <w:rPr>
          <w:sz w:val="24"/>
          <w:lang w:val="sl-SI"/>
        </w:rPr>
        <w:t xml:space="preserve">. </w:t>
      </w:r>
    </w:p>
  </w:footnote>
  <w:footnote w:id="15">
    <w:p w14:paraId="353E9385" w14:textId="0C0F7BB4" w:rsidR="001B2825" w:rsidRPr="00DF3A50" w:rsidRDefault="001B2825" w:rsidP="00DF3A50">
      <w:pPr>
        <w:pStyle w:val="FootnoteText"/>
        <w:ind w:left="567" w:hanging="567"/>
        <w:rPr>
          <w:sz w:val="24"/>
          <w:lang w:val="sl-SI"/>
        </w:rPr>
      </w:pPr>
      <w:r w:rsidRPr="00DF3A50">
        <w:rPr>
          <w:rStyle w:val="FootnoteReference"/>
          <w:sz w:val="24"/>
          <w:lang w:val="sl-SI"/>
        </w:rPr>
        <w:footnoteRef/>
      </w:r>
      <w:r w:rsidR="00DF3A50" w:rsidRPr="00DF3A50">
        <w:rPr>
          <w:sz w:val="24"/>
          <w:lang w:val="sl-SI"/>
        </w:rPr>
        <w:t xml:space="preserve"> </w:t>
      </w:r>
      <w:r w:rsidR="00DF3A50" w:rsidRPr="00DF3A50">
        <w:rPr>
          <w:sz w:val="24"/>
          <w:lang w:val="sl-SI"/>
        </w:rPr>
        <w:tab/>
      </w:r>
      <w:hyperlink r:id="rId26" w:history="1">
        <w:r w:rsidRPr="00DF3A50">
          <w:rPr>
            <w:rStyle w:val="Hyperlink"/>
            <w:sz w:val="24"/>
            <w:lang w:val="sl-SI"/>
          </w:rPr>
          <w:t>https://www.ohchr.org/en/documents/thematic-reports/ahrc3448-report-special-rapporteur-right-food</w:t>
        </w:r>
      </w:hyperlink>
    </w:p>
  </w:footnote>
  <w:footnote w:id="16">
    <w:p w14:paraId="3CAE28A3" w14:textId="56C2B142" w:rsidR="001B2825" w:rsidRPr="00DF3A50" w:rsidRDefault="001B2825" w:rsidP="00DF3A50">
      <w:pPr>
        <w:pStyle w:val="FootnoteText"/>
        <w:ind w:left="567" w:hanging="567"/>
        <w:rPr>
          <w:sz w:val="24"/>
          <w:lang w:val="sl-SI"/>
        </w:rPr>
      </w:pPr>
      <w:r w:rsidRPr="00DF3A50">
        <w:rPr>
          <w:rStyle w:val="FootnoteReference"/>
          <w:sz w:val="24"/>
          <w:lang w:val="sl-SI"/>
        </w:rPr>
        <w:footnoteRef/>
      </w:r>
      <w:r w:rsidR="00DF3A50" w:rsidRPr="00DF3A50">
        <w:rPr>
          <w:sz w:val="24"/>
          <w:lang w:val="sl-SI"/>
        </w:rPr>
        <w:t xml:space="preserve"> </w:t>
      </w:r>
      <w:r w:rsidR="00DF3A50" w:rsidRPr="00DF3A50">
        <w:rPr>
          <w:sz w:val="24"/>
          <w:lang w:val="sl-SI"/>
        </w:rPr>
        <w:tab/>
      </w:r>
      <w:hyperlink r:id="rId27" w:history="1">
        <w:r w:rsidRPr="00DF3A50">
          <w:rPr>
            <w:rStyle w:val="Hyperlink"/>
            <w:sz w:val="24"/>
            <w:lang w:val="sl-SI"/>
          </w:rPr>
          <w:t>https://www.un.org/sustainabledevelopment/health/</w:t>
        </w:r>
      </w:hyperlink>
    </w:p>
  </w:footnote>
  <w:footnote w:id="17">
    <w:p w14:paraId="0059CE75" w14:textId="02574EC6" w:rsidR="001B2825" w:rsidRPr="00DF3A50" w:rsidRDefault="001B2825" w:rsidP="00DF3A50">
      <w:pPr>
        <w:pStyle w:val="FootnoteText"/>
        <w:ind w:left="567" w:hanging="567"/>
        <w:rPr>
          <w:sz w:val="24"/>
          <w:lang w:val="sl-SI"/>
        </w:rPr>
      </w:pPr>
      <w:r w:rsidRPr="00DF3A50">
        <w:rPr>
          <w:rStyle w:val="FootnoteReference"/>
          <w:sz w:val="24"/>
          <w:lang w:val="sl-SI"/>
        </w:rPr>
        <w:footnoteRef/>
      </w:r>
      <w:r w:rsidR="00DF3A50" w:rsidRPr="00DF3A50">
        <w:rPr>
          <w:sz w:val="24"/>
          <w:lang w:val="sl-SI"/>
        </w:rPr>
        <w:t xml:space="preserve"> </w:t>
      </w:r>
      <w:r w:rsidR="00DF3A50" w:rsidRPr="00DF3A50">
        <w:rPr>
          <w:sz w:val="24"/>
          <w:lang w:val="sl-SI"/>
        </w:rPr>
        <w:tab/>
      </w:r>
      <w:hyperlink r:id="rId28" w:history="1">
        <w:r w:rsidRPr="00DF3A50">
          <w:rPr>
            <w:rStyle w:val="Hyperlink"/>
            <w:sz w:val="24"/>
            <w:lang w:val="sl-SI"/>
          </w:rPr>
          <w:t>https://ec.europa.eu/commission/presscorner/detail/en/ip_22_7834</w:t>
        </w:r>
      </w:hyperlink>
    </w:p>
  </w:footnote>
  <w:footnote w:id="18">
    <w:p w14:paraId="10521ECC" w14:textId="597B47D9" w:rsidR="001B2825" w:rsidRPr="00DF3A50" w:rsidRDefault="001B2825" w:rsidP="00DF3A50">
      <w:pPr>
        <w:pStyle w:val="FootnoteText"/>
        <w:ind w:left="567" w:hanging="567"/>
        <w:rPr>
          <w:sz w:val="24"/>
          <w:lang w:val="sl-SI"/>
        </w:rPr>
      </w:pPr>
      <w:r w:rsidRPr="00DF3A50">
        <w:rPr>
          <w:rStyle w:val="FootnoteReference"/>
          <w:sz w:val="24"/>
          <w:lang w:val="sl-SI"/>
        </w:rPr>
        <w:footnoteRef/>
      </w:r>
      <w:r w:rsidR="00DF3A50" w:rsidRPr="00DF3A50">
        <w:rPr>
          <w:sz w:val="24"/>
          <w:lang w:val="sl-SI"/>
        </w:rPr>
        <w:t xml:space="preserve"> </w:t>
      </w:r>
      <w:r w:rsidR="00DF3A50" w:rsidRPr="00DF3A50">
        <w:rPr>
          <w:sz w:val="24"/>
          <w:lang w:val="sl-SI"/>
        </w:rPr>
        <w:tab/>
      </w:r>
      <w:hyperlink r:id="rId29" w:history="1">
        <w:r w:rsidRPr="00DF3A50">
          <w:rPr>
            <w:rStyle w:val="Hyperlink"/>
            <w:sz w:val="24"/>
            <w:lang w:val="sl-SI"/>
          </w:rPr>
          <w:t>https://commission.europa.eu/document/2c64e540-c07a-4376-a1da-368d289f4afe_en</w:t>
        </w:r>
      </w:hyperlink>
    </w:p>
  </w:footnote>
  <w:footnote w:id="19">
    <w:p w14:paraId="397425BE" w14:textId="749F24B2" w:rsidR="001B2825" w:rsidRPr="00DF3A50" w:rsidRDefault="001B2825" w:rsidP="00DF3A50">
      <w:pPr>
        <w:pStyle w:val="FootnoteText"/>
        <w:ind w:left="567" w:hanging="567"/>
        <w:rPr>
          <w:sz w:val="24"/>
          <w:lang w:val="sl-SI"/>
        </w:rPr>
      </w:pPr>
      <w:r w:rsidRPr="00DF3A50">
        <w:rPr>
          <w:rStyle w:val="FootnoteReference"/>
          <w:sz w:val="24"/>
          <w:lang w:val="sl-SI"/>
        </w:rPr>
        <w:footnoteRef/>
      </w:r>
      <w:r w:rsidR="00DF3A50" w:rsidRPr="00DF3A50">
        <w:rPr>
          <w:sz w:val="24"/>
          <w:lang w:val="sl-SI"/>
        </w:rPr>
        <w:t xml:space="preserve"> </w:t>
      </w:r>
      <w:r w:rsidR="00DF3A50" w:rsidRPr="00DF3A50">
        <w:rPr>
          <w:sz w:val="24"/>
          <w:lang w:val="sl-SI"/>
        </w:rPr>
        <w:tab/>
      </w:r>
      <w:r w:rsidRPr="00DF3A50">
        <w:rPr>
          <w:sz w:val="24"/>
          <w:lang w:val="sl-SI"/>
        </w:rPr>
        <w:t>V skladu s členom 6(3) Uredbe (EU) št. 182/2011 lahko Komisija vlogo odobri tudi, če je v odboru za pritožbe ne podpre kvalificirana večina držav članic, vendar to ni nujno.</w:t>
      </w:r>
    </w:p>
  </w:footnote>
  <w:footnote w:id="20">
    <w:p w14:paraId="37D8C39F" w14:textId="7DE71BD4" w:rsidR="001B2825" w:rsidRPr="00DF3A50" w:rsidRDefault="001B2825" w:rsidP="00DF3A50">
      <w:pPr>
        <w:pStyle w:val="FootnoteText"/>
        <w:ind w:left="567" w:hanging="567"/>
        <w:rPr>
          <w:sz w:val="24"/>
          <w:lang w:val="sl-SI"/>
        </w:rPr>
      </w:pPr>
      <w:r w:rsidRPr="00DF3A50">
        <w:rPr>
          <w:rStyle w:val="FootnoteReference"/>
          <w:sz w:val="24"/>
          <w:lang w:val="sl-SI"/>
        </w:rPr>
        <w:footnoteRef/>
      </w:r>
      <w:r w:rsidR="00DF3A50" w:rsidRPr="00DF3A50">
        <w:rPr>
          <w:sz w:val="24"/>
          <w:lang w:val="sl-SI"/>
        </w:rPr>
        <w:t xml:space="preserve"> </w:t>
      </w:r>
      <w:r w:rsidR="00DF3A50" w:rsidRPr="00DF3A50">
        <w:rPr>
          <w:sz w:val="24"/>
          <w:lang w:val="sl-SI"/>
        </w:rPr>
        <w:tab/>
      </w:r>
      <w:hyperlink r:id="rId30" w:history="1">
        <w:r w:rsidRPr="00DF3A50">
          <w:rPr>
            <w:rStyle w:val="Hyperlink"/>
            <w:sz w:val="24"/>
            <w:lang w:val="sl-SI"/>
          </w:rPr>
          <w:t>https://food.ec.europa.eu/document/download/ee1a5aed-5303-4c32-bb59-813143a1df47_en?filename=sc_modif-genet_20250613_sum.pdf</w:t>
        </w:r>
      </w:hyperlink>
    </w:p>
  </w:footnote>
  <w:footnote w:id="21">
    <w:p w14:paraId="11D56F66" w14:textId="3ADC10FC" w:rsidR="001B2825" w:rsidRPr="00DF3A50" w:rsidRDefault="001B2825" w:rsidP="00DF3A50">
      <w:pPr>
        <w:pStyle w:val="FootnoteText"/>
        <w:ind w:left="567" w:hanging="567"/>
        <w:rPr>
          <w:sz w:val="24"/>
          <w:lang w:val="sl-SI"/>
        </w:rPr>
      </w:pPr>
      <w:r w:rsidRPr="00DF3A50">
        <w:rPr>
          <w:rStyle w:val="FootnoteReference"/>
          <w:sz w:val="24"/>
          <w:lang w:val="sl-SI"/>
        </w:rPr>
        <w:footnoteRef/>
      </w:r>
      <w:r w:rsidR="00DF3A50" w:rsidRPr="00DF3A50">
        <w:rPr>
          <w:sz w:val="24"/>
          <w:lang w:val="sl-SI"/>
        </w:rPr>
        <w:t xml:space="preserve"> </w:t>
      </w:r>
      <w:r w:rsidR="00DF3A50" w:rsidRPr="00DF3A50">
        <w:rPr>
          <w:sz w:val="24"/>
          <w:lang w:val="sl-SI"/>
        </w:rPr>
        <w:tab/>
      </w:r>
      <w:r w:rsidRPr="00DF3A50">
        <w:rPr>
          <w:sz w:val="24"/>
          <w:lang w:val="sl-SI"/>
        </w:rPr>
        <w:t xml:space="preserve">Uredba (ES) št. 178/2002 Evropskega parlamenta in Sveta z dne 28. januarja 2002 o določitvi splošnih načel in zahtevah živilske zakonodaje, ustanovitvi Evropske agencije za varnost hrane in postopkih, ki zadevajo varnost hrane (UL L 31, </w:t>
      </w:r>
      <w:proofErr w:type="gramStart"/>
      <w:r w:rsidRPr="00DF3A50">
        <w:rPr>
          <w:sz w:val="24"/>
          <w:lang w:val="sl-SI"/>
        </w:rPr>
        <w:t>1.2.2002</w:t>
      </w:r>
      <w:proofErr w:type="gramEnd"/>
      <w:r w:rsidRPr="00DF3A50">
        <w:rPr>
          <w:sz w:val="24"/>
          <w:lang w:val="sl-SI"/>
        </w:rPr>
        <w:t xml:space="preserve">, str. 1, ELI: </w:t>
      </w:r>
      <w:hyperlink r:id="rId31" w:history="1">
        <w:r w:rsidRPr="00DF3A50">
          <w:rPr>
            <w:rStyle w:val="Hyperlink"/>
            <w:sz w:val="24"/>
            <w:lang w:val="sl-SI"/>
          </w:rPr>
          <w:t>http://data.europa.eu/eli/reg/2002/178/oj</w:t>
        </w:r>
      </w:hyperlink>
      <w:r w:rsidRPr="00DF3A50">
        <w:rPr>
          <w:sz w:val="24"/>
          <w:lang w:val="sl-SI"/>
        </w:rPr>
        <w:t>).</w:t>
      </w:r>
    </w:p>
  </w:footnote>
  <w:footnote w:id="22">
    <w:p w14:paraId="441F5E37" w14:textId="1C967576" w:rsidR="001B2825" w:rsidRPr="00DF3A50" w:rsidRDefault="001B2825" w:rsidP="00DF3A50">
      <w:pPr>
        <w:pStyle w:val="FootnoteText"/>
        <w:ind w:left="567" w:hanging="567"/>
        <w:rPr>
          <w:sz w:val="24"/>
          <w:lang w:val="sl-SI"/>
        </w:rPr>
      </w:pPr>
      <w:r w:rsidRPr="00DF3A50">
        <w:rPr>
          <w:rStyle w:val="FootnoteReference"/>
          <w:sz w:val="24"/>
          <w:lang w:val="sl-SI"/>
        </w:rPr>
        <w:footnoteRef/>
      </w:r>
      <w:r w:rsidR="00DF3A50" w:rsidRPr="00DF3A50">
        <w:rPr>
          <w:sz w:val="24"/>
          <w:lang w:val="sl-SI"/>
        </w:rPr>
        <w:t xml:space="preserve"> </w:t>
      </w:r>
      <w:r w:rsidR="00DF3A50" w:rsidRPr="00DF3A50">
        <w:rPr>
          <w:sz w:val="24"/>
          <w:lang w:val="sl-SI"/>
        </w:rPr>
        <w:tab/>
      </w:r>
      <w:r w:rsidRPr="00DF3A50">
        <w:rPr>
          <w:sz w:val="24"/>
          <w:lang w:val="sl-SI"/>
        </w:rPr>
        <w:t>Kot je navedeno v Prilogi k sporočilu Komisije z dne 14. oktobra 2020 z naslovom Strategija na področju kemikalij za trajnostnost – Okolju brez strupov naproti</w:t>
      </w:r>
      <w:proofErr w:type="gramStart"/>
      <w:r w:rsidRPr="00DF3A50">
        <w:rPr>
          <w:sz w:val="24"/>
          <w:lang w:val="sl-SI"/>
        </w:rPr>
        <w:t>(</w:t>
      </w:r>
      <w:proofErr w:type="gramEnd"/>
      <w:r w:rsidRPr="00DF3A50">
        <w:rPr>
          <w:sz w:val="24"/>
          <w:lang w:val="sl-SI"/>
        </w:rPr>
        <w:t xml:space="preserve">COM(2020)0667), </w:t>
      </w:r>
      <w:hyperlink r:id="rId32" w:anchor="document2" w:history="1">
        <w:r w:rsidRPr="00DF3A50">
          <w:rPr>
            <w:rStyle w:val="Hyperlink"/>
            <w:sz w:val="24"/>
            <w:lang w:val="sl-SI"/>
          </w:rPr>
          <w:t>https://eur-lex.europa.eu/legal-content/SL/TXT/?uri=COM%3A2020%3A667%3AFIN#document2</w:t>
        </w:r>
      </w:hyperlink>
      <w:r w:rsidRPr="00DF3A50">
        <w:rPr>
          <w:sz w:val="24"/>
          <w:lang w:val="sl-SI"/>
        </w:rPr>
        <w:t>.</w:t>
      </w:r>
    </w:p>
  </w:footnote>
  <w:footnote w:id="23">
    <w:p w14:paraId="026E4CBC" w14:textId="3E2C2D63" w:rsidR="001B2825" w:rsidRPr="00DF3A50" w:rsidRDefault="001B2825" w:rsidP="00DF3A50">
      <w:pPr>
        <w:pStyle w:val="FootnoteText"/>
        <w:ind w:left="567" w:hanging="567"/>
        <w:rPr>
          <w:sz w:val="24"/>
          <w:lang w:val="sl-SI"/>
        </w:rPr>
      </w:pPr>
      <w:r w:rsidRPr="00DF3A50">
        <w:rPr>
          <w:rStyle w:val="FootnoteReference"/>
          <w:sz w:val="24"/>
          <w:lang w:val="sl-SI"/>
        </w:rPr>
        <w:footnoteRef/>
      </w:r>
      <w:r w:rsidR="00DF3A50" w:rsidRPr="00DF3A50">
        <w:rPr>
          <w:sz w:val="24"/>
          <w:lang w:val="sl-SI"/>
        </w:rPr>
        <w:t xml:space="preserve"> </w:t>
      </w:r>
      <w:r w:rsidR="00DF3A50" w:rsidRPr="00DF3A50">
        <w:rPr>
          <w:sz w:val="24"/>
          <w:lang w:val="sl-SI"/>
        </w:rPr>
        <w:tab/>
      </w:r>
      <w:hyperlink r:id="rId33" w:history="1">
        <w:r w:rsidRPr="00DF3A50">
          <w:rPr>
            <w:rStyle w:val="Hyperlink"/>
            <w:sz w:val="24"/>
            <w:lang w:val="sl-SI"/>
          </w:rPr>
          <w:t>https://tillymetz.lu/wp-content/uploads/2020/09/Co-signed-letter-MEP-Metz.pdf</w:t>
        </w:r>
      </w:hyperlink>
    </w:p>
  </w:footnote>
  <w:footnote w:id="24">
    <w:p w14:paraId="5C827939" w14:textId="71A657C0" w:rsidR="001B2825" w:rsidRPr="00DF3A50" w:rsidRDefault="001B2825" w:rsidP="00DF3A50">
      <w:pPr>
        <w:pStyle w:val="FootnoteText"/>
        <w:ind w:left="567" w:hanging="567"/>
        <w:rPr>
          <w:sz w:val="24"/>
          <w:lang w:val="sl-SI"/>
        </w:rPr>
      </w:pPr>
      <w:r w:rsidRPr="00DF3A50">
        <w:rPr>
          <w:rStyle w:val="FootnoteReference"/>
          <w:sz w:val="24"/>
          <w:lang w:val="sl-SI"/>
        </w:rPr>
        <w:footnoteRef/>
      </w:r>
      <w:r w:rsidR="00DF3A50" w:rsidRPr="00DF3A50">
        <w:rPr>
          <w:sz w:val="24"/>
          <w:lang w:val="sl-SI"/>
        </w:rPr>
        <w:t xml:space="preserve"> </w:t>
      </w:r>
      <w:r w:rsidR="00DF3A50" w:rsidRPr="00DF3A50">
        <w:rPr>
          <w:sz w:val="24"/>
          <w:lang w:val="sl-SI"/>
        </w:rPr>
        <w:tab/>
      </w:r>
      <w:r w:rsidRPr="00DF3A50">
        <w:rPr>
          <w:sz w:val="24"/>
          <w:lang w:val="sl-SI"/>
        </w:rPr>
        <w:t>Resolucija Evropskega parlamenta z dne 15. januarja 202</w:t>
      </w:r>
      <w:r w:rsidR="004B4C52">
        <w:rPr>
          <w:sz w:val="24"/>
          <w:lang w:val="sl-SI"/>
        </w:rPr>
        <w:t>0</w:t>
      </w:r>
      <w:r w:rsidRPr="00DF3A50">
        <w:rPr>
          <w:sz w:val="24"/>
          <w:lang w:val="sl-SI"/>
        </w:rPr>
        <w:t xml:space="preserve"> o evropskem zelenem dogovoru (UL C 270, </w:t>
      </w:r>
      <w:proofErr w:type="gramStart"/>
      <w:r w:rsidRPr="00DF3A50">
        <w:rPr>
          <w:sz w:val="24"/>
          <w:lang w:val="sl-SI"/>
        </w:rPr>
        <w:t>7.7.2021</w:t>
      </w:r>
      <w:proofErr w:type="gramEnd"/>
      <w:r w:rsidRPr="00DF3A50">
        <w:rPr>
          <w:sz w:val="24"/>
          <w:lang w:val="sl-SI"/>
        </w:rPr>
        <w:t>, str. 2), odstavek 102.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7D1707" w14:textId="77777777" w:rsidR="00064002" w:rsidRPr="00DF3A5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D1FD0D" w14:textId="77777777" w:rsidR="00064002" w:rsidRPr="00DF3A5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AD04BF" w14:textId="77777777" w:rsidR="00064002" w:rsidRPr="00DF3A5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47950307">
    <w:abstractNumId w:val="9"/>
  </w:num>
  <w:num w:numId="2" w16cid:durableId="1563638096">
    <w:abstractNumId w:val="9"/>
  </w:num>
  <w:num w:numId="3" w16cid:durableId="411898888">
    <w:abstractNumId w:val="7"/>
  </w:num>
  <w:num w:numId="4" w16cid:durableId="357047892">
    <w:abstractNumId w:val="7"/>
  </w:num>
  <w:num w:numId="5" w16cid:durableId="188566311">
    <w:abstractNumId w:val="6"/>
  </w:num>
  <w:num w:numId="6" w16cid:durableId="972756281">
    <w:abstractNumId w:val="6"/>
  </w:num>
  <w:num w:numId="7" w16cid:durableId="1585988757">
    <w:abstractNumId w:val="5"/>
  </w:num>
  <w:num w:numId="8" w16cid:durableId="2005471543">
    <w:abstractNumId w:val="5"/>
  </w:num>
  <w:num w:numId="9" w16cid:durableId="971053471">
    <w:abstractNumId w:val="4"/>
  </w:num>
  <w:num w:numId="10" w16cid:durableId="1114717134">
    <w:abstractNumId w:val="4"/>
  </w:num>
  <w:num w:numId="11" w16cid:durableId="24214837">
    <w:abstractNumId w:val="8"/>
  </w:num>
  <w:num w:numId="12" w16cid:durableId="1350453800">
    <w:abstractNumId w:val="8"/>
  </w:num>
  <w:num w:numId="13" w16cid:durableId="459345687">
    <w:abstractNumId w:val="3"/>
  </w:num>
  <w:num w:numId="14" w16cid:durableId="1811751512">
    <w:abstractNumId w:val="3"/>
  </w:num>
  <w:num w:numId="15" w16cid:durableId="1591699454">
    <w:abstractNumId w:val="2"/>
  </w:num>
  <w:num w:numId="16" w16cid:durableId="923300706">
    <w:abstractNumId w:val="2"/>
  </w:num>
  <w:num w:numId="17" w16cid:durableId="1338849568">
    <w:abstractNumId w:val="1"/>
  </w:num>
  <w:num w:numId="18" w16cid:durableId="970331329">
    <w:abstractNumId w:val="1"/>
  </w:num>
  <w:num w:numId="19" w16cid:durableId="2137991052">
    <w:abstractNumId w:val="0"/>
  </w:num>
  <w:num w:numId="20" w16cid:durableId="232665951">
    <w:abstractNumId w:val="0"/>
  </w:num>
  <w:num w:numId="21" w16cid:durableId="131755147">
    <w:abstractNumId w:val="9"/>
  </w:num>
  <w:num w:numId="22" w16cid:durableId="102043199">
    <w:abstractNumId w:val="7"/>
  </w:num>
  <w:num w:numId="23" w16cid:durableId="1352686219">
    <w:abstractNumId w:val="6"/>
  </w:num>
  <w:num w:numId="24" w16cid:durableId="643899393">
    <w:abstractNumId w:val="5"/>
  </w:num>
  <w:num w:numId="25" w16cid:durableId="758017093">
    <w:abstractNumId w:val="4"/>
  </w:num>
  <w:num w:numId="26" w16cid:durableId="89784785">
    <w:abstractNumId w:val="8"/>
  </w:num>
  <w:num w:numId="27" w16cid:durableId="1996184926">
    <w:abstractNumId w:val="3"/>
  </w:num>
  <w:num w:numId="28" w16cid:durableId="1771271414">
    <w:abstractNumId w:val="2"/>
  </w:num>
  <w:num w:numId="29" w16cid:durableId="1497453462">
    <w:abstractNumId w:val="1"/>
  </w:num>
  <w:num w:numId="30" w16cid:durableId="1857765791">
    <w:abstractNumId w:val="0"/>
  </w:num>
  <w:num w:numId="31" w16cid:durableId="86654399">
    <w:abstractNumId w:val="9"/>
  </w:num>
  <w:num w:numId="32" w16cid:durableId="1983383386">
    <w:abstractNumId w:val="7"/>
  </w:num>
  <w:num w:numId="33" w16cid:durableId="236598865">
    <w:abstractNumId w:val="6"/>
  </w:num>
  <w:num w:numId="34" w16cid:durableId="584648747">
    <w:abstractNumId w:val="5"/>
  </w:num>
  <w:num w:numId="35" w16cid:durableId="1331640577">
    <w:abstractNumId w:val="4"/>
  </w:num>
  <w:num w:numId="36" w16cid:durableId="1738628994">
    <w:abstractNumId w:val="8"/>
  </w:num>
  <w:num w:numId="37" w16cid:durableId="489492412">
    <w:abstractNumId w:val="3"/>
  </w:num>
  <w:num w:numId="38" w16cid:durableId="799959574">
    <w:abstractNumId w:val="2"/>
  </w:num>
  <w:num w:numId="39" w16cid:durableId="222449051">
    <w:abstractNumId w:val="1"/>
  </w:num>
  <w:num w:numId="40" w16cid:durableId="1853303452">
    <w:abstractNumId w:val="0"/>
  </w:num>
  <w:num w:numId="41" w16cid:durableId="1395153762">
    <w:abstractNumId w:val="10"/>
  </w:num>
  <w:num w:numId="42" w16cid:durableId="864907844">
    <w:abstractNumId w:val="10"/>
  </w:num>
  <w:num w:numId="43" w16cid:durableId="2083796388">
    <w:abstractNumId w:val="10"/>
  </w:num>
  <w:num w:numId="44" w16cid:durableId="24303237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07/2025"/>
    <w:docVar w:name="dvlangue" w:val="SL"/>
    <w:docVar w:name="dvnumam" w:val="0"/>
    <w:docVar w:name="dvpe" w:val="775.588"/>
    <w:docVar w:name="dvtitre" w:val="Resolucija Evropskega parlamenta z dne … 2025 o osnutku izvedbenega sklepa Komisije o odobritvi dajanja na trg proizvodov, ki vsebujejo gensko spremenjeno koruzo DP51291, so iz nje sestavljeni ali proizvedeni, v skladu z Uredbo (ES) št. 1829/2003 Evropskega parlamenta in Sveta(D108064/03 – 2025/2807(RSP))"/>
  </w:docVars>
  <w:rsids>
    <w:rsidRoot w:val="00DF391A"/>
    <w:rsid w:val="00002272"/>
    <w:rsid w:val="00064002"/>
    <w:rsid w:val="000677B9"/>
    <w:rsid w:val="000831BA"/>
    <w:rsid w:val="000A42CC"/>
    <w:rsid w:val="000E7DD9"/>
    <w:rsid w:val="0010095E"/>
    <w:rsid w:val="00125B37"/>
    <w:rsid w:val="00187494"/>
    <w:rsid w:val="00187EA1"/>
    <w:rsid w:val="001A451C"/>
    <w:rsid w:val="001B2825"/>
    <w:rsid w:val="001F32AE"/>
    <w:rsid w:val="002767FF"/>
    <w:rsid w:val="002B18FE"/>
    <w:rsid w:val="002B5493"/>
    <w:rsid w:val="00303CB9"/>
    <w:rsid w:val="00343214"/>
    <w:rsid w:val="00361C00"/>
    <w:rsid w:val="003840DC"/>
    <w:rsid w:val="00395FA1"/>
    <w:rsid w:val="003E15D4"/>
    <w:rsid w:val="00411CCE"/>
    <w:rsid w:val="0041666E"/>
    <w:rsid w:val="00421060"/>
    <w:rsid w:val="00471C19"/>
    <w:rsid w:val="004867E3"/>
    <w:rsid w:val="00494A28"/>
    <w:rsid w:val="004B4C52"/>
    <w:rsid w:val="004C0004"/>
    <w:rsid w:val="004C5D52"/>
    <w:rsid w:val="0050519A"/>
    <w:rsid w:val="005072A1"/>
    <w:rsid w:val="00514517"/>
    <w:rsid w:val="00545827"/>
    <w:rsid w:val="00560270"/>
    <w:rsid w:val="005C2568"/>
    <w:rsid w:val="005F1B17"/>
    <w:rsid w:val="006037C0"/>
    <w:rsid w:val="00627C85"/>
    <w:rsid w:val="006631B6"/>
    <w:rsid w:val="00680577"/>
    <w:rsid w:val="006F74FA"/>
    <w:rsid w:val="00731ADD"/>
    <w:rsid w:val="00734777"/>
    <w:rsid w:val="00747932"/>
    <w:rsid w:val="00751A4A"/>
    <w:rsid w:val="00756632"/>
    <w:rsid w:val="00762C74"/>
    <w:rsid w:val="00786EC0"/>
    <w:rsid w:val="007A3BE6"/>
    <w:rsid w:val="007D1690"/>
    <w:rsid w:val="007E22AD"/>
    <w:rsid w:val="00817416"/>
    <w:rsid w:val="00842779"/>
    <w:rsid w:val="00865F67"/>
    <w:rsid w:val="00881A7B"/>
    <w:rsid w:val="008840E5"/>
    <w:rsid w:val="00887B3E"/>
    <w:rsid w:val="008A5D07"/>
    <w:rsid w:val="008A5DFC"/>
    <w:rsid w:val="008C2AC6"/>
    <w:rsid w:val="008E4EEE"/>
    <w:rsid w:val="00930C23"/>
    <w:rsid w:val="0093193B"/>
    <w:rsid w:val="009509D8"/>
    <w:rsid w:val="00950B64"/>
    <w:rsid w:val="00981893"/>
    <w:rsid w:val="00A1687D"/>
    <w:rsid w:val="00A43E52"/>
    <w:rsid w:val="00A4678D"/>
    <w:rsid w:val="00A778C7"/>
    <w:rsid w:val="00AB441E"/>
    <w:rsid w:val="00AB6293"/>
    <w:rsid w:val="00AE0928"/>
    <w:rsid w:val="00AF072D"/>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F391A"/>
    <w:rsid w:val="00DF3A50"/>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E51B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09D6ED"/>
  <w15:chartTrackingRefBased/>
  <w15:docId w15:val="{83D13D70-E073-4E5C-9604-7E1A92241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B2825"/>
    <w:pPr>
      <w:spacing w:before="480" w:after="240"/>
    </w:pPr>
  </w:style>
  <w:style w:type="paragraph" w:customStyle="1" w:styleId="NormalHanging12a">
    <w:name w:val="NormalHanging12a"/>
    <w:basedOn w:val="Normal"/>
    <w:rsid w:val="001B2825"/>
    <w:pPr>
      <w:spacing w:after="240"/>
      <w:ind w:left="567" w:hanging="567"/>
    </w:pPr>
  </w:style>
  <w:style w:type="paragraph" w:customStyle="1" w:styleId="NormalBold">
    <w:name w:val="NormalBold"/>
    <w:basedOn w:val="Normal"/>
    <w:rsid w:val="001B2825"/>
    <w:rPr>
      <w:b/>
    </w:rPr>
  </w:style>
  <w:style w:type="character" w:styleId="Hyperlink">
    <w:name w:val="Hyperlink"/>
    <w:basedOn w:val="DefaultParagraphFont"/>
    <w:uiPriority w:val="99"/>
    <w:rsid w:val="001B2825"/>
    <w:rPr>
      <w:color w:val="0563C1" w:themeColor="hyperlink"/>
      <w:u w:val="single"/>
    </w:rPr>
  </w:style>
  <w:style w:type="character" w:customStyle="1" w:styleId="Funotenzeichen">
    <w:name w:val="Fußnotenzeichen"/>
    <w:qFormat/>
    <w:rsid w:val="001B2825"/>
    <w:rPr>
      <w:vertAlign w:val="superscript"/>
    </w:rPr>
  </w:style>
  <w:style w:type="paragraph" w:styleId="Revision">
    <w:name w:val="Revision"/>
    <w:hidden/>
    <w:uiPriority w:val="99"/>
    <w:semiHidden/>
    <w:rsid w:val="008E4EEE"/>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C/2025/2246/oj" TargetMode="External"/><Relationship Id="rId18" Type="http://schemas.openxmlformats.org/officeDocument/2006/relationships/hyperlink" Target="https://doi.org/10.1371/journal.pone.0123011" TargetMode="External"/><Relationship Id="rId26" Type="http://schemas.openxmlformats.org/officeDocument/2006/relationships/hyperlink" Target="https://www.ohchr.org/en/documents/thematic-reports/ahrc3448-report-special-rapporteur-right-food" TargetMode="External"/><Relationship Id="rId3" Type="http://schemas.openxmlformats.org/officeDocument/2006/relationships/hyperlink" Target="http://data.europa.eu/eli/reg/2011/182/oj" TargetMode="External"/><Relationship Id="rId21" Type="http://schemas.openxmlformats.org/officeDocument/2006/relationships/hyperlink" Target="https://doi.org/10.1186/2190-4715-24-24" TargetMode="External"/><Relationship Id="rId7" Type="http://schemas.openxmlformats.org/officeDocument/2006/relationships/hyperlink" Target="http://data.europa.eu/eli/C/2025/1799/oj" TargetMode="External"/><Relationship Id="rId12" Type="http://schemas.openxmlformats.org/officeDocument/2006/relationships/hyperlink" Target="http://data.europa.eu/eli/C/2025/1804/oj" TargetMode="External"/><Relationship Id="rId17" Type="http://schemas.openxmlformats.org/officeDocument/2006/relationships/hyperlink" Target="http://data.europa.eu/eli/reg_impl/2013/503/oj" TargetMode="External"/><Relationship Id="rId25" Type="http://schemas.openxmlformats.org/officeDocument/2006/relationships/hyperlink" Target="https://agriculture.ec.europa.eu/document/download/171329ff-0f50-4fa5-946f-aea11032172e_en?filename=strategic-dialogue-report-2024_en.pdf" TargetMode="External"/><Relationship Id="rId33" Type="http://schemas.openxmlformats.org/officeDocument/2006/relationships/hyperlink" Target="https://tillymetz.lu/wp-content/uploads/2020/09/Co-signed-letter-MEP-Metz.pdf" TargetMode="External"/><Relationship Id="rId2" Type="http://schemas.openxmlformats.org/officeDocument/2006/relationships/hyperlink" Target="http://data.europa.eu/eli/reg/2003/1829/oj" TargetMode="External"/><Relationship Id="rId16" Type="http://schemas.openxmlformats.org/officeDocument/2006/relationships/hyperlink" Target="https://www.testbiotech.org/wp-content/uploads/2024/12/Testbiotech_comment_&#8204;maize_DP51291.pdf" TargetMode="External"/><Relationship Id="rId20" Type="http://schemas.openxmlformats.org/officeDocument/2006/relationships/hyperlink" Target="https://www.ncbi.nlm.nih.gov/pubmed/26296738" TargetMode="External"/><Relationship Id="rId29" Type="http://schemas.openxmlformats.org/officeDocument/2006/relationships/hyperlink" Target="https://commission.europa.eu/document/2c64e540-c07a-4376-a1da-368d289f4afe_en" TargetMode="External"/><Relationship Id="rId1" Type="http://schemas.openxmlformats.org/officeDocument/2006/relationships/hyperlink" Target="http://data.europa.eu/eli/dec_impl/2025/1898/oj" TargetMode="External"/><Relationship Id="rId6" Type="http://schemas.openxmlformats.org/officeDocument/2006/relationships/hyperlink" Target="http://data.europa.eu/eli/C/2025/1798/oj" TargetMode="External"/><Relationship Id="rId11" Type="http://schemas.openxmlformats.org/officeDocument/2006/relationships/hyperlink" Target="http://data.europa.eu/eli/C/2025/1803/oj" TargetMode="External"/><Relationship Id="rId24" Type="http://schemas.openxmlformats.org/officeDocument/2006/relationships/hyperlink" Target="https://doi.org/10.1038/s41598-017-01478-w" TargetMode="External"/><Relationship Id="rId32" Type="http://schemas.openxmlformats.org/officeDocument/2006/relationships/hyperlink" Target="https://eur-lex.europa.eu/legal-content/EN/TXT/?uri=COM:2020:667:FIN" TargetMode="External"/><Relationship Id="rId5" Type="http://schemas.openxmlformats.org/officeDocument/2006/relationships/hyperlink" Target="http://data.europa.eu/eli/C/2025/1797/oj" TargetMode="External"/><Relationship Id="rId15" Type="http://schemas.openxmlformats.org/officeDocument/2006/relationships/hyperlink" Target="http://data.europa.eu/eli/reg/2009/1107/oj" TargetMode="External"/><Relationship Id="rId23" Type="http://schemas.openxmlformats.org/officeDocument/2006/relationships/hyperlink" Target="https://doi.org/10.1016/j.fct.2016.03.009" TargetMode="External"/><Relationship Id="rId28" Type="http://schemas.openxmlformats.org/officeDocument/2006/relationships/hyperlink" Target="https://ec.europa.eu/commission/presscorner/detail/en/ip_22_7834" TargetMode="External"/><Relationship Id="rId10" Type="http://schemas.openxmlformats.org/officeDocument/2006/relationships/hyperlink" Target="http://data.europa.eu/eli/C/2025/1802/oj" TargetMode="External"/><Relationship Id="rId19" Type="http://schemas.openxmlformats.org/officeDocument/2006/relationships/hyperlink" Target="https://doi.org/10.1126/science.abe1148" TargetMode="External"/><Relationship Id="rId31" Type="http://schemas.openxmlformats.org/officeDocument/2006/relationships/hyperlink" Target="http://data.europa.eu/eli/reg/2002/178/oj" TargetMode="External"/><Relationship Id="rId4" Type="http://schemas.openxmlformats.org/officeDocument/2006/relationships/hyperlink" Target="https://doi.org/10.2903/j.efsa.2024.9059" TargetMode="External"/><Relationship Id="rId9" Type="http://schemas.openxmlformats.org/officeDocument/2006/relationships/hyperlink" Target="http://data.europa.eu/eli/C/2025/1801/oj" TargetMode="External"/><Relationship Id="rId14" Type="http://schemas.openxmlformats.org/officeDocument/2006/relationships/hyperlink" Target="http://data.europa.eu/eli/C/2025/2247/oj" TargetMode="External"/><Relationship Id="rId22" Type="http://schemas.openxmlformats.org/officeDocument/2006/relationships/hyperlink" Target="https://onlinelibrary.wiley.com/doi/full/10.1002/jat.3252" TargetMode="External"/><Relationship Id="rId27" Type="http://schemas.openxmlformats.org/officeDocument/2006/relationships/hyperlink" Target="https://www.un.org/sustainabledevelopment/health/" TargetMode="External"/><Relationship Id="rId30" Type="http://schemas.openxmlformats.org/officeDocument/2006/relationships/hyperlink" Target="https://food.ec.europa.eu/document/download/ee1a5aed-5303-4c32-bb59-813143a1df47_en?filename=sc_modif-genet_20250613_sum.pdf" TargetMode="External"/><Relationship Id="rId8" Type="http://schemas.openxmlformats.org/officeDocument/2006/relationships/hyperlink" Target="http://data.europa.eu/eli/C/2025/180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2238</Words>
  <Characters>12992</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TERBOVC Spela</cp:lastModifiedBy>
  <cp:revision>4</cp:revision>
  <cp:lastPrinted>2004-11-19T15:42:00Z</cp:lastPrinted>
  <dcterms:created xsi:type="dcterms:W3CDTF">2025-10-08T09:37:00Z</dcterms:created>
  <dcterms:modified xsi:type="dcterms:W3CDTF">2025-10-31T11:49:00Z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B10-0407/2025</vt:lpwstr>
  </property>
  <property fmtid="{D5CDD505-2E9C-101B-9397-08002B2CF9AE}" pid="4" name="&lt;Type&gt;">
    <vt:lpwstr>RR</vt:lpwstr>
  </property>
</Properties>
</file>