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436" w14:paraId="1905BF4F" w14:textId="77777777" w:rsidTr="0010095E">
        <w:trPr>
          <w:trHeight w:hRule="exact" w:val="1418"/>
        </w:trPr>
        <w:tc>
          <w:tcPr>
            <w:tcW w:w="6804" w:type="dxa"/>
            <w:shd w:val="clear" w:color="auto" w:fill="auto"/>
            <w:vAlign w:val="center"/>
          </w:tcPr>
          <w:p w14:paraId="6B47194B" w14:textId="77777777" w:rsidR="00751A4A" w:rsidRPr="00154436" w:rsidRDefault="002C736A" w:rsidP="0010095E">
            <w:pPr>
              <w:pStyle w:val="EPName"/>
            </w:pPr>
            <w:r w:rsidRPr="00154436">
              <w:t>Europa-Parlamentet</w:t>
            </w:r>
          </w:p>
          <w:p w14:paraId="21A24EEE" w14:textId="77777777" w:rsidR="00751A4A" w:rsidRPr="00154436" w:rsidRDefault="005F1B17" w:rsidP="005F1B17">
            <w:pPr>
              <w:pStyle w:val="EPTerm"/>
              <w:rPr>
                <w:rStyle w:val="HideTWBExt"/>
                <w:noProof w:val="0"/>
                <w:vanish w:val="0"/>
                <w:color w:val="auto"/>
              </w:rPr>
            </w:pPr>
            <w:r w:rsidRPr="00154436">
              <w:t>2024</w:t>
            </w:r>
            <w:r w:rsidR="00817416" w:rsidRPr="00154436">
              <w:t>-202</w:t>
            </w:r>
            <w:r w:rsidRPr="00154436">
              <w:t>9</w:t>
            </w:r>
          </w:p>
        </w:tc>
        <w:tc>
          <w:tcPr>
            <w:tcW w:w="2268" w:type="dxa"/>
            <w:shd w:val="clear" w:color="auto" w:fill="auto"/>
          </w:tcPr>
          <w:p w14:paraId="6ABABD86" w14:textId="77777777" w:rsidR="00751A4A" w:rsidRPr="00154436" w:rsidRDefault="00187494" w:rsidP="0010095E">
            <w:pPr>
              <w:pStyle w:val="EPLogo"/>
            </w:pPr>
            <w:r w:rsidRPr="00154436">
              <w:rPr>
                <w:noProof/>
                <w:lang w:eastAsia="ja-JP"/>
              </w:rPr>
              <w:drawing>
                <wp:inline distT="0" distB="0" distL="0" distR="0" wp14:anchorId="00D601FF" wp14:editId="2D173D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88F652" w14:textId="77777777" w:rsidR="00D058B8" w:rsidRPr="00154436" w:rsidRDefault="00D058B8" w:rsidP="004C5D52">
      <w:pPr>
        <w:pStyle w:val="LineTop"/>
      </w:pPr>
    </w:p>
    <w:p w14:paraId="7D5E593D" w14:textId="77777777" w:rsidR="00680577" w:rsidRPr="00154436" w:rsidRDefault="002C736A" w:rsidP="00680577">
      <w:pPr>
        <w:pStyle w:val="EPBodyTA1"/>
      </w:pPr>
      <w:r w:rsidRPr="00154436">
        <w:t>VEDTAGNE TEKSTER</w:t>
      </w:r>
    </w:p>
    <w:p w14:paraId="279274DE" w14:textId="77777777" w:rsidR="00D058B8" w:rsidRPr="00154436" w:rsidRDefault="00D058B8" w:rsidP="00D058B8">
      <w:pPr>
        <w:pStyle w:val="LineBottom"/>
      </w:pPr>
    </w:p>
    <w:p w14:paraId="389A3E4B" w14:textId="7C8B3EA8" w:rsidR="002C736A" w:rsidRPr="00154436" w:rsidRDefault="002C736A" w:rsidP="002C736A">
      <w:pPr>
        <w:pStyle w:val="ATHeading1"/>
      </w:pPr>
      <w:bookmarkStart w:id="0" w:name="TANumber"/>
      <w:r w:rsidRPr="00154436">
        <w:t>P10_</w:t>
      </w:r>
      <w:proofErr w:type="gramStart"/>
      <w:r w:rsidRPr="00154436">
        <w:t>TA(</w:t>
      </w:r>
      <w:proofErr w:type="gramEnd"/>
      <w:r w:rsidRPr="00154436">
        <w:t>2025)0</w:t>
      </w:r>
      <w:r w:rsidR="00314711">
        <w:t>223</w:t>
      </w:r>
      <w:bookmarkEnd w:id="0"/>
    </w:p>
    <w:p w14:paraId="10548E54" w14:textId="77777777" w:rsidR="002C736A" w:rsidRPr="00154436" w:rsidRDefault="002C736A" w:rsidP="002C736A">
      <w:pPr>
        <w:pStyle w:val="ATHeading2"/>
      </w:pPr>
      <w:bookmarkStart w:id="1" w:name="title"/>
      <w:r w:rsidRPr="00154436">
        <w:t xml:space="preserve">Den vilkårlige tilbageholdelse af EU-borgerne Javier Marañón </w:t>
      </w:r>
      <w:proofErr w:type="spellStart"/>
      <w:r w:rsidRPr="00154436">
        <w:t>Montero</w:t>
      </w:r>
      <w:proofErr w:type="spellEnd"/>
      <w:r w:rsidRPr="00154436">
        <w:t xml:space="preserve"> og David </w:t>
      </w:r>
      <w:proofErr w:type="spellStart"/>
      <w:r w:rsidRPr="00154436">
        <w:t>Rodríguez</w:t>
      </w:r>
      <w:proofErr w:type="spellEnd"/>
      <w:r w:rsidRPr="00154436">
        <w:t xml:space="preserve"> </w:t>
      </w:r>
      <w:proofErr w:type="spellStart"/>
      <w:r w:rsidRPr="00154436">
        <w:t>Ballesta</w:t>
      </w:r>
      <w:proofErr w:type="spellEnd"/>
      <w:r w:rsidRPr="00154436">
        <w:t xml:space="preserve"> i Ækvatorialguinea</w:t>
      </w:r>
      <w:bookmarkEnd w:id="1"/>
    </w:p>
    <w:p w14:paraId="16E4E025" w14:textId="1E0093CE" w:rsidR="002C736A" w:rsidRPr="00154436" w:rsidRDefault="002C736A" w:rsidP="002C736A">
      <w:pPr>
        <w:rPr>
          <w:i/>
          <w:vanish/>
        </w:rPr>
      </w:pPr>
      <w:r w:rsidRPr="00154436">
        <w:rPr>
          <w:i/>
        </w:rPr>
        <w:fldChar w:fldCharType="begin"/>
      </w:r>
      <w:r w:rsidRPr="00154436">
        <w:rPr>
          <w:i/>
        </w:rPr>
        <w:instrText xml:space="preserve"> TC"(</w:instrText>
      </w:r>
      <w:bookmarkStart w:id="2" w:name="DocNumber"/>
      <w:r w:rsidRPr="00154436">
        <w:rPr>
          <w:i/>
        </w:rPr>
        <w:instrText>B10-0439</w:instrText>
      </w:r>
      <w:r w:rsidR="007D12EA">
        <w:rPr>
          <w:i/>
        </w:rPr>
        <w:instrText>, 0440, 0441 og 0442</w:instrText>
      </w:r>
      <w:r w:rsidRPr="00154436">
        <w:rPr>
          <w:i/>
        </w:rPr>
        <w:instrText>/2025</w:instrText>
      </w:r>
      <w:bookmarkEnd w:id="2"/>
      <w:r w:rsidRPr="00154436">
        <w:rPr>
          <w:i/>
        </w:rPr>
        <w:instrText xml:space="preserve">)"\l3 \n&gt; \* MERGEFORMAT </w:instrText>
      </w:r>
      <w:r w:rsidRPr="00154436">
        <w:rPr>
          <w:i/>
        </w:rPr>
        <w:fldChar w:fldCharType="end"/>
      </w:r>
    </w:p>
    <w:p w14:paraId="6577A4AF" w14:textId="77777777" w:rsidR="002C736A" w:rsidRPr="00154436" w:rsidRDefault="002C736A" w:rsidP="002C736A">
      <w:pPr>
        <w:rPr>
          <w:vanish/>
        </w:rPr>
      </w:pPr>
      <w:bookmarkStart w:id="3" w:name="PE"/>
      <w:r w:rsidRPr="00154436">
        <w:rPr>
          <w:vanish/>
        </w:rPr>
        <w:t>PE778.756</w:t>
      </w:r>
      <w:bookmarkEnd w:id="3"/>
    </w:p>
    <w:p w14:paraId="39F5C516" w14:textId="77777777" w:rsidR="002C736A" w:rsidRPr="00154436" w:rsidRDefault="002C736A" w:rsidP="002C736A">
      <w:pPr>
        <w:pStyle w:val="ATHeading3"/>
      </w:pPr>
      <w:bookmarkStart w:id="4" w:name="Sujet"/>
      <w:r w:rsidRPr="00154436">
        <w:t xml:space="preserve">Europa-Parlamentets beslutning af 9. oktober 2025 om den vilkårlige tilbageholdelse af EU-borgerne Javier Marañón </w:t>
      </w:r>
      <w:proofErr w:type="spellStart"/>
      <w:r w:rsidRPr="00154436">
        <w:t>Montero</w:t>
      </w:r>
      <w:proofErr w:type="spellEnd"/>
      <w:r w:rsidRPr="00154436">
        <w:t xml:space="preserve"> og David </w:t>
      </w:r>
      <w:proofErr w:type="spellStart"/>
      <w:r w:rsidRPr="00154436">
        <w:t>Rodríguez</w:t>
      </w:r>
      <w:proofErr w:type="spellEnd"/>
      <w:r w:rsidRPr="00154436">
        <w:t xml:space="preserve"> </w:t>
      </w:r>
      <w:proofErr w:type="spellStart"/>
      <w:r w:rsidRPr="00154436">
        <w:t>Ballesta</w:t>
      </w:r>
      <w:proofErr w:type="spellEnd"/>
      <w:r w:rsidRPr="00154436">
        <w:t xml:space="preserve"> i Ækvatorialguinea</w:t>
      </w:r>
      <w:bookmarkEnd w:id="4"/>
      <w:r w:rsidRPr="00154436">
        <w:t xml:space="preserve"> </w:t>
      </w:r>
      <w:bookmarkStart w:id="5" w:name="References"/>
      <w:r w:rsidRPr="00154436">
        <w:t>(2025/2904(RSP))</w:t>
      </w:r>
      <w:bookmarkEnd w:id="5"/>
    </w:p>
    <w:p w14:paraId="24712EB4" w14:textId="77777777" w:rsidR="0058685A" w:rsidRPr="00154436" w:rsidRDefault="0058685A" w:rsidP="0058685A">
      <w:pPr>
        <w:pStyle w:val="EPComma"/>
      </w:pPr>
      <w:bookmarkStart w:id="6" w:name="TextBodyBegin"/>
      <w:bookmarkEnd w:id="6"/>
      <w:r w:rsidRPr="00154436">
        <w:rPr>
          <w:i/>
          <w:iCs/>
        </w:rPr>
        <w:t>Europa-Parlamentet,</w:t>
      </w:r>
    </w:p>
    <w:p w14:paraId="251968B6" w14:textId="77777777" w:rsidR="0058685A" w:rsidRPr="00154436" w:rsidRDefault="0058685A" w:rsidP="0058685A">
      <w:pPr>
        <w:pStyle w:val="NormalHanging12a"/>
      </w:pPr>
      <w:r w:rsidRPr="00154436">
        <w:t>–</w:t>
      </w:r>
      <w:r w:rsidRPr="00154436">
        <w:tab/>
        <w:t>der henviser til forretningsordenens artikel 150, stk. 5, og artikel 136, stk. 4,</w:t>
      </w:r>
    </w:p>
    <w:p w14:paraId="5AD2E63B" w14:textId="77777777" w:rsidR="0058685A" w:rsidRPr="00154436" w:rsidRDefault="0058685A" w:rsidP="0058685A">
      <w:pPr>
        <w:pStyle w:val="NormalHanging12a"/>
        <w:rPr>
          <w:rStyle w:val="citation-87"/>
          <w:color w:val="000000"/>
        </w:rPr>
      </w:pPr>
      <w:r w:rsidRPr="00154436">
        <w:t>A.</w:t>
      </w:r>
      <w:r w:rsidRPr="00154436">
        <w:tab/>
        <w:t xml:space="preserve">der henviser til, at de spanske borgere Javier Marañón </w:t>
      </w:r>
      <w:proofErr w:type="spellStart"/>
      <w:r w:rsidRPr="00154436">
        <w:t>Montero</w:t>
      </w:r>
      <w:proofErr w:type="spellEnd"/>
      <w:r w:rsidRPr="00154436">
        <w:t xml:space="preserve"> og David </w:t>
      </w:r>
      <w:proofErr w:type="spellStart"/>
      <w:r w:rsidRPr="00154436">
        <w:t>Rodríguez</w:t>
      </w:r>
      <w:proofErr w:type="spellEnd"/>
      <w:r w:rsidRPr="00154436">
        <w:t xml:space="preserve"> </w:t>
      </w:r>
      <w:proofErr w:type="spellStart"/>
      <w:r w:rsidRPr="00154436">
        <w:t>Ballesta</w:t>
      </w:r>
      <w:proofErr w:type="spellEnd"/>
      <w:r w:rsidRPr="00154436">
        <w:t xml:space="preserve"> blev arresteret i Malabo i midten af januar 2025 i forbindelse med et fejlslagent digitalt tv-projekt og </w:t>
      </w:r>
      <w:r w:rsidRPr="00154436">
        <w:rPr>
          <w:rStyle w:val="citation-88"/>
          <w:color w:val="000000"/>
        </w:rPr>
        <w:t>den 7. april 2025 blev overført til Black Beach fængslet</w:t>
      </w:r>
      <w:r w:rsidRPr="00154436">
        <w:rPr>
          <w:rStyle w:val="citation-87"/>
          <w:color w:val="000000"/>
        </w:rPr>
        <w:t>, der er kendt for dets umenneskelige forhold og systematiske krænkelser af menneskerettighederne</w:t>
      </w:r>
      <w:r w:rsidRPr="00154436">
        <w:t>;</w:t>
      </w:r>
    </w:p>
    <w:p w14:paraId="67D756A6" w14:textId="77777777" w:rsidR="0058685A" w:rsidRPr="00154436" w:rsidRDefault="0058685A" w:rsidP="0058685A">
      <w:pPr>
        <w:pStyle w:val="NormalHanging12a"/>
      </w:pPr>
      <w:r w:rsidRPr="00154436">
        <w:t>B.</w:t>
      </w:r>
      <w:r w:rsidRPr="00154436">
        <w:tab/>
        <w:t>der henviser til, at spanske konsulære anmodninger er blevet forsinket eller hindret, og at ambassadøren er blevet indkaldt; der henviser til, at tilbageholdelsen af disse EU-borgere har belastet forbindelserne mellem Spanien og Ækvatorialguinea og giver anledning til bekymring over beskyttelsen af EU-borgere i udlandet;</w:t>
      </w:r>
    </w:p>
    <w:p w14:paraId="4B2409C0" w14:textId="77777777" w:rsidR="0058685A" w:rsidRPr="00154436" w:rsidRDefault="0058685A" w:rsidP="0058685A">
      <w:pPr>
        <w:pStyle w:val="NormalHanging12a"/>
      </w:pPr>
      <w:r w:rsidRPr="00154436">
        <w:t>C.</w:t>
      </w:r>
      <w:r w:rsidRPr="00154436">
        <w:tab/>
        <w:t>der henviser til, at begge mænd blev sat i isolation som en gengældelsesforanstaltning og nægtet adgang til deres advokater og familier efter den ulovlige aflytning af deres private samtaler med spanske diplomater;</w:t>
      </w:r>
    </w:p>
    <w:p w14:paraId="4096F6B9" w14:textId="77777777" w:rsidR="0058685A" w:rsidRPr="00154436" w:rsidRDefault="0058685A" w:rsidP="0058685A">
      <w:pPr>
        <w:pStyle w:val="NormalHanging12a"/>
      </w:pPr>
      <w:r w:rsidRPr="00154436">
        <w:t>D.</w:t>
      </w:r>
      <w:r w:rsidRPr="00154436">
        <w:tab/>
        <w:t xml:space="preserve">der henviser til, at deres helbred angiveligt er alvorligt forværret, navnlig </w:t>
      </w:r>
      <w:proofErr w:type="spellStart"/>
      <w:r w:rsidRPr="00154436">
        <w:t>Montero</w:t>
      </w:r>
      <w:proofErr w:type="spellEnd"/>
      <w:r w:rsidRPr="00154436">
        <w:t>, på grund af en sultestrejke;</w:t>
      </w:r>
    </w:p>
    <w:p w14:paraId="7A83E73A" w14:textId="77777777" w:rsidR="0058685A" w:rsidRPr="00154436" w:rsidRDefault="0058685A" w:rsidP="0058685A">
      <w:pPr>
        <w:pStyle w:val="NormalHanging12a"/>
      </w:pPr>
      <w:bookmarkStart w:id="7" w:name="_Hlk210753313"/>
      <w:r w:rsidRPr="00154436">
        <w:t>E.</w:t>
      </w:r>
      <w:r w:rsidRPr="00154436">
        <w:tab/>
        <w:t xml:space="preserve">der henviser til, at Ækvatorialguinea siden 1979 er blevet styret af </w:t>
      </w:r>
      <w:proofErr w:type="spellStart"/>
      <w:r w:rsidRPr="00154436">
        <w:t>Teodoro</w:t>
      </w:r>
      <w:proofErr w:type="spellEnd"/>
      <w:r w:rsidRPr="00154436">
        <w:t xml:space="preserve"> </w:t>
      </w:r>
      <w:proofErr w:type="spellStart"/>
      <w:r w:rsidRPr="00154436">
        <w:t>Obiang</w:t>
      </w:r>
      <w:proofErr w:type="spellEnd"/>
      <w:r w:rsidRPr="00154436">
        <w:t xml:space="preserve"> </w:t>
      </w:r>
      <w:proofErr w:type="spellStart"/>
      <w:r w:rsidRPr="00154436">
        <w:t>Nguema's</w:t>
      </w:r>
      <w:proofErr w:type="spellEnd"/>
      <w:r w:rsidRPr="00154436">
        <w:t xml:space="preserve"> regime, der i vid udstrækning betragtes som et autoritært diktatur, der er kendetegnet ved alvorlige krænkelser af menneskerettighederne;</w:t>
      </w:r>
    </w:p>
    <w:p w14:paraId="314A9BF9" w14:textId="77777777" w:rsidR="0058685A" w:rsidRPr="00154436" w:rsidRDefault="0058685A" w:rsidP="0058685A">
      <w:pPr>
        <w:pStyle w:val="NormalHanging12a"/>
      </w:pPr>
      <w:r w:rsidRPr="00154436">
        <w:t>F.</w:t>
      </w:r>
      <w:r w:rsidRPr="00154436">
        <w:tab/>
        <w:t xml:space="preserve">der henviser til, at internationale og </w:t>
      </w:r>
      <w:proofErr w:type="spellStart"/>
      <w:r w:rsidRPr="00154436">
        <w:t>ikkestatslige</w:t>
      </w:r>
      <w:proofErr w:type="spellEnd"/>
      <w:r w:rsidRPr="00154436">
        <w:t xml:space="preserve"> organisationer konsekvent har rapporteret om krænkelser af menneskerettighederne, herunder vilkårlig tilbageholdelse og fængsling af udenlandske statsborgere, livstruende forhold i fængsler og tilbageholdelsesfaciliteter samt vold mod og tortur af tilbageholdte;</w:t>
      </w:r>
    </w:p>
    <w:p w14:paraId="164E7BB2" w14:textId="77777777" w:rsidR="0058685A" w:rsidRPr="00154436" w:rsidRDefault="0058685A" w:rsidP="0058685A">
      <w:pPr>
        <w:pStyle w:val="NormalHanging12a"/>
      </w:pPr>
      <w:r w:rsidRPr="00154436">
        <w:lastRenderedPageBreak/>
        <w:t>G.</w:t>
      </w:r>
      <w:r w:rsidRPr="00154436">
        <w:tab/>
        <w:t>der henviser til, at systemisk korruption sikrer, at nationens enorme olierigdom kun gavner en lille elite og efterlader størstedelen af befolkningen i ekstrem fattigdom;</w:t>
      </w:r>
    </w:p>
    <w:p w14:paraId="5BEC2624" w14:textId="77777777" w:rsidR="0058685A" w:rsidRPr="00154436" w:rsidRDefault="0058685A" w:rsidP="0058685A">
      <w:pPr>
        <w:pStyle w:val="NormalHanging12a"/>
        <w:rPr>
          <w:szCs w:val="24"/>
        </w:rPr>
      </w:pPr>
      <w:r w:rsidRPr="00154436">
        <w:t>1.</w:t>
      </w:r>
      <w:r w:rsidRPr="00154436">
        <w:tab/>
        <w:t xml:space="preserve">fordømmer på det kraftigste de gentagne tilfælde af uacceptable fængselsforhold og mishandling af fanger i Ækvatorialguinea; anser dem for at være en klar krænkelse af den internationale menneskerettighedslovgivning; opfordrer myndighederne til at træffe øjeblikkelige og betingelsesløse foranstaltninger, herunder ophævelse af varetægtsfængsling, for at sikre </w:t>
      </w:r>
      <w:proofErr w:type="spellStart"/>
      <w:r w:rsidRPr="00154436">
        <w:t>Montero</w:t>
      </w:r>
      <w:proofErr w:type="spellEnd"/>
      <w:r w:rsidRPr="00154436">
        <w:t xml:space="preserve"> og </w:t>
      </w:r>
      <w:proofErr w:type="spellStart"/>
      <w:r w:rsidRPr="00154436">
        <w:t>Ballestas</w:t>
      </w:r>
      <w:proofErr w:type="spellEnd"/>
      <w:r w:rsidRPr="00154436">
        <w:t xml:space="preserve"> trivsel og respekt for deres rettigheder, herunder retten til en retfærdig rettergang, adgang til lægebehandling og retten til juridisk rådgivning;</w:t>
      </w:r>
    </w:p>
    <w:p w14:paraId="0D80220D" w14:textId="77777777" w:rsidR="0058685A" w:rsidRPr="00154436" w:rsidRDefault="0058685A" w:rsidP="0058685A">
      <w:pPr>
        <w:pStyle w:val="NormalHanging12a"/>
      </w:pPr>
      <w:r w:rsidRPr="00154436">
        <w:t>2.</w:t>
      </w:r>
      <w:r w:rsidRPr="00154436">
        <w:tab/>
        <w:t xml:space="preserve">opfordrer de ækvatorialguineanske myndigheder til at sikre, at </w:t>
      </w:r>
      <w:proofErr w:type="spellStart"/>
      <w:r w:rsidRPr="00154436">
        <w:t>Montero</w:t>
      </w:r>
      <w:proofErr w:type="spellEnd"/>
      <w:r w:rsidRPr="00154436">
        <w:t xml:space="preserve"> får akut lægebehandling, og kræver, at han sikres en akut medicinsk evakuering;</w:t>
      </w:r>
    </w:p>
    <w:p w14:paraId="07A70094" w14:textId="77777777" w:rsidR="0058685A" w:rsidRPr="00154436" w:rsidRDefault="0058685A" w:rsidP="0058685A">
      <w:pPr>
        <w:pStyle w:val="NormalHanging12a"/>
        <w:rPr>
          <w:bCs/>
        </w:rPr>
      </w:pPr>
      <w:r w:rsidRPr="00154436">
        <w:t>3.</w:t>
      </w:r>
      <w:r w:rsidRPr="00154436">
        <w:tab/>
        <w:t>understreger, at vilkårlige anholdelser og tilbageholdelser skader landets omdømme, afskrækker fra internationale investeringer og internationalt samarbejde og kan påvirke dets forbindelser med EU negativt;</w:t>
      </w:r>
    </w:p>
    <w:p w14:paraId="2CCDD58E" w14:textId="77777777" w:rsidR="0058685A" w:rsidRPr="00154436" w:rsidRDefault="0058685A" w:rsidP="0058685A">
      <w:pPr>
        <w:pStyle w:val="NormalHanging12a"/>
        <w:rPr>
          <w:szCs w:val="24"/>
        </w:rPr>
      </w:pPr>
      <w:r w:rsidRPr="00154436">
        <w:t>4.</w:t>
      </w:r>
      <w:r w:rsidRPr="00154436">
        <w:tab/>
        <w:t>opfordrer næstformanden i Kommissionen/Unionens højtstående repræsentant for udenrigsanliggender og sikkerhedspolitik (NF/HR) og Tjenesten for EU's Optræden Udadtil til i tæt samarbejde med de spanske myndigheder at intensivere de diplomatiske bestræbelser i deres sager;</w:t>
      </w:r>
    </w:p>
    <w:p w14:paraId="6F866D5E" w14:textId="77777777" w:rsidR="0058685A" w:rsidRPr="00154436" w:rsidRDefault="0058685A" w:rsidP="0058685A">
      <w:pPr>
        <w:pStyle w:val="NormalHanging12a"/>
      </w:pPr>
      <w:r w:rsidRPr="00154436">
        <w:t>5.</w:t>
      </w:r>
      <w:r w:rsidRPr="00154436">
        <w:tab/>
        <w:t>udtrykker alvorlig bekymring over, at Ækvatorialguineas retsvæsen er underordnet regimet, og over manglen på juridisk ansvarlighed, den fortsatte tortur og umenneskelige fængselsforhold, den fortsatte forfølgelse af den politiske opposition, alvorlige begrænsninger af ytringsfriheden og andre krænkelser af menneskerettighederne i landet;</w:t>
      </w:r>
    </w:p>
    <w:bookmarkEnd w:id="7"/>
    <w:p w14:paraId="131EA59D" w14:textId="77777777" w:rsidR="0058685A" w:rsidRPr="00154436" w:rsidRDefault="0058685A" w:rsidP="0058685A">
      <w:pPr>
        <w:pStyle w:val="NormalHanging12a"/>
        <w:rPr>
          <w:szCs w:val="24"/>
        </w:rPr>
      </w:pPr>
      <w:r w:rsidRPr="00154436">
        <w:t>6.</w:t>
      </w:r>
      <w:r w:rsidRPr="00154436">
        <w:tab/>
        <w:t>opfordrer indtrængende Ækvatorialguinea til at undertegne Samoaaftalen</w:t>
      </w:r>
      <w:r w:rsidRPr="00154436">
        <w:rPr>
          <w:rStyle w:val="FootnoteReference"/>
          <w:szCs w:val="24"/>
        </w:rPr>
        <w:footnoteReference w:id="1"/>
      </w:r>
      <w:r w:rsidRPr="00154436">
        <w:t>;</w:t>
      </w:r>
    </w:p>
    <w:p w14:paraId="712E60F7" w14:textId="2D62AD48" w:rsidR="00E365E1" w:rsidRPr="00154436" w:rsidRDefault="0058685A" w:rsidP="006455AC">
      <w:pPr>
        <w:ind w:left="567" w:hanging="567"/>
      </w:pPr>
      <w:r w:rsidRPr="00154436">
        <w:t>7.</w:t>
      </w:r>
      <w:r w:rsidRPr="00154436">
        <w:tab/>
        <w:t>pålægger sin formand at sende denne beslutning til Rådet, Kommissionen, NF/HR, Kongeriget Spaniens og Republikken Ækvatorialguineas myndigheder, Den Afrikanske Union og FN's generalsekretær.</w:t>
      </w:r>
    </w:p>
    <w:sectPr w:rsidR="00E365E1" w:rsidRPr="00154436" w:rsidSect="001544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890D3" w14:textId="77777777" w:rsidR="002C736A" w:rsidRPr="00154436" w:rsidRDefault="002C736A">
      <w:r w:rsidRPr="00154436">
        <w:separator/>
      </w:r>
    </w:p>
  </w:endnote>
  <w:endnote w:type="continuationSeparator" w:id="0">
    <w:p w14:paraId="22AE48D3" w14:textId="77777777" w:rsidR="002C736A" w:rsidRPr="00154436" w:rsidRDefault="002C736A">
      <w:r w:rsidRPr="00154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C6AB" w14:textId="77777777" w:rsidR="00064002" w:rsidRPr="001544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0EA8" w14:textId="77777777" w:rsidR="00064002" w:rsidRPr="001544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4567" w14:textId="77777777" w:rsidR="00064002" w:rsidRPr="001544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369CC" w14:textId="77777777" w:rsidR="002C736A" w:rsidRPr="00154436" w:rsidRDefault="002C736A">
      <w:r w:rsidRPr="00154436">
        <w:separator/>
      </w:r>
    </w:p>
  </w:footnote>
  <w:footnote w:type="continuationSeparator" w:id="0">
    <w:p w14:paraId="1F1E1AF4" w14:textId="77777777" w:rsidR="002C736A" w:rsidRPr="00154436" w:rsidRDefault="002C736A">
      <w:r w:rsidRPr="00154436">
        <w:continuationSeparator/>
      </w:r>
    </w:p>
  </w:footnote>
  <w:footnote w:id="1">
    <w:p w14:paraId="16C8C6A0" w14:textId="0474D68B" w:rsidR="0058685A" w:rsidRPr="006455AC" w:rsidRDefault="0058685A" w:rsidP="00154436">
      <w:pPr>
        <w:pStyle w:val="FootnoteText"/>
        <w:ind w:left="567" w:hanging="567"/>
        <w:rPr>
          <w:sz w:val="24"/>
          <w:lang w:val="fi-FI"/>
        </w:rPr>
      </w:pPr>
      <w:r w:rsidRPr="00154436">
        <w:rPr>
          <w:rStyle w:val="FootnoteReference"/>
          <w:sz w:val="24"/>
          <w:lang w:val="da-DK"/>
        </w:rPr>
        <w:footnoteRef/>
      </w:r>
      <w:r w:rsidR="00154436" w:rsidRPr="006455AC">
        <w:rPr>
          <w:sz w:val="24"/>
          <w:lang w:val="fi-FI"/>
        </w:rPr>
        <w:t xml:space="preserve"> </w:t>
      </w:r>
      <w:r w:rsidR="00154436" w:rsidRPr="006455AC">
        <w:rPr>
          <w:sz w:val="24"/>
          <w:lang w:val="fi-FI"/>
        </w:rPr>
        <w:tab/>
      </w:r>
      <w:r w:rsidRPr="006455AC">
        <w:rPr>
          <w:sz w:val="24"/>
          <w:lang w:val="fi-FI"/>
        </w:rPr>
        <w:t xml:space="preserve">EUT L, 2023/2862, 28.12.2023, ELI: </w:t>
      </w:r>
      <w:hyperlink r:id="rId1" w:history="1">
        <w:r w:rsidRPr="006455AC">
          <w:rPr>
            <w:rStyle w:val="Hyperlink"/>
            <w:sz w:val="24"/>
            <w:lang w:val="fi-FI"/>
          </w:rPr>
          <w:t>http://data.europa.eu/eli/agree_internation/2023/2862/oj</w:t>
        </w:r>
      </w:hyperlink>
      <w:r w:rsidRPr="006455AC">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2B343" w14:textId="77777777" w:rsidR="00064002" w:rsidRPr="001544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BC2F" w14:textId="77777777" w:rsidR="00064002" w:rsidRPr="001544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0552" w14:textId="77777777" w:rsidR="00064002" w:rsidRPr="001544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4098607">
    <w:abstractNumId w:val="9"/>
  </w:num>
  <w:num w:numId="2" w16cid:durableId="2009477325">
    <w:abstractNumId w:val="9"/>
  </w:num>
  <w:num w:numId="3" w16cid:durableId="1371488595">
    <w:abstractNumId w:val="7"/>
  </w:num>
  <w:num w:numId="4" w16cid:durableId="963779276">
    <w:abstractNumId w:val="7"/>
  </w:num>
  <w:num w:numId="5" w16cid:durableId="1877740349">
    <w:abstractNumId w:val="6"/>
  </w:num>
  <w:num w:numId="6" w16cid:durableId="1162619593">
    <w:abstractNumId w:val="6"/>
  </w:num>
  <w:num w:numId="7" w16cid:durableId="599681661">
    <w:abstractNumId w:val="5"/>
  </w:num>
  <w:num w:numId="8" w16cid:durableId="393429153">
    <w:abstractNumId w:val="5"/>
  </w:num>
  <w:num w:numId="9" w16cid:durableId="1015612516">
    <w:abstractNumId w:val="4"/>
  </w:num>
  <w:num w:numId="10" w16cid:durableId="1353190208">
    <w:abstractNumId w:val="4"/>
  </w:num>
  <w:num w:numId="11" w16cid:durableId="425538614">
    <w:abstractNumId w:val="8"/>
  </w:num>
  <w:num w:numId="12" w16cid:durableId="315492998">
    <w:abstractNumId w:val="8"/>
  </w:num>
  <w:num w:numId="13" w16cid:durableId="567569931">
    <w:abstractNumId w:val="3"/>
  </w:num>
  <w:num w:numId="14" w16cid:durableId="2119138267">
    <w:abstractNumId w:val="3"/>
  </w:num>
  <w:num w:numId="15" w16cid:durableId="1184975678">
    <w:abstractNumId w:val="2"/>
  </w:num>
  <w:num w:numId="16" w16cid:durableId="4745250">
    <w:abstractNumId w:val="2"/>
  </w:num>
  <w:num w:numId="17" w16cid:durableId="87044859">
    <w:abstractNumId w:val="1"/>
  </w:num>
  <w:num w:numId="18" w16cid:durableId="1866215283">
    <w:abstractNumId w:val="1"/>
  </w:num>
  <w:num w:numId="19" w16cid:durableId="223417481">
    <w:abstractNumId w:val="0"/>
  </w:num>
  <w:num w:numId="20" w16cid:durableId="1247569224">
    <w:abstractNumId w:val="0"/>
  </w:num>
  <w:num w:numId="21" w16cid:durableId="571157320">
    <w:abstractNumId w:val="9"/>
  </w:num>
  <w:num w:numId="22" w16cid:durableId="356738159">
    <w:abstractNumId w:val="7"/>
  </w:num>
  <w:num w:numId="23" w16cid:durableId="1664552986">
    <w:abstractNumId w:val="6"/>
  </w:num>
  <w:num w:numId="24" w16cid:durableId="1873766187">
    <w:abstractNumId w:val="5"/>
  </w:num>
  <w:num w:numId="25" w16cid:durableId="621107921">
    <w:abstractNumId w:val="4"/>
  </w:num>
  <w:num w:numId="26" w16cid:durableId="1817449514">
    <w:abstractNumId w:val="8"/>
  </w:num>
  <w:num w:numId="27" w16cid:durableId="1870532576">
    <w:abstractNumId w:val="3"/>
  </w:num>
  <w:num w:numId="28" w16cid:durableId="1001009976">
    <w:abstractNumId w:val="2"/>
  </w:num>
  <w:num w:numId="29" w16cid:durableId="728957812">
    <w:abstractNumId w:val="1"/>
  </w:num>
  <w:num w:numId="30" w16cid:durableId="129593918">
    <w:abstractNumId w:val="0"/>
  </w:num>
  <w:num w:numId="31" w16cid:durableId="803238243">
    <w:abstractNumId w:val="9"/>
  </w:num>
  <w:num w:numId="32" w16cid:durableId="1473014407">
    <w:abstractNumId w:val="7"/>
  </w:num>
  <w:num w:numId="33" w16cid:durableId="286392340">
    <w:abstractNumId w:val="6"/>
  </w:num>
  <w:num w:numId="34" w16cid:durableId="277764744">
    <w:abstractNumId w:val="5"/>
  </w:num>
  <w:num w:numId="35" w16cid:durableId="838732712">
    <w:abstractNumId w:val="4"/>
  </w:num>
  <w:num w:numId="36" w16cid:durableId="1590649789">
    <w:abstractNumId w:val="8"/>
  </w:num>
  <w:num w:numId="37" w16cid:durableId="145634032">
    <w:abstractNumId w:val="3"/>
  </w:num>
  <w:num w:numId="38" w16cid:durableId="2044398362">
    <w:abstractNumId w:val="2"/>
  </w:num>
  <w:num w:numId="39" w16cid:durableId="64954390">
    <w:abstractNumId w:val="1"/>
  </w:num>
  <w:num w:numId="40" w16cid:durableId="69233486">
    <w:abstractNumId w:val="0"/>
  </w:num>
  <w:num w:numId="41" w16cid:durableId="323166847">
    <w:abstractNumId w:val="10"/>
  </w:num>
  <w:num w:numId="42" w16cid:durableId="655038225">
    <w:abstractNumId w:val="10"/>
  </w:num>
  <w:num w:numId="43" w16cid:durableId="296885108">
    <w:abstractNumId w:val="10"/>
  </w:num>
  <w:num w:numId="44" w16cid:durableId="544753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39/2025"/>
    <w:docVar w:name="dvlangue" w:val="DA"/>
    <w:docVar w:name="dvnumam" w:val="0"/>
    <w:docVar w:name="dvpe" w:val="778.756"/>
    <w:docVar w:name="dvtitre" w:val="Europa-Parlamentets beslutning af 9. oktober 2025 om den vilkårlige tilbageholdelse af EU-borgerne Javier Marañón Montero og David Rodríguez Ballesta i Ækvatorialguinea(2025/2904(RSP))"/>
  </w:docVars>
  <w:rsids>
    <w:rsidRoot w:val="002C736A"/>
    <w:rsid w:val="00002272"/>
    <w:rsid w:val="00064002"/>
    <w:rsid w:val="000677B9"/>
    <w:rsid w:val="000831BA"/>
    <w:rsid w:val="000A42CC"/>
    <w:rsid w:val="000E7DD9"/>
    <w:rsid w:val="0010095E"/>
    <w:rsid w:val="00112492"/>
    <w:rsid w:val="00125B37"/>
    <w:rsid w:val="00154436"/>
    <w:rsid w:val="00187494"/>
    <w:rsid w:val="001F32AE"/>
    <w:rsid w:val="002767FF"/>
    <w:rsid w:val="002B18FE"/>
    <w:rsid w:val="002B5493"/>
    <w:rsid w:val="002C736A"/>
    <w:rsid w:val="00314711"/>
    <w:rsid w:val="00343214"/>
    <w:rsid w:val="00361C00"/>
    <w:rsid w:val="00395FA1"/>
    <w:rsid w:val="003E15D4"/>
    <w:rsid w:val="00411CCE"/>
    <w:rsid w:val="0041666E"/>
    <w:rsid w:val="00421060"/>
    <w:rsid w:val="004477AE"/>
    <w:rsid w:val="00471C19"/>
    <w:rsid w:val="004867E3"/>
    <w:rsid w:val="00494A28"/>
    <w:rsid w:val="004C0004"/>
    <w:rsid w:val="004C5D52"/>
    <w:rsid w:val="0050519A"/>
    <w:rsid w:val="005072A1"/>
    <w:rsid w:val="00514517"/>
    <w:rsid w:val="00545827"/>
    <w:rsid w:val="00560270"/>
    <w:rsid w:val="0058685A"/>
    <w:rsid w:val="005C2568"/>
    <w:rsid w:val="005F1B17"/>
    <w:rsid w:val="006037C0"/>
    <w:rsid w:val="006455AC"/>
    <w:rsid w:val="006631B6"/>
    <w:rsid w:val="00680577"/>
    <w:rsid w:val="006F74FA"/>
    <w:rsid w:val="00731ADD"/>
    <w:rsid w:val="00734777"/>
    <w:rsid w:val="00747932"/>
    <w:rsid w:val="00751A4A"/>
    <w:rsid w:val="00756632"/>
    <w:rsid w:val="00762C74"/>
    <w:rsid w:val="00786EC0"/>
    <w:rsid w:val="007D12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CB634"/>
  <w15:chartTrackingRefBased/>
  <w15:docId w15:val="{D5C6F13D-D191-41BE-AFAF-F73C0503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685A"/>
    <w:pPr>
      <w:spacing w:after="240"/>
      <w:ind w:left="567" w:hanging="567"/>
    </w:pPr>
  </w:style>
  <w:style w:type="paragraph" w:customStyle="1" w:styleId="EPComma">
    <w:name w:val="EPComma"/>
    <w:basedOn w:val="Normal"/>
    <w:rsid w:val="0058685A"/>
    <w:pPr>
      <w:spacing w:before="480" w:after="240"/>
    </w:pPr>
  </w:style>
  <w:style w:type="character" w:styleId="Hyperlink">
    <w:name w:val="Hyperlink"/>
    <w:basedOn w:val="DefaultParagraphFont"/>
    <w:uiPriority w:val="99"/>
    <w:unhideWhenUsed/>
    <w:rsid w:val="0058685A"/>
    <w:rPr>
      <w:color w:val="0563C1" w:themeColor="hyperlink"/>
      <w:u w:val="single"/>
    </w:rPr>
  </w:style>
  <w:style w:type="character" w:customStyle="1" w:styleId="NormalHanging12aChar">
    <w:name w:val="NormalHanging12a Char"/>
    <w:basedOn w:val="DefaultParagraphFont"/>
    <w:link w:val="NormalHanging12a"/>
    <w:locked/>
    <w:rsid w:val="0058685A"/>
    <w:rPr>
      <w:sz w:val="24"/>
      <w:lang w:val="da-DK"/>
    </w:rPr>
  </w:style>
  <w:style w:type="character" w:customStyle="1" w:styleId="citation-88">
    <w:name w:val="citation-88"/>
    <w:basedOn w:val="DefaultParagraphFont"/>
    <w:rsid w:val="0058685A"/>
  </w:style>
  <w:style w:type="character" w:customStyle="1" w:styleId="citation-87">
    <w:name w:val="citation-87"/>
    <w:basedOn w:val="DefaultParagraphFont"/>
    <w:rsid w:val="0058685A"/>
  </w:style>
  <w:style w:type="paragraph" w:styleId="Revision">
    <w:name w:val="Revision"/>
    <w:hidden/>
    <w:uiPriority w:val="99"/>
    <w:semiHidden/>
    <w:rsid w:val="007D12E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2025-10-09T10:51:00Z</dcterms:created>
  <dcterms:modified xsi:type="dcterms:W3CDTF">2025-10-09T10:51:00Z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B10-0439/2025</vt:lpwstr>
  </property>
  <property fmtid="{D5CDD505-2E9C-101B-9397-08002B2CF9AE}" pid="4" name="&lt;Type&gt;">
    <vt:lpwstr>RR</vt:lpwstr>
  </property>
</Properties>
</file>