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44F8" w14:paraId="55A8A5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61EFD1" w14:textId="77777777" w:rsidR="00751A4A" w:rsidRPr="009A44F8" w:rsidRDefault="007E2BBF" w:rsidP="0010095E">
            <w:pPr>
              <w:pStyle w:val="EPName"/>
            </w:pPr>
            <w:r w:rsidRPr="009A44F8">
              <w:t xml:space="preserve">Parlamento </w:t>
            </w:r>
            <w:proofErr w:type="gramStart"/>
            <w:r w:rsidRPr="009A44F8">
              <w:t>Europeu</w:t>
            </w:r>
            <w:proofErr w:type="gramEnd"/>
          </w:p>
          <w:p w14:paraId="3B39D4CE" w14:textId="77777777" w:rsidR="00751A4A" w:rsidRPr="009A44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44F8">
              <w:t>2024</w:t>
            </w:r>
            <w:r w:rsidR="00817416" w:rsidRPr="009A44F8">
              <w:t>-202</w:t>
            </w:r>
            <w:r w:rsidRPr="009A44F8">
              <w:t>9</w:t>
            </w:r>
          </w:p>
        </w:tc>
        <w:tc>
          <w:tcPr>
            <w:tcW w:w="2268" w:type="dxa"/>
            <w:shd w:val="clear" w:color="auto" w:fill="auto"/>
          </w:tcPr>
          <w:p w14:paraId="34A5BF4C" w14:textId="77777777" w:rsidR="00751A4A" w:rsidRPr="009A44F8" w:rsidRDefault="00187494" w:rsidP="0010095E">
            <w:pPr>
              <w:pStyle w:val="EPLogo"/>
            </w:pPr>
            <w:r w:rsidRPr="009A44F8">
              <w:rPr>
                <w:noProof/>
                <w:lang w:eastAsia="ja-JP"/>
              </w:rPr>
              <w:drawing>
                <wp:inline distT="0" distB="0" distL="0" distR="0" wp14:anchorId="6D8B74D1" wp14:editId="1A0D55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F4E3E1" w14:textId="77777777" w:rsidR="00D058B8" w:rsidRPr="009A44F8" w:rsidRDefault="00D058B8" w:rsidP="004C5D52">
      <w:pPr>
        <w:pStyle w:val="LineTop"/>
      </w:pPr>
    </w:p>
    <w:p w14:paraId="6AD70A13" w14:textId="77777777" w:rsidR="00680577" w:rsidRPr="009A44F8" w:rsidRDefault="007E2BBF" w:rsidP="00680577">
      <w:pPr>
        <w:pStyle w:val="EPBodyTA1"/>
      </w:pPr>
      <w:r w:rsidRPr="009A44F8">
        <w:t>TEXTOS APROVADOS</w:t>
      </w:r>
    </w:p>
    <w:p w14:paraId="56AA64DA" w14:textId="77777777" w:rsidR="00D058B8" w:rsidRPr="009A44F8" w:rsidRDefault="00D058B8" w:rsidP="00D058B8">
      <w:pPr>
        <w:pStyle w:val="LineBottom"/>
      </w:pPr>
    </w:p>
    <w:p w14:paraId="61EBD30A" w14:textId="416BFC40" w:rsidR="007E2BBF" w:rsidRPr="009A44F8" w:rsidRDefault="007E2BBF" w:rsidP="007E2BBF">
      <w:pPr>
        <w:pStyle w:val="ATHeading1"/>
      </w:pPr>
      <w:bookmarkStart w:id="0" w:name="TANumber"/>
      <w:r w:rsidRPr="009A44F8">
        <w:t>P10_TA(2025)0</w:t>
      </w:r>
      <w:r w:rsidR="009A44F8" w:rsidRPr="009A44F8">
        <w:t>223</w:t>
      </w:r>
      <w:bookmarkEnd w:id="0"/>
    </w:p>
    <w:p w14:paraId="2F0C0A4A" w14:textId="77777777" w:rsidR="007E2BBF" w:rsidRPr="009A44F8" w:rsidRDefault="007E2BBF" w:rsidP="007E2BBF">
      <w:pPr>
        <w:pStyle w:val="ATHeading2"/>
      </w:pPr>
      <w:bookmarkStart w:id="1" w:name="title"/>
      <w:r w:rsidRPr="009A44F8">
        <w:t xml:space="preserve">Detenção arbitrária dos cidadãos da UE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 xml:space="preserve"> e David Rodríguez </w:t>
      </w:r>
      <w:proofErr w:type="spellStart"/>
      <w:r w:rsidRPr="009A44F8">
        <w:t>Ballesta</w:t>
      </w:r>
      <w:proofErr w:type="spellEnd"/>
      <w:r w:rsidRPr="009A44F8">
        <w:t xml:space="preserve"> na Guiné Equatorial</w:t>
      </w:r>
      <w:bookmarkEnd w:id="1"/>
    </w:p>
    <w:p w14:paraId="7BF382AF" w14:textId="77777777" w:rsidR="007E2BBF" w:rsidRPr="009A44F8" w:rsidRDefault="007E2BBF" w:rsidP="007E2BBF">
      <w:pPr>
        <w:rPr>
          <w:i/>
          <w:vanish/>
        </w:rPr>
      </w:pPr>
      <w:r w:rsidRPr="009A44F8">
        <w:rPr>
          <w:i/>
        </w:rPr>
        <w:fldChar w:fldCharType="begin"/>
      </w:r>
      <w:r w:rsidRPr="009A44F8">
        <w:rPr>
          <w:i/>
        </w:rPr>
        <w:instrText xml:space="preserve"> TC"(</w:instrText>
      </w:r>
      <w:bookmarkStart w:id="2" w:name="DocNumber"/>
      <w:r w:rsidRPr="009A44F8">
        <w:rPr>
          <w:i/>
        </w:rPr>
        <w:instrText>B10-0439, 0440, 0441 e 0442/2025</w:instrText>
      </w:r>
      <w:bookmarkEnd w:id="2"/>
      <w:r w:rsidRPr="009A44F8">
        <w:rPr>
          <w:i/>
        </w:rPr>
        <w:instrText xml:space="preserve">)"\l3 \n&gt; \* MERGEFORMAT </w:instrText>
      </w:r>
      <w:r w:rsidRPr="009A44F8">
        <w:rPr>
          <w:i/>
        </w:rPr>
        <w:fldChar w:fldCharType="end"/>
      </w:r>
    </w:p>
    <w:p w14:paraId="47E9708E" w14:textId="77777777" w:rsidR="007E2BBF" w:rsidRPr="009A44F8" w:rsidRDefault="007E2BBF" w:rsidP="007E2BBF">
      <w:pPr>
        <w:rPr>
          <w:vanish/>
        </w:rPr>
      </w:pPr>
      <w:bookmarkStart w:id="3" w:name="PE"/>
      <w:r w:rsidRPr="009A44F8">
        <w:rPr>
          <w:vanish/>
        </w:rPr>
        <w:t>PE778.756</w:t>
      </w:r>
      <w:bookmarkEnd w:id="3"/>
    </w:p>
    <w:p w14:paraId="653F95D2" w14:textId="0634738A" w:rsidR="007E2BBF" w:rsidRPr="009A44F8" w:rsidRDefault="007E2BBF" w:rsidP="007E2BBF">
      <w:pPr>
        <w:pStyle w:val="ATHeading3"/>
      </w:pPr>
      <w:bookmarkStart w:id="4" w:name="Sujet"/>
      <w:r w:rsidRPr="009A44F8">
        <w:t xml:space="preserve">Resolução do Parlamento Europeu, de </w:t>
      </w:r>
      <w:r w:rsidR="00285AE2" w:rsidRPr="009A44F8">
        <w:t>9</w:t>
      </w:r>
      <w:r w:rsidRPr="009A44F8">
        <w:t xml:space="preserve"> de </w:t>
      </w:r>
      <w:r w:rsidR="00285AE2" w:rsidRPr="009A44F8">
        <w:t xml:space="preserve">outubro </w:t>
      </w:r>
      <w:r w:rsidRPr="009A44F8">
        <w:t xml:space="preserve">de 2025, sobre a detenção arbitrária dos cidadãos da UE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 xml:space="preserve"> e David Rodríguez </w:t>
      </w:r>
      <w:proofErr w:type="spellStart"/>
      <w:r w:rsidRPr="009A44F8">
        <w:t>Ballesta</w:t>
      </w:r>
      <w:proofErr w:type="spellEnd"/>
      <w:r w:rsidRPr="009A44F8">
        <w:t xml:space="preserve"> na Guiné Equatorial</w:t>
      </w:r>
      <w:bookmarkEnd w:id="4"/>
      <w:r w:rsidRPr="009A44F8">
        <w:t xml:space="preserve"> </w:t>
      </w:r>
      <w:bookmarkStart w:id="5" w:name="References"/>
      <w:r w:rsidRPr="009A44F8">
        <w:t>(2025/2904(RSP))</w:t>
      </w:r>
      <w:bookmarkEnd w:id="5"/>
    </w:p>
    <w:p w14:paraId="7C1681DF" w14:textId="77777777" w:rsidR="000D681D" w:rsidRPr="009A44F8" w:rsidRDefault="000D681D" w:rsidP="000D681D">
      <w:pPr>
        <w:pStyle w:val="EPComma"/>
      </w:pPr>
      <w:bookmarkStart w:id="6" w:name="TextBodyBegin"/>
      <w:bookmarkEnd w:id="6"/>
      <w:r w:rsidRPr="009A44F8">
        <w:rPr>
          <w:i/>
        </w:rPr>
        <w:t>O Parlamento Europeu</w:t>
      </w:r>
      <w:r w:rsidRPr="009A44F8">
        <w:t>,</w:t>
      </w:r>
    </w:p>
    <w:p w14:paraId="06813663" w14:textId="77777777" w:rsidR="000D681D" w:rsidRPr="009A44F8" w:rsidRDefault="000D681D" w:rsidP="000D681D">
      <w:pPr>
        <w:pStyle w:val="NormalHanging12a"/>
      </w:pPr>
      <w:r w:rsidRPr="009A44F8">
        <w:t>–</w:t>
      </w:r>
      <w:r w:rsidRPr="009A44F8">
        <w:tab/>
        <w:t>Tendo em conta o artigo 150.º, n.º 5, e o artigo 136.º, n.º 4, do seu Regimento,</w:t>
      </w:r>
    </w:p>
    <w:p w14:paraId="26101682" w14:textId="77777777" w:rsidR="000D681D" w:rsidRPr="009A44F8" w:rsidRDefault="000D681D" w:rsidP="000D681D">
      <w:pPr>
        <w:pStyle w:val="NormalHanging12a"/>
        <w:rPr>
          <w:rStyle w:val="citation-87"/>
          <w:color w:val="000000"/>
        </w:rPr>
      </w:pPr>
      <w:r w:rsidRPr="009A44F8">
        <w:t>A.</w:t>
      </w:r>
      <w:r w:rsidRPr="009A44F8">
        <w:tab/>
        <w:t xml:space="preserve">Considerando que os cidadãos espanhóis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 xml:space="preserve"> e David Rodríguez </w:t>
      </w:r>
      <w:proofErr w:type="spellStart"/>
      <w:r w:rsidRPr="009A44F8">
        <w:t>Ballesta</w:t>
      </w:r>
      <w:proofErr w:type="spellEnd"/>
      <w:r w:rsidRPr="009A44F8">
        <w:t xml:space="preserve"> foram detidos em Malabo, em meados de janeiro de 2025, pela sua ligação a um projeto falhado de televisão digital, e que, </w:t>
      </w:r>
      <w:r w:rsidRPr="009A44F8">
        <w:rPr>
          <w:rStyle w:val="citation-88"/>
          <w:color w:val="000000"/>
        </w:rPr>
        <w:t>em 7 de abril de 2025, foram transferidos para a prisão da Praia Negra</w:t>
      </w:r>
      <w:r w:rsidRPr="009A44F8">
        <w:rPr>
          <w:rStyle w:val="citation-87"/>
          <w:color w:val="000000"/>
        </w:rPr>
        <w:t>, conhecida pelas suas condições desumanas e violações sistemáticas dos direitos humanos;</w:t>
      </w:r>
    </w:p>
    <w:p w14:paraId="523C48F3" w14:textId="2592F475" w:rsidR="000D681D" w:rsidRPr="009A44F8" w:rsidRDefault="000D681D" w:rsidP="000D681D">
      <w:pPr>
        <w:pStyle w:val="NormalHanging12a"/>
      </w:pPr>
      <w:r w:rsidRPr="009A44F8">
        <w:t>B.</w:t>
      </w:r>
      <w:r w:rsidRPr="009A44F8">
        <w:tab/>
        <w:t>Considerando que os pedidos consulares espanhóis foram sujeitos a atrasos ou a obstrução e que o embaixador foi convocado</w:t>
      </w:r>
      <w:r w:rsidR="004C08BF" w:rsidRPr="009A44F8">
        <w:t>; considerando que</w:t>
      </w:r>
      <w:r w:rsidRPr="009A44F8">
        <w:t xml:space="preserve"> a detenção destes cidadãos da UE gerou tensão nas relações entre a Espanha e a Guiné Equatorial e levanta preocupações quanto à proteção dos cidadãos da UE no estrangeiro;</w:t>
      </w:r>
    </w:p>
    <w:p w14:paraId="6DC7764E" w14:textId="77777777" w:rsidR="000D681D" w:rsidRPr="009A44F8" w:rsidRDefault="000D681D" w:rsidP="000D681D">
      <w:pPr>
        <w:pStyle w:val="NormalHanging12a"/>
      </w:pPr>
      <w:r w:rsidRPr="009A44F8">
        <w:t>C.</w:t>
      </w:r>
      <w:r w:rsidRPr="009A44F8">
        <w:tab/>
        <w:t>Considerando que os dois cidadãos foram colocados em isolamento e proibidos de contactar os seus advogados e as suas famílias, em represália, após as suas conversas privadas com diplomatas espanhóis terem sido ilegalmente intercetadas;</w:t>
      </w:r>
    </w:p>
    <w:p w14:paraId="18127AFC" w14:textId="77777777" w:rsidR="000D681D" w:rsidRPr="009A44F8" w:rsidRDefault="000D681D" w:rsidP="000D681D">
      <w:pPr>
        <w:pStyle w:val="NormalHanging12a"/>
      </w:pPr>
      <w:r w:rsidRPr="009A44F8">
        <w:t>D.</w:t>
      </w:r>
      <w:r w:rsidRPr="009A44F8">
        <w:tab/>
        <w:t xml:space="preserve">Considerando que há relatos de que o estado de saúde dos dois cidadãos se está a deteriorar seriamente, em particular o de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>, devido a uma greve de fome;</w:t>
      </w:r>
    </w:p>
    <w:p w14:paraId="1804D7B6" w14:textId="77777777" w:rsidR="000D681D" w:rsidRPr="009A44F8" w:rsidRDefault="000D681D" w:rsidP="000D681D">
      <w:pPr>
        <w:pStyle w:val="NormalHanging12a"/>
      </w:pPr>
      <w:bookmarkStart w:id="7" w:name="_Hlk210753313"/>
      <w:r w:rsidRPr="009A44F8">
        <w:t>E.</w:t>
      </w:r>
      <w:r w:rsidRPr="009A44F8">
        <w:tab/>
        <w:t xml:space="preserve">Considerando que, desde 1979, a Guiné Equatorial é governada por Teodoro Obiang </w:t>
      </w:r>
      <w:proofErr w:type="spellStart"/>
      <w:r w:rsidRPr="009A44F8">
        <w:t>Nguema</w:t>
      </w:r>
      <w:proofErr w:type="spellEnd"/>
      <w:r w:rsidRPr="009A44F8">
        <w:t>, cujo regime é amplamente considerado uma ditadura autoritária, caracterizada por violações graves dos direitos humanos;</w:t>
      </w:r>
    </w:p>
    <w:p w14:paraId="0CD42382" w14:textId="77777777" w:rsidR="000D681D" w:rsidRPr="009A44F8" w:rsidRDefault="000D681D" w:rsidP="000D681D">
      <w:pPr>
        <w:pStyle w:val="NormalHanging12a"/>
      </w:pPr>
      <w:r w:rsidRPr="009A44F8">
        <w:t>F.</w:t>
      </w:r>
      <w:r w:rsidRPr="009A44F8">
        <w:tab/>
        <w:t xml:space="preserve">Considerando que organizações internacionais e não governamentais têm sistematicamente denunciado violações dos direitos humanos, como a detenção e o encarceramento arbitrários de cidadãos estrangeiros, condições potencialmente fatais </w:t>
      </w:r>
      <w:r w:rsidRPr="009A44F8">
        <w:lastRenderedPageBreak/>
        <w:t>nas prisões e nos centros de detenção, bem como tortura e atos de violência contra os detidos;</w:t>
      </w:r>
    </w:p>
    <w:p w14:paraId="4162E328" w14:textId="77777777" w:rsidR="000D681D" w:rsidRPr="009A44F8" w:rsidRDefault="000D681D" w:rsidP="000D681D">
      <w:pPr>
        <w:pStyle w:val="NormalHanging12a"/>
      </w:pPr>
      <w:r w:rsidRPr="009A44F8">
        <w:t>G.</w:t>
      </w:r>
      <w:r w:rsidRPr="009A44F8">
        <w:tab/>
        <w:t>Considerando que, devido à corrupção sistémica, a imensa riqueza petrolífera da nação beneficia apenas uma pequena elite, deixando a maior parte da população em situação de pobreza extrema;</w:t>
      </w:r>
    </w:p>
    <w:p w14:paraId="09B14077" w14:textId="77777777" w:rsidR="000D681D" w:rsidRPr="009A44F8" w:rsidRDefault="000D681D" w:rsidP="000D681D">
      <w:pPr>
        <w:pStyle w:val="NormalHanging12a"/>
        <w:rPr>
          <w:szCs w:val="24"/>
        </w:rPr>
      </w:pPr>
      <w:r w:rsidRPr="009A44F8">
        <w:t>1.</w:t>
      </w:r>
      <w:r w:rsidRPr="009A44F8">
        <w:tab/>
        <w:t>Condena com veemência os repetidos casos de detenção em condições inaceitáveis e de maus</w:t>
      </w:r>
      <w:r w:rsidRPr="009A44F8">
        <w:noBreakHyphen/>
        <w:t>tratos infligidos aos presos na Guiné Equatorial; considera que tais atos constituem uma clara violação do direito internacional em matéria de direitos humanos; solicita às autoridades que tomem medidas imediatas e incondicionais, incluindo o levantamento da prisão preventiva, para garantir o bem</w:t>
      </w:r>
      <w:r w:rsidRPr="009A44F8">
        <w:noBreakHyphen/>
        <w:t xml:space="preserve">estar de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 xml:space="preserve"> e David Rodríguez </w:t>
      </w:r>
      <w:proofErr w:type="spellStart"/>
      <w:r w:rsidRPr="009A44F8">
        <w:t>Ballesta</w:t>
      </w:r>
      <w:proofErr w:type="spellEnd"/>
      <w:r w:rsidRPr="009A44F8">
        <w:t xml:space="preserve"> e o respeito dos seus direitos, nomeadamente o direito a um tribunal imparcial, o acesso a cuidados médicos e aconselhamento jurídico;</w:t>
      </w:r>
    </w:p>
    <w:p w14:paraId="7002BAEB" w14:textId="77777777" w:rsidR="000D681D" w:rsidRPr="009A44F8" w:rsidRDefault="000D681D" w:rsidP="000D681D">
      <w:pPr>
        <w:pStyle w:val="NormalHanging12a"/>
      </w:pPr>
      <w:r w:rsidRPr="009A44F8">
        <w:t>2.</w:t>
      </w:r>
      <w:r w:rsidRPr="009A44F8">
        <w:tab/>
        <w:t xml:space="preserve">Insta as autoridades </w:t>
      </w:r>
      <w:proofErr w:type="spellStart"/>
      <w:r w:rsidRPr="009A44F8">
        <w:t>equato</w:t>
      </w:r>
      <w:proofErr w:type="spellEnd"/>
      <w:r w:rsidRPr="009A44F8">
        <w:noBreakHyphen/>
        <w:t xml:space="preserve">guineenses a garantirem que Javier </w:t>
      </w:r>
      <w:proofErr w:type="spellStart"/>
      <w:r w:rsidRPr="009A44F8">
        <w:t>Marañón</w:t>
      </w:r>
      <w:proofErr w:type="spellEnd"/>
      <w:r w:rsidRPr="009A44F8">
        <w:t xml:space="preserve"> </w:t>
      </w:r>
      <w:proofErr w:type="spellStart"/>
      <w:r w:rsidRPr="009A44F8">
        <w:t>Montero</w:t>
      </w:r>
      <w:proofErr w:type="spellEnd"/>
      <w:r w:rsidRPr="009A44F8">
        <w:t xml:space="preserve"> recebe tratamento médico urgente, e exige que seja autorizada a sua evacuação médica urgente;</w:t>
      </w:r>
    </w:p>
    <w:p w14:paraId="33C9B139" w14:textId="77777777" w:rsidR="000D681D" w:rsidRPr="009A44F8" w:rsidRDefault="000D681D" w:rsidP="000D681D">
      <w:pPr>
        <w:pStyle w:val="NormalHanging12a"/>
        <w:rPr>
          <w:bCs/>
        </w:rPr>
      </w:pPr>
      <w:r w:rsidRPr="009A44F8">
        <w:t>3.</w:t>
      </w:r>
      <w:r w:rsidRPr="009A44F8">
        <w:tab/>
        <w:t>Salienta que as detenções e encarceramentos arbitrários são prejudiciais para a reputação do país, dissuadem o investimento e a cooperação internacionais e podem ter um efeito negativo nas relações do país com a UE;</w:t>
      </w:r>
    </w:p>
    <w:p w14:paraId="5BA0A841" w14:textId="67D0F1E6" w:rsidR="000D681D" w:rsidRPr="009A44F8" w:rsidRDefault="000D681D" w:rsidP="000D681D">
      <w:pPr>
        <w:pStyle w:val="NormalHanging12a"/>
        <w:rPr>
          <w:szCs w:val="24"/>
        </w:rPr>
      </w:pPr>
      <w:r w:rsidRPr="009A44F8">
        <w:t>4.</w:t>
      </w:r>
      <w:r w:rsidRPr="009A44F8">
        <w:tab/>
        <w:t xml:space="preserve">Insta a </w:t>
      </w:r>
      <w:r w:rsidR="004C08BF" w:rsidRPr="009A44F8">
        <w:t>V</w:t>
      </w:r>
      <w:r w:rsidRPr="009A44F8">
        <w:t>ice</w:t>
      </w:r>
      <w:r w:rsidRPr="009A44F8">
        <w:noBreakHyphen/>
      </w:r>
      <w:r w:rsidR="004C08BF" w:rsidRPr="009A44F8">
        <w:t>P</w:t>
      </w:r>
      <w:r w:rsidRPr="009A44F8">
        <w:t>residente da Comissão/</w:t>
      </w:r>
      <w:r w:rsidR="004C08BF" w:rsidRPr="009A44F8">
        <w:t>A</w:t>
      </w:r>
      <w:r w:rsidRPr="009A44F8">
        <w:t xml:space="preserve">lta </w:t>
      </w:r>
      <w:r w:rsidR="004C08BF" w:rsidRPr="009A44F8">
        <w:t>R</w:t>
      </w:r>
      <w:r w:rsidRPr="009A44F8">
        <w:t>epresentante da União para os Negócios Estrangeiros e a Política de Segurança (VP/AR) e o Serviço Europeu para a Ação Externa, em estreita coordenação com as autoridades espanholas, a intensificarem as diligências diplomáticas relativas aos casos em apreço;</w:t>
      </w:r>
    </w:p>
    <w:p w14:paraId="3D63A991" w14:textId="77777777" w:rsidR="000D681D" w:rsidRPr="009A44F8" w:rsidRDefault="000D681D" w:rsidP="000D681D">
      <w:pPr>
        <w:pStyle w:val="NormalHanging12a"/>
      </w:pPr>
      <w:r w:rsidRPr="009A44F8">
        <w:t>5.</w:t>
      </w:r>
      <w:r w:rsidRPr="009A44F8">
        <w:tab/>
        <w:t>Manifesta séria preocupação com a subordinação do sistema judiciário da Guiné Equatorial ao regime e com a ausência de responsabilização judicial, com os atos de tortura e as condições desumanas nas prisões, com a perseguição contínua da oposição política, as graves restrições à liberdade de expressão e outras violações dos direitos humanos no país;</w:t>
      </w:r>
    </w:p>
    <w:bookmarkEnd w:id="7"/>
    <w:p w14:paraId="336D055B" w14:textId="77777777" w:rsidR="000D681D" w:rsidRPr="009A44F8" w:rsidRDefault="000D681D" w:rsidP="000D681D">
      <w:pPr>
        <w:pStyle w:val="NormalHanging12a"/>
        <w:rPr>
          <w:szCs w:val="24"/>
        </w:rPr>
      </w:pPr>
      <w:r w:rsidRPr="009A44F8">
        <w:t>6.</w:t>
      </w:r>
      <w:r w:rsidRPr="009A44F8">
        <w:tab/>
        <w:t>Exorta a Guiné Equatorial a assinar o Acordo de Samoa</w:t>
      </w:r>
      <w:r w:rsidRPr="009A44F8">
        <w:rPr>
          <w:rStyle w:val="FootnoteReference"/>
          <w:szCs w:val="24"/>
        </w:rPr>
        <w:footnoteReference w:id="1"/>
      </w:r>
      <w:r w:rsidRPr="009A44F8">
        <w:t>;</w:t>
      </w:r>
    </w:p>
    <w:p w14:paraId="70970B41" w14:textId="7D366D81" w:rsidR="00E365E1" w:rsidRPr="009A44F8" w:rsidRDefault="000D681D" w:rsidP="009A44F8">
      <w:pPr>
        <w:pStyle w:val="NormalHanging12a"/>
      </w:pPr>
      <w:r w:rsidRPr="009A44F8">
        <w:t>7.</w:t>
      </w:r>
      <w:r w:rsidRPr="009A44F8">
        <w:tab/>
        <w:t>Encarrega a sua Presidente de transmitir a presente resolução ao Conselho, à Comissão, à VP/AR, às autoridades do Reino de Espanha e da República da Guiné Equatorial, à União Africana e ao Secretário</w:t>
      </w:r>
      <w:r w:rsidRPr="009A44F8">
        <w:noBreakHyphen/>
        <w:t>Geral das Nações Unidas.</w:t>
      </w:r>
    </w:p>
    <w:sectPr w:rsidR="00E365E1" w:rsidRPr="009A44F8" w:rsidSect="004E38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5CA4D" w14:textId="77777777" w:rsidR="007E2BBF" w:rsidRPr="004E38D6" w:rsidRDefault="007E2BBF">
      <w:r w:rsidRPr="004E38D6">
        <w:separator/>
      </w:r>
    </w:p>
  </w:endnote>
  <w:endnote w:type="continuationSeparator" w:id="0">
    <w:p w14:paraId="2EAC7494" w14:textId="77777777" w:rsidR="007E2BBF" w:rsidRPr="004E38D6" w:rsidRDefault="007E2BBF">
      <w:r w:rsidRPr="004E38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4B51" w14:textId="77777777" w:rsidR="00064002" w:rsidRPr="004E38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BEC45" w14:textId="77777777" w:rsidR="00064002" w:rsidRPr="004E38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6A2E" w14:textId="77777777" w:rsidR="00064002" w:rsidRPr="004E38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889C2" w14:textId="77777777" w:rsidR="007E2BBF" w:rsidRPr="004E38D6" w:rsidRDefault="007E2BBF">
      <w:r w:rsidRPr="004E38D6">
        <w:separator/>
      </w:r>
    </w:p>
  </w:footnote>
  <w:footnote w:type="continuationSeparator" w:id="0">
    <w:p w14:paraId="5B532C8F" w14:textId="77777777" w:rsidR="007E2BBF" w:rsidRPr="004E38D6" w:rsidRDefault="007E2BBF">
      <w:r w:rsidRPr="004E38D6">
        <w:continuationSeparator/>
      </w:r>
    </w:p>
  </w:footnote>
  <w:footnote w:id="1">
    <w:p w14:paraId="778C443C" w14:textId="49FD7CF9" w:rsidR="000D681D" w:rsidRPr="009A44F8" w:rsidRDefault="000D681D" w:rsidP="004E38D6">
      <w:pPr>
        <w:pStyle w:val="FootnoteText"/>
        <w:ind w:left="567" w:hanging="567"/>
        <w:rPr>
          <w:sz w:val="24"/>
          <w:lang w:val="fi-FI"/>
        </w:rPr>
      </w:pPr>
      <w:r w:rsidRPr="004E38D6">
        <w:rPr>
          <w:rStyle w:val="FootnoteReference"/>
          <w:sz w:val="24"/>
          <w:lang w:val="pt-PT"/>
        </w:rPr>
        <w:footnoteRef/>
      </w:r>
      <w:r w:rsidR="004E38D6" w:rsidRPr="009A44F8">
        <w:rPr>
          <w:sz w:val="24"/>
          <w:lang w:val="fi-FI"/>
        </w:rPr>
        <w:t xml:space="preserve"> </w:t>
      </w:r>
      <w:r w:rsidR="004E38D6" w:rsidRPr="009A44F8">
        <w:rPr>
          <w:sz w:val="24"/>
          <w:lang w:val="fi-FI"/>
        </w:rPr>
        <w:tab/>
      </w:r>
      <w:r w:rsidRPr="009A44F8">
        <w:rPr>
          <w:sz w:val="24"/>
          <w:lang w:val="fi-FI"/>
        </w:rPr>
        <w:t xml:space="preserve">JO L, 2023/2862, 28.12.2023, ELI: </w:t>
      </w:r>
      <w:hyperlink r:id="rId1" w:history="1">
        <w:r w:rsidRPr="009A44F8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9A44F8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56F4" w14:textId="77777777" w:rsidR="00064002" w:rsidRPr="004E38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A8AF" w14:textId="77777777" w:rsidR="00064002" w:rsidRPr="004E38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215B9" w14:textId="77777777" w:rsidR="00064002" w:rsidRPr="004E38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9342322">
    <w:abstractNumId w:val="9"/>
  </w:num>
  <w:num w:numId="2" w16cid:durableId="818419991">
    <w:abstractNumId w:val="9"/>
  </w:num>
  <w:num w:numId="3" w16cid:durableId="878905584">
    <w:abstractNumId w:val="7"/>
  </w:num>
  <w:num w:numId="4" w16cid:durableId="572740096">
    <w:abstractNumId w:val="7"/>
  </w:num>
  <w:num w:numId="5" w16cid:durableId="6442975">
    <w:abstractNumId w:val="6"/>
  </w:num>
  <w:num w:numId="6" w16cid:durableId="1458334999">
    <w:abstractNumId w:val="6"/>
  </w:num>
  <w:num w:numId="7" w16cid:durableId="850073266">
    <w:abstractNumId w:val="5"/>
  </w:num>
  <w:num w:numId="8" w16cid:durableId="993098322">
    <w:abstractNumId w:val="5"/>
  </w:num>
  <w:num w:numId="9" w16cid:durableId="1330019719">
    <w:abstractNumId w:val="4"/>
  </w:num>
  <w:num w:numId="10" w16cid:durableId="1641883166">
    <w:abstractNumId w:val="4"/>
  </w:num>
  <w:num w:numId="11" w16cid:durableId="1116827703">
    <w:abstractNumId w:val="8"/>
  </w:num>
  <w:num w:numId="12" w16cid:durableId="477965128">
    <w:abstractNumId w:val="8"/>
  </w:num>
  <w:num w:numId="13" w16cid:durableId="215355474">
    <w:abstractNumId w:val="3"/>
  </w:num>
  <w:num w:numId="14" w16cid:durableId="1612515191">
    <w:abstractNumId w:val="3"/>
  </w:num>
  <w:num w:numId="15" w16cid:durableId="1802724356">
    <w:abstractNumId w:val="2"/>
  </w:num>
  <w:num w:numId="16" w16cid:durableId="1003170671">
    <w:abstractNumId w:val="2"/>
  </w:num>
  <w:num w:numId="17" w16cid:durableId="484779028">
    <w:abstractNumId w:val="1"/>
  </w:num>
  <w:num w:numId="18" w16cid:durableId="973677594">
    <w:abstractNumId w:val="1"/>
  </w:num>
  <w:num w:numId="19" w16cid:durableId="412942748">
    <w:abstractNumId w:val="0"/>
  </w:num>
  <w:num w:numId="20" w16cid:durableId="1899244409">
    <w:abstractNumId w:val="0"/>
  </w:num>
  <w:num w:numId="21" w16cid:durableId="153378790">
    <w:abstractNumId w:val="9"/>
  </w:num>
  <w:num w:numId="22" w16cid:durableId="1912154269">
    <w:abstractNumId w:val="7"/>
  </w:num>
  <w:num w:numId="23" w16cid:durableId="1311445862">
    <w:abstractNumId w:val="6"/>
  </w:num>
  <w:num w:numId="24" w16cid:durableId="1515265917">
    <w:abstractNumId w:val="5"/>
  </w:num>
  <w:num w:numId="25" w16cid:durableId="1937513427">
    <w:abstractNumId w:val="4"/>
  </w:num>
  <w:num w:numId="26" w16cid:durableId="1062824919">
    <w:abstractNumId w:val="8"/>
  </w:num>
  <w:num w:numId="27" w16cid:durableId="1862208375">
    <w:abstractNumId w:val="3"/>
  </w:num>
  <w:num w:numId="28" w16cid:durableId="1297444525">
    <w:abstractNumId w:val="2"/>
  </w:num>
  <w:num w:numId="29" w16cid:durableId="1074551243">
    <w:abstractNumId w:val="1"/>
  </w:num>
  <w:num w:numId="30" w16cid:durableId="1292595568">
    <w:abstractNumId w:val="0"/>
  </w:num>
  <w:num w:numId="31" w16cid:durableId="1485077346">
    <w:abstractNumId w:val="9"/>
  </w:num>
  <w:num w:numId="32" w16cid:durableId="732890477">
    <w:abstractNumId w:val="7"/>
  </w:num>
  <w:num w:numId="33" w16cid:durableId="709114697">
    <w:abstractNumId w:val="6"/>
  </w:num>
  <w:num w:numId="34" w16cid:durableId="1476874276">
    <w:abstractNumId w:val="5"/>
  </w:num>
  <w:num w:numId="35" w16cid:durableId="400370753">
    <w:abstractNumId w:val="4"/>
  </w:num>
  <w:num w:numId="36" w16cid:durableId="788858816">
    <w:abstractNumId w:val="8"/>
  </w:num>
  <w:num w:numId="37" w16cid:durableId="160852413">
    <w:abstractNumId w:val="3"/>
  </w:num>
  <w:num w:numId="38" w16cid:durableId="863517481">
    <w:abstractNumId w:val="2"/>
  </w:num>
  <w:num w:numId="39" w16cid:durableId="1547715016">
    <w:abstractNumId w:val="1"/>
  </w:num>
  <w:num w:numId="40" w16cid:durableId="181938715">
    <w:abstractNumId w:val="0"/>
  </w:num>
  <w:num w:numId="41" w16cid:durableId="1500735997">
    <w:abstractNumId w:val="10"/>
  </w:num>
  <w:num w:numId="42" w16cid:durableId="1898710489">
    <w:abstractNumId w:val="10"/>
  </w:num>
  <w:num w:numId="43" w16cid:durableId="42560394">
    <w:abstractNumId w:val="10"/>
  </w:num>
  <w:num w:numId="44" w16cid:durableId="802388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 e 0442/2025"/>
    <w:docVar w:name="dvlangue" w:val="PT"/>
    <w:docVar w:name="dvnumam" w:val="0"/>
    <w:docVar w:name="dvpe" w:val="778.756"/>
    <w:docVar w:name="dvtitre" w:val="Resolução do Parlamento Europeu, de ... de ... de 2025,_x000d__x000a_ sobre a detenção arbitrária dos cidadãos da UE Javier Marañón Montero e David Rodríguez Ballesta na Guiné Equatorial(2025/2904(RSP))"/>
  </w:docVars>
  <w:rsids>
    <w:rsidRoot w:val="007E2BBF"/>
    <w:rsid w:val="00002272"/>
    <w:rsid w:val="00064002"/>
    <w:rsid w:val="000677B9"/>
    <w:rsid w:val="000831BA"/>
    <w:rsid w:val="000A42CC"/>
    <w:rsid w:val="000D681D"/>
    <w:rsid w:val="000E7DD9"/>
    <w:rsid w:val="0010095E"/>
    <w:rsid w:val="00125B37"/>
    <w:rsid w:val="00187494"/>
    <w:rsid w:val="001F32AE"/>
    <w:rsid w:val="002767FF"/>
    <w:rsid w:val="00285AE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8BF"/>
    <w:rsid w:val="004C5D52"/>
    <w:rsid w:val="004E38D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B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4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B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E4AEE"/>
  <w15:chartTrackingRefBased/>
  <w15:docId w15:val="{7EED471A-79DD-40FB-AE5F-107F7778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D681D"/>
    <w:pPr>
      <w:spacing w:after="240"/>
      <w:ind w:left="567" w:hanging="567"/>
    </w:pPr>
  </w:style>
  <w:style w:type="paragraph" w:customStyle="1" w:styleId="EPComma">
    <w:name w:val="EPComma"/>
    <w:basedOn w:val="Normal"/>
    <w:rsid w:val="000D681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D681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D681D"/>
    <w:rPr>
      <w:sz w:val="24"/>
      <w:lang w:val="pt-PT"/>
    </w:rPr>
  </w:style>
  <w:style w:type="character" w:customStyle="1" w:styleId="citation-88">
    <w:name w:val="citation-88"/>
    <w:basedOn w:val="DefaultParagraphFont"/>
    <w:rsid w:val="000D681D"/>
  </w:style>
  <w:style w:type="character" w:customStyle="1" w:styleId="citation-87">
    <w:name w:val="citation-87"/>
    <w:basedOn w:val="DefaultParagraphFont"/>
    <w:rsid w:val="000D681D"/>
  </w:style>
  <w:style w:type="paragraph" w:styleId="Revision">
    <w:name w:val="Revision"/>
    <w:hidden/>
    <w:uiPriority w:val="99"/>
    <w:semiHidden/>
    <w:rsid w:val="00285AE2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2025-10-09T11:12:00Z</dcterms:created>
  <dcterms:modified xsi:type="dcterms:W3CDTF">2025-10-09T11:12:00Z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B10-0439, 0440, 0441 e 0442/2025</vt:lpwstr>
  </property>
  <property fmtid="{D5CDD505-2E9C-101B-9397-08002B2CF9AE}" pid="4" name="&lt;Type&gt;">
    <vt:lpwstr>RR</vt:lpwstr>
  </property>
</Properties>
</file>