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0B7E" w14:paraId="606943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D2FC69" w14:textId="77777777" w:rsidR="00751A4A" w:rsidRPr="001C0B7E" w:rsidRDefault="009132EB" w:rsidP="0010095E">
            <w:pPr>
              <w:pStyle w:val="EPName"/>
            </w:pPr>
            <w:r w:rsidRPr="001C0B7E">
              <w:t>Europski parlament</w:t>
            </w:r>
          </w:p>
          <w:p w14:paraId="342A1A31" w14:textId="77777777" w:rsidR="00751A4A" w:rsidRPr="001C0B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0B7E">
              <w:t>2024</w:t>
            </w:r>
            <w:r w:rsidR="00817416" w:rsidRPr="001C0B7E">
              <w:t>-202</w:t>
            </w:r>
            <w:r w:rsidRPr="001C0B7E">
              <w:t>9</w:t>
            </w:r>
          </w:p>
        </w:tc>
        <w:tc>
          <w:tcPr>
            <w:tcW w:w="2268" w:type="dxa"/>
            <w:shd w:val="clear" w:color="auto" w:fill="auto"/>
          </w:tcPr>
          <w:p w14:paraId="4E3B9FAB" w14:textId="77777777" w:rsidR="00751A4A" w:rsidRPr="001C0B7E" w:rsidRDefault="00187494" w:rsidP="0010095E">
            <w:pPr>
              <w:pStyle w:val="EPLogo"/>
            </w:pPr>
            <w:r w:rsidRPr="001C0B7E">
              <w:rPr>
                <w:noProof/>
                <w:lang w:eastAsia="ja-JP"/>
              </w:rPr>
              <w:drawing>
                <wp:inline distT="0" distB="0" distL="0" distR="0" wp14:anchorId="05CD4ECF" wp14:editId="305506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0306F" w14:textId="77777777" w:rsidR="00D058B8" w:rsidRPr="001C0B7E" w:rsidRDefault="00D058B8" w:rsidP="004C5D52">
      <w:pPr>
        <w:pStyle w:val="LineTop"/>
      </w:pPr>
    </w:p>
    <w:p w14:paraId="568EF30E" w14:textId="77777777" w:rsidR="00680577" w:rsidRPr="001C0B7E" w:rsidRDefault="009132EB" w:rsidP="00680577">
      <w:pPr>
        <w:pStyle w:val="EPBodyTA1"/>
      </w:pPr>
      <w:r w:rsidRPr="001C0B7E">
        <w:t>USVOJENI TEKSTOVI</w:t>
      </w:r>
    </w:p>
    <w:p w14:paraId="450F4D08" w14:textId="77777777" w:rsidR="00D058B8" w:rsidRPr="001C0B7E" w:rsidRDefault="00D058B8" w:rsidP="00D058B8">
      <w:pPr>
        <w:pStyle w:val="LineBottom"/>
      </w:pPr>
    </w:p>
    <w:p w14:paraId="770B09CA" w14:textId="7CE8AA26" w:rsidR="009132EB" w:rsidRPr="001C0B7E" w:rsidRDefault="009132EB" w:rsidP="009132EB">
      <w:pPr>
        <w:pStyle w:val="ATHeading1"/>
      </w:pPr>
      <w:bookmarkStart w:id="0" w:name="TANumber"/>
      <w:r w:rsidRPr="001C0B7E">
        <w:t>P10_TA(2025)0</w:t>
      </w:r>
      <w:bookmarkEnd w:id="0"/>
      <w:r w:rsidR="0010616A">
        <w:t>225</w:t>
      </w:r>
    </w:p>
    <w:p w14:paraId="7D837B12" w14:textId="77777777" w:rsidR="009132EB" w:rsidRPr="001C0B7E" w:rsidRDefault="009132EB" w:rsidP="009132EB">
      <w:pPr>
        <w:pStyle w:val="ATHeading2"/>
      </w:pPr>
      <w:bookmarkStart w:id="1" w:name="title"/>
      <w:r w:rsidRPr="001C0B7E">
        <w:t xml:space="preserve">Deset godina od pritvaranja švedskog izdavača </w:t>
      </w:r>
      <w:proofErr w:type="spellStart"/>
      <w:r w:rsidRPr="001C0B7E">
        <w:t>Guija</w:t>
      </w:r>
      <w:proofErr w:type="spellEnd"/>
      <w:r w:rsidRPr="001C0B7E">
        <w:t xml:space="preserve"> </w:t>
      </w:r>
      <w:proofErr w:type="spellStart"/>
      <w:r w:rsidRPr="001C0B7E">
        <w:t>Minhaija</w:t>
      </w:r>
      <w:proofErr w:type="spellEnd"/>
      <w:r w:rsidRPr="001C0B7E">
        <w:t xml:space="preserve"> u Kini</w:t>
      </w:r>
      <w:bookmarkEnd w:id="1"/>
    </w:p>
    <w:p w14:paraId="381568EF" w14:textId="2C734119" w:rsidR="009132EB" w:rsidRPr="001C0B7E" w:rsidRDefault="009132EB" w:rsidP="009132EB">
      <w:pPr>
        <w:rPr>
          <w:i/>
          <w:vanish/>
        </w:rPr>
      </w:pPr>
      <w:r w:rsidRPr="001C0B7E">
        <w:rPr>
          <w:i/>
        </w:rPr>
        <w:fldChar w:fldCharType="begin"/>
      </w:r>
      <w:r w:rsidRPr="001C0B7E">
        <w:rPr>
          <w:i/>
        </w:rPr>
        <w:instrText xml:space="preserve"> TC"(</w:instrText>
      </w:r>
      <w:bookmarkStart w:id="2" w:name="DocNumber"/>
      <w:r w:rsidRPr="001C0B7E">
        <w:rPr>
          <w:i/>
        </w:rPr>
        <w:instrText>B10-0412</w:instrText>
      </w:r>
      <w:r w:rsidR="00B57BB1">
        <w:rPr>
          <w:i/>
        </w:rPr>
        <w:instrText>, 0414, 0429, 0431, 0433 i 0435</w:instrText>
      </w:r>
      <w:r w:rsidRPr="001C0B7E">
        <w:rPr>
          <w:i/>
        </w:rPr>
        <w:instrText>/2025</w:instrText>
      </w:r>
      <w:bookmarkEnd w:id="2"/>
      <w:r w:rsidRPr="001C0B7E">
        <w:rPr>
          <w:i/>
        </w:rPr>
        <w:instrText xml:space="preserve">)"\l3 \n&gt; \* MERGEFORMAT </w:instrText>
      </w:r>
      <w:r w:rsidRPr="001C0B7E">
        <w:rPr>
          <w:i/>
        </w:rPr>
        <w:fldChar w:fldCharType="end"/>
      </w:r>
    </w:p>
    <w:p w14:paraId="28677B5B" w14:textId="77777777" w:rsidR="009132EB" w:rsidRPr="001C0B7E" w:rsidRDefault="009132EB" w:rsidP="009132EB">
      <w:pPr>
        <w:rPr>
          <w:vanish/>
        </w:rPr>
      </w:pPr>
      <w:bookmarkStart w:id="3" w:name="PE"/>
      <w:r w:rsidRPr="001C0B7E">
        <w:rPr>
          <w:vanish/>
        </w:rPr>
        <w:t>PE776.251</w:t>
      </w:r>
      <w:bookmarkEnd w:id="3"/>
    </w:p>
    <w:p w14:paraId="24F4266E" w14:textId="025DC80A" w:rsidR="009132EB" w:rsidRPr="001C0B7E" w:rsidRDefault="009132EB" w:rsidP="009132EB">
      <w:pPr>
        <w:pStyle w:val="ATHeading3"/>
      </w:pPr>
      <w:bookmarkStart w:id="4" w:name="Sujet"/>
      <w:r w:rsidRPr="001C0B7E">
        <w:t xml:space="preserve">Rezolucija Europskog parlamenta od </w:t>
      </w:r>
      <w:r w:rsidR="00F039E6">
        <w:t>9</w:t>
      </w:r>
      <w:r w:rsidRPr="001C0B7E">
        <w:t xml:space="preserve">. </w:t>
      </w:r>
      <w:r w:rsidR="00F039E6">
        <w:t xml:space="preserve">listopada </w:t>
      </w:r>
      <w:r w:rsidRPr="001C0B7E">
        <w:t xml:space="preserve">2025. o deset godina od pritvaranja švedskog izdavača </w:t>
      </w:r>
      <w:proofErr w:type="spellStart"/>
      <w:r w:rsidRPr="001C0B7E">
        <w:t>Guija</w:t>
      </w:r>
      <w:proofErr w:type="spellEnd"/>
      <w:r w:rsidRPr="001C0B7E">
        <w:t xml:space="preserve"> </w:t>
      </w:r>
      <w:proofErr w:type="spellStart"/>
      <w:r w:rsidRPr="001C0B7E">
        <w:t>Minhaija</w:t>
      </w:r>
      <w:proofErr w:type="spellEnd"/>
      <w:r w:rsidRPr="001C0B7E">
        <w:t xml:space="preserve"> u Kini</w:t>
      </w:r>
      <w:bookmarkEnd w:id="4"/>
      <w:r w:rsidRPr="001C0B7E">
        <w:t xml:space="preserve"> </w:t>
      </w:r>
      <w:bookmarkStart w:id="5" w:name="References"/>
      <w:r w:rsidRPr="001C0B7E">
        <w:t>(2025/2906(RSP))</w:t>
      </w:r>
      <w:bookmarkEnd w:id="5"/>
    </w:p>
    <w:p w14:paraId="3FE66C22" w14:textId="77777777" w:rsidR="006717E2" w:rsidRPr="001C0B7E" w:rsidRDefault="006717E2" w:rsidP="006717E2">
      <w:pPr>
        <w:pStyle w:val="EPComma"/>
      </w:pPr>
      <w:bookmarkStart w:id="6" w:name="TextBodyBegin"/>
      <w:bookmarkEnd w:id="6"/>
      <w:r w:rsidRPr="001C0B7E">
        <w:rPr>
          <w:i/>
          <w:iCs/>
        </w:rPr>
        <w:t>Europski parlament</w:t>
      </w:r>
      <w:r w:rsidRPr="001C0B7E">
        <w:t>,</w:t>
      </w:r>
    </w:p>
    <w:p w14:paraId="05CF3576" w14:textId="77777777" w:rsidR="006717E2" w:rsidRPr="001C0B7E" w:rsidRDefault="006717E2" w:rsidP="006717E2">
      <w:pPr>
        <w:pStyle w:val="NormalHanging12a"/>
        <w:rPr>
          <w:rFonts w:eastAsia="Aptos"/>
        </w:rPr>
      </w:pPr>
      <w:r w:rsidRPr="001C0B7E">
        <w:t>–</w:t>
      </w:r>
      <w:r w:rsidRPr="001C0B7E">
        <w:tab/>
        <w:t>uzimajući u obzir svoje prethodne rezolucije o stanju ljudskih prava u Kini,</w:t>
      </w:r>
    </w:p>
    <w:p w14:paraId="7942B2ED" w14:textId="77777777" w:rsidR="006717E2" w:rsidRPr="001C0B7E" w:rsidRDefault="006717E2" w:rsidP="006717E2">
      <w:pPr>
        <w:pStyle w:val="NormalHanging12a"/>
      </w:pPr>
      <w:r w:rsidRPr="001C0B7E">
        <w:t>–</w:t>
      </w:r>
      <w:r w:rsidRPr="001C0B7E">
        <w:tab/>
        <w:t>uzimajući u obzir članak 150. stavak 5. i članak 136. stavak 4. Poslovnika,</w:t>
      </w:r>
    </w:p>
    <w:p w14:paraId="0ED71DBF" w14:textId="77777777" w:rsidR="006717E2" w:rsidRPr="001C0B7E" w:rsidRDefault="006717E2" w:rsidP="006717E2">
      <w:pPr>
        <w:pStyle w:val="NormalHanging12a"/>
      </w:pPr>
      <w:r w:rsidRPr="001C0B7E">
        <w:t>A.</w:t>
      </w:r>
      <w:r w:rsidRPr="001C0B7E">
        <w:tab/>
        <w:t xml:space="preserve">budući da je švedski državljanin </w:t>
      </w:r>
      <w:proofErr w:type="spellStart"/>
      <w:r w:rsidRPr="001C0B7E">
        <w:t>Gui</w:t>
      </w:r>
      <w:proofErr w:type="spellEnd"/>
      <w:r w:rsidRPr="001C0B7E">
        <w:t xml:space="preserve"> </w:t>
      </w:r>
      <w:proofErr w:type="spellStart"/>
      <w:r w:rsidRPr="001C0B7E">
        <w:t>Minhai</w:t>
      </w:r>
      <w:proofErr w:type="spellEnd"/>
      <w:r w:rsidRPr="001C0B7E">
        <w:t xml:space="preserve">, izdavač i suvlasnik izdavačke kuće </w:t>
      </w:r>
      <w:proofErr w:type="spellStart"/>
      <w:r w:rsidRPr="001C0B7E">
        <w:t>Mighty</w:t>
      </w:r>
      <w:proofErr w:type="spellEnd"/>
      <w:r w:rsidRPr="001C0B7E">
        <w:t xml:space="preserve"> </w:t>
      </w:r>
      <w:proofErr w:type="spellStart"/>
      <w:r w:rsidRPr="001C0B7E">
        <w:t>Current</w:t>
      </w:r>
      <w:proofErr w:type="spellEnd"/>
      <w:r w:rsidRPr="001C0B7E">
        <w:t xml:space="preserve"> u Hong Kongu, poznate po objavljivanju djela koja kritiziraju kinesko vodstvo, otet u Tajlandu u listopadu 2015. te potom pritvoren u Kini; budući da je njegova otmica bila dio šire represije Kine nad izdavačima sa sjedištem u Hong Kongu;</w:t>
      </w:r>
    </w:p>
    <w:p w14:paraId="6D9CCE5F" w14:textId="77777777" w:rsidR="006717E2" w:rsidRPr="001C0B7E" w:rsidRDefault="006717E2" w:rsidP="006717E2">
      <w:pPr>
        <w:pStyle w:val="NormalHanging12a"/>
      </w:pPr>
      <w:r w:rsidRPr="001C0B7E">
        <w:t>B.</w:t>
      </w:r>
      <w:r w:rsidRPr="001C0B7E">
        <w:tab/>
        <w:t xml:space="preserve">budući da je u veljači 2020., nakon tajnog i nepoštenog suđenja, kineski sud osudio </w:t>
      </w:r>
      <w:proofErr w:type="spellStart"/>
      <w:r w:rsidRPr="001C0B7E">
        <w:t>Guija</w:t>
      </w:r>
      <w:proofErr w:type="spellEnd"/>
      <w:r w:rsidRPr="001C0B7E">
        <w:t xml:space="preserve"> </w:t>
      </w:r>
      <w:proofErr w:type="spellStart"/>
      <w:r w:rsidRPr="001C0B7E">
        <w:t>Minhaija</w:t>
      </w:r>
      <w:proofErr w:type="spellEnd"/>
      <w:r w:rsidRPr="001C0B7E">
        <w:t xml:space="preserve"> na deset godina zatvora zbog optužbi za „nezakonito pružanje obavještajnih podataka u inozemstvu”; budući da mu je uskraćeno odgovarajuće pravno zastupanje i pristup švedskim konzularnim uslugama; budući da još nije poznato gdje se trenutačno nalazi;</w:t>
      </w:r>
    </w:p>
    <w:p w14:paraId="33A6163D" w14:textId="77777777" w:rsidR="006717E2" w:rsidRPr="001C0B7E" w:rsidRDefault="006717E2" w:rsidP="006717E2">
      <w:pPr>
        <w:pStyle w:val="NormalHanging12a"/>
        <w:rPr>
          <w:rFonts w:eastAsia="Aptos"/>
        </w:rPr>
      </w:pPr>
      <w:r w:rsidRPr="001C0B7E">
        <w:t>C.</w:t>
      </w:r>
      <w:r w:rsidRPr="001C0B7E">
        <w:tab/>
        <w:t xml:space="preserve">budući da je </w:t>
      </w:r>
      <w:proofErr w:type="spellStart"/>
      <w:r w:rsidRPr="001C0B7E">
        <w:t>Guiju</w:t>
      </w:r>
      <w:proofErr w:type="spellEnd"/>
      <w:r w:rsidRPr="001C0B7E">
        <w:t xml:space="preserve"> </w:t>
      </w:r>
      <w:proofErr w:type="spellStart"/>
      <w:r w:rsidRPr="001C0B7E">
        <w:t>Minhaiju</w:t>
      </w:r>
      <w:proofErr w:type="spellEnd"/>
      <w:r w:rsidRPr="001C0B7E">
        <w:t xml:space="preserve"> i dalje uskraćen kontakt s obitelji, što izaziva ozbiljnu zabrinutost za njegovo zdravstveno stanje nakon desetljeća pritvora;</w:t>
      </w:r>
    </w:p>
    <w:p w14:paraId="05AFE23A" w14:textId="77777777" w:rsidR="006717E2" w:rsidRPr="001C0B7E" w:rsidRDefault="006717E2" w:rsidP="006717E2">
      <w:pPr>
        <w:pStyle w:val="NormalHanging12a"/>
        <w:rPr>
          <w:rFonts w:eastAsia="Aptos"/>
        </w:rPr>
      </w:pPr>
      <w:r w:rsidRPr="001C0B7E">
        <w:t>1.</w:t>
      </w:r>
      <w:r w:rsidRPr="001C0B7E">
        <w:tab/>
        <w:t xml:space="preserve">poziva na trenutačno i bezuvjetno puštanje na slobodu </w:t>
      </w:r>
      <w:proofErr w:type="spellStart"/>
      <w:r w:rsidRPr="001C0B7E">
        <w:t>Guija</w:t>
      </w:r>
      <w:proofErr w:type="spellEnd"/>
      <w:r w:rsidRPr="001C0B7E">
        <w:t xml:space="preserve"> </w:t>
      </w:r>
      <w:proofErr w:type="spellStart"/>
      <w:r w:rsidRPr="001C0B7E">
        <w:t>Minhaija</w:t>
      </w:r>
      <w:proofErr w:type="spellEnd"/>
      <w:r w:rsidRPr="001C0B7E">
        <w:t>; s dubokom zabrinutošću prima na znanje predstojeću desetu obljetnicu njegove otmice i pritvaranja te ponovno najsnažnije osuđuje njegovu otmicu, proizvoljno uhićenje, pritvaranje i izricanje presude;</w:t>
      </w:r>
    </w:p>
    <w:p w14:paraId="47868A29" w14:textId="77777777" w:rsidR="006717E2" w:rsidRPr="001C0B7E" w:rsidRDefault="006717E2" w:rsidP="006717E2">
      <w:pPr>
        <w:pStyle w:val="NormalHanging12a"/>
      </w:pPr>
      <w:r w:rsidRPr="001C0B7E">
        <w:t>2.</w:t>
      </w:r>
      <w:r w:rsidRPr="001C0B7E">
        <w:tab/>
        <w:t xml:space="preserve">izražava solidarnost s obitelji </w:t>
      </w:r>
      <w:proofErr w:type="spellStart"/>
      <w:r w:rsidRPr="001C0B7E">
        <w:t>Guija</w:t>
      </w:r>
      <w:proofErr w:type="spellEnd"/>
      <w:r w:rsidRPr="001C0B7E">
        <w:t xml:space="preserve"> </w:t>
      </w:r>
      <w:proofErr w:type="spellStart"/>
      <w:r w:rsidRPr="001C0B7E">
        <w:t>Minhaija</w:t>
      </w:r>
      <w:proofErr w:type="spellEnd"/>
      <w:r w:rsidRPr="001C0B7E">
        <w:t xml:space="preserve">, posebno s njegovom kćeri Angelom </w:t>
      </w:r>
      <w:proofErr w:type="spellStart"/>
      <w:r w:rsidRPr="001C0B7E">
        <w:t>Gui</w:t>
      </w:r>
      <w:proofErr w:type="spellEnd"/>
      <w:r w:rsidRPr="001C0B7E">
        <w:t>, koja se i dalje neumorno zalaže za njegovo puštanje na slobodu;</w:t>
      </w:r>
    </w:p>
    <w:p w14:paraId="0F6F1E7D" w14:textId="77777777" w:rsidR="006717E2" w:rsidRPr="001C0B7E" w:rsidRDefault="006717E2" w:rsidP="006717E2">
      <w:pPr>
        <w:pStyle w:val="NormalHanging12a"/>
      </w:pPr>
      <w:r w:rsidRPr="001C0B7E">
        <w:t>3.</w:t>
      </w:r>
      <w:r w:rsidRPr="001C0B7E">
        <w:tab/>
        <w:t xml:space="preserve">naglašava da uskraćivanje konzularnog pristupa </w:t>
      </w:r>
      <w:proofErr w:type="spellStart"/>
      <w:r w:rsidRPr="001C0B7E">
        <w:t>Guiju</w:t>
      </w:r>
      <w:proofErr w:type="spellEnd"/>
      <w:r w:rsidRPr="001C0B7E">
        <w:t xml:space="preserve"> </w:t>
      </w:r>
      <w:proofErr w:type="spellStart"/>
      <w:r w:rsidRPr="001C0B7E">
        <w:t>Minhaiju</w:t>
      </w:r>
      <w:proofErr w:type="spellEnd"/>
      <w:r w:rsidRPr="001C0B7E">
        <w:t xml:space="preserve"> predstavlja kršenje obveza Kine u okviru Bečke konvencije; izražava ozbiljnu zabrinutost za zdravlje i liječenje </w:t>
      </w:r>
      <w:proofErr w:type="spellStart"/>
      <w:r w:rsidRPr="001C0B7E">
        <w:t>Guija</w:t>
      </w:r>
      <w:proofErr w:type="spellEnd"/>
      <w:r w:rsidRPr="001C0B7E">
        <w:t xml:space="preserve"> </w:t>
      </w:r>
      <w:proofErr w:type="spellStart"/>
      <w:r w:rsidRPr="001C0B7E">
        <w:t>Minhaija</w:t>
      </w:r>
      <w:proofErr w:type="spellEnd"/>
      <w:r w:rsidRPr="001C0B7E">
        <w:t xml:space="preserve"> u pritvoru; poziva kineske vlasti da mu odmah omoguće pristup neovisnoj zdravstvenoj skrbi po njegovu izboru kao i neometan pristup njegovoj obitelji, pravnom zastupniku po njegovu izboru i konzularnim službenicima;</w:t>
      </w:r>
    </w:p>
    <w:p w14:paraId="34F161D9" w14:textId="77777777" w:rsidR="006717E2" w:rsidRPr="001C0B7E" w:rsidRDefault="006717E2" w:rsidP="006717E2">
      <w:pPr>
        <w:pStyle w:val="NormalHanging12a"/>
        <w:rPr>
          <w:rFonts w:eastAsia="Aptos"/>
        </w:rPr>
      </w:pPr>
      <w:r w:rsidRPr="001C0B7E">
        <w:lastRenderedPageBreak/>
        <w:t>4.</w:t>
      </w:r>
      <w:r w:rsidRPr="001C0B7E">
        <w:tab/>
        <w:t>naglašava da je taj slučaj primjer sustavne i transnacionalne represije, cenzure i kršenja temeljnih sloboda u Kini, među ostalim protiv odvjetnika, novinara, umjetnika, boraca za ljudska prava, etničkih i vjerskih manjina te stranih građana;</w:t>
      </w:r>
    </w:p>
    <w:p w14:paraId="2B43A3C4" w14:textId="77777777" w:rsidR="006717E2" w:rsidRPr="001C0B7E" w:rsidRDefault="006717E2" w:rsidP="006717E2">
      <w:pPr>
        <w:pStyle w:val="NormalHanging12a"/>
        <w:rPr>
          <w:rFonts w:eastAsia="Aptos"/>
        </w:rPr>
      </w:pPr>
      <w:r w:rsidRPr="001C0B7E">
        <w:t>5.</w:t>
      </w:r>
      <w:r w:rsidRPr="001C0B7E">
        <w:tab/>
        <w:t>naglašava da bi uzajamno povjerenje i poštovanje ljudskih prava, uključujući pravo na slobodu izražavanja, slobodu tiska i pravo na objavljivanje, trebali biti u središtu odnosa EU-a i Kine;</w:t>
      </w:r>
    </w:p>
    <w:p w14:paraId="5CEE5930" w14:textId="77777777" w:rsidR="006717E2" w:rsidRPr="001C0B7E" w:rsidRDefault="006717E2" w:rsidP="006717E2">
      <w:pPr>
        <w:pStyle w:val="NormalHanging12a"/>
        <w:rPr>
          <w:rFonts w:eastAsia="Aptos"/>
        </w:rPr>
      </w:pPr>
      <w:r w:rsidRPr="001C0B7E">
        <w:t>6.</w:t>
      </w:r>
      <w:r w:rsidRPr="001C0B7E">
        <w:tab/>
        <w:t>poziva Kinu da okonča cenzuru, uznemiravanje i zastrašivanje izdavača, pisaca, novinara i akademika;</w:t>
      </w:r>
    </w:p>
    <w:p w14:paraId="3EE06F1D" w14:textId="77777777" w:rsidR="006717E2" w:rsidRPr="001C0B7E" w:rsidRDefault="006717E2" w:rsidP="006717E2">
      <w:pPr>
        <w:pStyle w:val="NormalHanging12a"/>
        <w:rPr>
          <w:rFonts w:eastAsia="Aptos"/>
        </w:rPr>
      </w:pPr>
      <w:r w:rsidRPr="001C0B7E">
        <w:t>7.</w:t>
      </w:r>
      <w:r w:rsidRPr="001C0B7E">
        <w:tab/>
        <w:t>potiče kineske vlasti da okončaju praksu proizvoljnog pritvaranja i prisilnih priznanja te da odmah oslobode sve osobe pritvorene zbog ostvarivanja temeljnih sloboda, uključujući odvjetnike, novinare, umjetnike, predstavnike manjina i borce za ljudska prava;</w:t>
      </w:r>
    </w:p>
    <w:p w14:paraId="43137BDC" w14:textId="77777777" w:rsidR="006717E2" w:rsidRPr="001C0B7E" w:rsidRDefault="006717E2" w:rsidP="006717E2">
      <w:pPr>
        <w:pStyle w:val="NormalHanging12a"/>
        <w:rPr>
          <w:rFonts w:eastAsia="Aptos"/>
        </w:rPr>
      </w:pPr>
      <w:r w:rsidRPr="001C0B7E">
        <w:t>8.</w:t>
      </w:r>
      <w:r w:rsidRPr="001C0B7E">
        <w:tab/>
        <w:t xml:space="preserve">poziva ESVD, Komisiju i države članice da nastave raspravljati o njegovu slučaju na svim razinama odnosa između EU-a i Kine, da zajamče zaštitu građana EU-a u inozemstvu te da potiču Kinu da oslobodi </w:t>
      </w:r>
      <w:proofErr w:type="spellStart"/>
      <w:r w:rsidRPr="001C0B7E">
        <w:t>Guija</w:t>
      </w:r>
      <w:proofErr w:type="spellEnd"/>
      <w:r w:rsidRPr="001C0B7E">
        <w:t xml:space="preserve"> </w:t>
      </w:r>
      <w:proofErr w:type="spellStart"/>
      <w:r w:rsidRPr="001C0B7E">
        <w:t>Minhaija</w:t>
      </w:r>
      <w:proofErr w:type="spellEnd"/>
      <w:r w:rsidRPr="001C0B7E">
        <w:t xml:space="preserve"> i pruži informacije o njegovu stanju i mjestu na kojem se nalazi;</w:t>
      </w:r>
    </w:p>
    <w:p w14:paraId="5D8375F8" w14:textId="77777777" w:rsidR="006717E2" w:rsidRPr="001C0B7E" w:rsidRDefault="006717E2" w:rsidP="006717E2">
      <w:pPr>
        <w:pStyle w:val="NormalHanging12a"/>
      </w:pPr>
      <w:r w:rsidRPr="001C0B7E">
        <w:t>9.</w:t>
      </w:r>
      <w:r w:rsidRPr="001C0B7E">
        <w:tab/>
        <w:t>apelira na Kinu da ratificira Međunarodni pakt o građanskim i političkim pravima;</w:t>
      </w:r>
    </w:p>
    <w:p w14:paraId="17519D23" w14:textId="556CD301" w:rsidR="001C0B7E" w:rsidRPr="001C0B7E" w:rsidRDefault="006717E2" w:rsidP="001C0B7E">
      <w:pPr>
        <w:pStyle w:val="NormalHanging12a"/>
      </w:pPr>
      <w:r w:rsidRPr="001C0B7E">
        <w:t>10.</w:t>
      </w:r>
      <w:r w:rsidRPr="001C0B7E">
        <w:tab/>
        <w:t>nalaže svojoj predsjednici da ovu rezoluciju proslijedi Vijeću, Komisiji, potpredsjednici Komisije / Visokoj predstavnici Unije za vanjske poslove i sigurnosnu politiku, državama članicama EU-a te Vladi i Nacionalnom narodnom kongresu Narodne Republike Kine.</w:t>
      </w:r>
    </w:p>
    <w:p w14:paraId="570CE84A" w14:textId="1CCE0E3B" w:rsidR="00E365E1" w:rsidRPr="001C0B7E" w:rsidRDefault="00E365E1" w:rsidP="009132EB"/>
    <w:sectPr w:rsidR="00E365E1" w:rsidRPr="001C0B7E" w:rsidSect="001C0B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42F35" w14:textId="77777777" w:rsidR="009132EB" w:rsidRPr="001C0B7E" w:rsidRDefault="009132EB">
      <w:r w:rsidRPr="001C0B7E">
        <w:separator/>
      </w:r>
    </w:p>
  </w:endnote>
  <w:endnote w:type="continuationSeparator" w:id="0">
    <w:p w14:paraId="7E0614BB" w14:textId="77777777" w:rsidR="009132EB" w:rsidRPr="001C0B7E" w:rsidRDefault="009132EB">
      <w:r w:rsidRPr="001C0B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D0AD2" w14:textId="77777777" w:rsidR="00064002" w:rsidRPr="001C0B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8F09" w14:textId="77777777" w:rsidR="00064002" w:rsidRPr="001C0B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34DE4" w14:textId="77777777" w:rsidR="00064002" w:rsidRPr="001C0B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3B250" w14:textId="77777777" w:rsidR="009132EB" w:rsidRPr="001C0B7E" w:rsidRDefault="009132EB">
      <w:r w:rsidRPr="001C0B7E">
        <w:separator/>
      </w:r>
    </w:p>
  </w:footnote>
  <w:footnote w:type="continuationSeparator" w:id="0">
    <w:p w14:paraId="7C8E8B0F" w14:textId="77777777" w:rsidR="009132EB" w:rsidRPr="001C0B7E" w:rsidRDefault="009132EB">
      <w:r w:rsidRPr="001C0B7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8198" w14:textId="77777777" w:rsidR="00064002" w:rsidRPr="001C0B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AE4C6" w14:textId="77777777" w:rsidR="00064002" w:rsidRPr="001C0B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ECB0" w14:textId="77777777" w:rsidR="00064002" w:rsidRPr="001C0B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1885718">
    <w:abstractNumId w:val="9"/>
  </w:num>
  <w:num w:numId="2" w16cid:durableId="1759062579">
    <w:abstractNumId w:val="9"/>
  </w:num>
  <w:num w:numId="3" w16cid:durableId="350499501">
    <w:abstractNumId w:val="7"/>
  </w:num>
  <w:num w:numId="4" w16cid:durableId="2072803551">
    <w:abstractNumId w:val="7"/>
  </w:num>
  <w:num w:numId="5" w16cid:durableId="2121103773">
    <w:abstractNumId w:val="6"/>
  </w:num>
  <w:num w:numId="6" w16cid:durableId="634801024">
    <w:abstractNumId w:val="6"/>
  </w:num>
  <w:num w:numId="7" w16cid:durableId="1800297919">
    <w:abstractNumId w:val="5"/>
  </w:num>
  <w:num w:numId="8" w16cid:durableId="981619664">
    <w:abstractNumId w:val="5"/>
  </w:num>
  <w:num w:numId="9" w16cid:durableId="62534137">
    <w:abstractNumId w:val="4"/>
  </w:num>
  <w:num w:numId="10" w16cid:durableId="1405298295">
    <w:abstractNumId w:val="4"/>
  </w:num>
  <w:num w:numId="11" w16cid:durableId="230116262">
    <w:abstractNumId w:val="8"/>
  </w:num>
  <w:num w:numId="12" w16cid:durableId="1849129094">
    <w:abstractNumId w:val="8"/>
  </w:num>
  <w:num w:numId="13" w16cid:durableId="341276653">
    <w:abstractNumId w:val="3"/>
  </w:num>
  <w:num w:numId="14" w16cid:durableId="744109442">
    <w:abstractNumId w:val="3"/>
  </w:num>
  <w:num w:numId="15" w16cid:durableId="216091150">
    <w:abstractNumId w:val="2"/>
  </w:num>
  <w:num w:numId="16" w16cid:durableId="1074551931">
    <w:abstractNumId w:val="2"/>
  </w:num>
  <w:num w:numId="17" w16cid:durableId="249506672">
    <w:abstractNumId w:val="1"/>
  </w:num>
  <w:num w:numId="18" w16cid:durableId="1576163199">
    <w:abstractNumId w:val="1"/>
  </w:num>
  <w:num w:numId="19" w16cid:durableId="8681773">
    <w:abstractNumId w:val="0"/>
  </w:num>
  <w:num w:numId="20" w16cid:durableId="625937400">
    <w:abstractNumId w:val="0"/>
  </w:num>
  <w:num w:numId="21" w16cid:durableId="132257520">
    <w:abstractNumId w:val="9"/>
  </w:num>
  <w:num w:numId="22" w16cid:durableId="1429160252">
    <w:abstractNumId w:val="7"/>
  </w:num>
  <w:num w:numId="23" w16cid:durableId="501511424">
    <w:abstractNumId w:val="6"/>
  </w:num>
  <w:num w:numId="24" w16cid:durableId="1535920140">
    <w:abstractNumId w:val="5"/>
  </w:num>
  <w:num w:numId="25" w16cid:durableId="1464083377">
    <w:abstractNumId w:val="4"/>
  </w:num>
  <w:num w:numId="26" w16cid:durableId="1636914604">
    <w:abstractNumId w:val="8"/>
  </w:num>
  <w:num w:numId="27" w16cid:durableId="10647556">
    <w:abstractNumId w:val="3"/>
  </w:num>
  <w:num w:numId="28" w16cid:durableId="1664970089">
    <w:abstractNumId w:val="2"/>
  </w:num>
  <w:num w:numId="29" w16cid:durableId="16540211">
    <w:abstractNumId w:val="1"/>
  </w:num>
  <w:num w:numId="30" w16cid:durableId="1848053990">
    <w:abstractNumId w:val="0"/>
  </w:num>
  <w:num w:numId="31" w16cid:durableId="1820685613">
    <w:abstractNumId w:val="9"/>
  </w:num>
  <w:num w:numId="32" w16cid:durableId="903298633">
    <w:abstractNumId w:val="7"/>
  </w:num>
  <w:num w:numId="33" w16cid:durableId="12654058">
    <w:abstractNumId w:val="6"/>
  </w:num>
  <w:num w:numId="34" w16cid:durableId="600188970">
    <w:abstractNumId w:val="5"/>
  </w:num>
  <w:num w:numId="35" w16cid:durableId="1624267891">
    <w:abstractNumId w:val="4"/>
  </w:num>
  <w:num w:numId="36" w16cid:durableId="266156958">
    <w:abstractNumId w:val="8"/>
  </w:num>
  <w:num w:numId="37" w16cid:durableId="572282461">
    <w:abstractNumId w:val="3"/>
  </w:num>
  <w:num w:numId="38" w16cid:durableId="2141418664">
    <w:abstractNumId w:val="2"/>
  </w:num>
  <w:num w:numId="39" w16cid:durableId="597104949">
    <w:abstractNumId w:val="1"/>
  </w:num>
  <w:num w:numId="40" w16cid:durableId="1151826016">
    <w:abstractNumId w:val="0"/>
  </w:num>
  <w:num w:numId="41" w16cid:durableId="367992128">
    <w:abstractNumId w:val="10"/>
  </w:num>
  <w:num w:numId="42" w16cid:durableId="1354569389">
    <w:abstractNumId w:val="10"/>
  </w:num>
  <w:num w:numId="43" w16cid:durableId="1517307430">
    <w:abstractNumId w:val="10"/>
  </w:num>
  <w:num w:numId="44" w16cid:durableId="15593146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/2025"/>
    <w:docVar w:name="dvlangue" w:val="HR"/>
    <w:docVar w:name="dvnumam" w:val="0"/>
    <w:docVar w:name="dvpe" w:val="776.251"/>
    <w:docVar w:name="dvtitre" w:val="Rezolucija Europskog parlamenta od .... 2025. o deset godina od pritvaranja švedskog izdavača Guija Minhaija u Kini(2025/2906(RSP))"/>
  </w:docVars>
  <w:rsids>
    <w:rsidRoot w:val="009132EB"/>
    <w:rsid w:val="00002272"/>
    <w:rsid w:val="00064002"/>
    <w:rsid w:val="000677B9"/>
    <w:rsid w:val="000831BA"/>
    <w:rsid w:val="000A42CC"/>
    <w:rsid w:val="000E7DD9"/>
    <w:rsid w:val="0010095E"/>
    <w:rsid w:val="0010616A"/>
    <w:rsid w:val="00125B37"/>
    <w:rsid w:val="00187494"/>
    <w:rsid w:val="001C0B7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17E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2E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BB1"/>
    <w:rsid w:val="00BD48FE"/>
    <w:rsid w:val="00BD7BD8"/>
    <w:rsid w:val="00BE6ADC"/>
    <w:rsid w:val="00C05BFE"/>
    <w:rsid w:val="00C23CD4"/>
    <w:rsid w:val="00C4791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272"/>
    <w:rsid w:val="00E365E1"/>
    <w:rsid w:val="00E820A4"/>
    <w:rsid w:val="00EB006A"/>
    <w:rsid w:val="00EB4772"/>
    <w:rsid w:val="00ED169E"/>
    <w:rsid w:val="00ED4235"/>
    <w:rsid w:val="00F039E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657EA"/>
  <w15:chartTrackingRefBased/>
  <w15:docId w15:val="{DCAA570A-44CD-4F73-A671-63992606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717E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717E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717E2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6717E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2025-10-09T12:20:00Z</dcterms:created>
  <dcterms:modified xsi:type="dcterms:W3CDTF">2025-10-09T12:20:00Z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B10-0412/2025</vt:lpwstr>
  </property>
  <property fmtid="{D5CDD505-2E9C-101B-9397-08002B2CF9AE}" pid="4" name="&lt;Type&gt;">
    <vt:lpwstr>RR</vt:lpwstr>
  </property>
</Properties>
</file>