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632E" w14:paraId="7D2969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81C370" w14:textId="77777777" w:rsidR="00751A4A" w:rsidRPr="00FD632E" w:rsidRDefault="0085584B" w:rsidP="0010095E">
            <w:pPr>
              <w:pStyle w:val="EPName"/>
            </w:pPr>
            <w:r w:rsidRPr="00FD632E">
              <w:t>Parlamento europeo</w:t>
            </w:r>
          </w:p>
          <w:p w14:paraId="3D33885D" w14:textId="77777777" w:rsidR="00751A4A" w:rsidRPr="00FD63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632E">
              <w:t>2024</w:t>
            </w:r>
            <w:r w:rsidR="00817416" w:rsidRPr="00FD632E">
              <w:t>-202</w:t>
            </w:r>
            <w:r w:rsidRPr="00FD632E">
              <w:t>9</w:t>
            </w:r>
          </w:p>
        </w:tc>
        <w:tc>
          <w:tcPr>
            <w:tcW w:w="2268" w:type="dxa"/>
            <w:shd w:val="clear" w:color="auto" w:fill="auto"/>
          </w:tcPr>
          <w:p w14:paraId="7D03282E" w14:textId="77777777" w:rsidR="00751A4A" w:rsidRPr="00FD632E" w:rsidRDefault="00187494" w:rsidP="0010095E">
            <w:pPr>
              <w:pStyle w:val="EPLogo"/>
            </w:pPr>
            <w:r w:rsidRPr="00FD632E">
              <w:rPr>
                <w:noProof/>
                <w:lang w:eastAsia="ja-JP"/>
              </w:rPr>
              <w:drawing>
                <wp:inline distT="0" distB="0" distL="0" distR="0" wp14:anchorId="6225D69D" wp14:editId="60A725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18547" w14:textId="77777777" w:rsidR="00D058B8" w:rsidRPr="00FD632E" w:rsidRDefault="00D058B8" w:rsidP="004C5D52">
      <w:pPr>
        <w:pStyle w:val="LineTop"/>
      </w:pPr>
    </w:p>
    <w:p w14:paraId="0D52BA41" w14:textId="77777777" w:rsidR="00680577" w:rsidRPr="00FD632E" w:rsidRDefault="0085584B" w:rsidP="00680577">
      <w:pPr>
        <w:pStyle w:val="EPBodyTA1"/>
      </w:pPr>
      <w:r w:rsidRPr="00FD632E">
        <w:t>TESTI APPROVATI</w:t>
      </w:r>
    </w:p>
    <w:p w14:paraId="39C011B3" w14:textId="77777777" w:rsidR="00D058B8" w:rsidRPr="00FD632E" w:rsidRDefault="00D058B8" w:rsidP="00D058B8">
      <w:pPr>
        <w:pStyle w:val="LineBottom"/>
      </w:pPr>
    </w:p>
    <w:p w14:paraId="1873E1D0" w14:textId="4C755E9C" w:rsidR="0085584B" w:rsidRPr="00FD632E" w:rsidRDefault="0085584B" w:rsidP="0085584B">
      <w:pPr>
        <w:pStyle w:val="ATHeading1"/>
      </w:pPr>
      <w:bookmarkStart w:id="0" w:name="TANumber"/>
      <w:r w:rsidRPr="00FD632E">
        <w:t>P10_</w:t>
      </w:r>
      <w:proofErr w:type="gramStart"/>
      <w:r w:rsidRPr="00FD632E">
        <w:t>TA(</w:t>
      </w:r>
      <w:proofErr w:type="gramEnd"/>
      <w:r w:rsidRPr="00FD632E">
        <w:t>2025)0</w:t>
      </w:r>
      <w:bookmarkEnd w:id="0"/>
      <w:r w:rsidR="00FD632E" w:rsidRPr="00FD632E">
        <w:t>225</w:t>
      </w:r>
    </w:p>
    <w:p w14:paraId="30AA9D9D" w14:textId="77777777" w:rsidR="0085584B" w:rsidRPr="00FD632E" w:rsidRDefault="0085584B" w:rsidP="0085584B">
      <w:pPr>
        <w:pStyle w:val="ATHeading2"/>
      </w:pPr>
      <w:bookmarkStart w:id="1" w:name="title"/>
      <w:proofErr w:type="gramStart"/>
      <w:r w:rsidRPr="00FD632E">
        <w:t>10°</w:t>
      </w:r>
      <w:proofErr w:type="gramEnd"/>
      <w:r w:rsidRPr="00FD632E">
        <w:t xml:space="preserve"> anniversario della detenzione dell'editore svedese Gui </w:t>
      </w:r>
      <w:proofErr w:type="spellStart"/>
      <w:r w:rsidRPr="00FD632E">
        <w:t>Minhai</w:t>
      </w:r>
      <w:proofErr w:type="spellEnd"/>
      <w:r w:rsidRPr="00FD632E">
        <w:t>, incarcerato in Cina</w:t>
      </w:r>
      <w:bookmarkEnd w:id="1"/>
    </w:p>
    <w:p w14:paraId="1C6D5A97" w14:textId="15E1B7FA" w:rsidR="0085584B" w:rsidRPr="00FD632E" w:rsidRDefault="0085584B" w:rsidP="0085584B">
      <w:pPr>
        <w:rPr>
          <w:i/>
          <w:vanish/>
        </w:rPr>
      </w:pPr>
      <w:r w:rsidRPr="00FD632E">
        <w:rPr>
          <w:i/>
        </w:rPr>
        <w:fldChar w:fldCharType="begin"/>
      </w:r>
      <w:r w:rsidRPr="00FD632E">
        <w:rPr>
          <w:i/>
        </w:rPr>
        <w:instrText xml:space="preserve"> TC"(</w:instrText>
      </w:r>
      <w:bookmarkStart w:id="2" w:name="DocNumber"/>
      <w:r w:rsidRPr="00FD632E">
        <w:rPr>
          <w:i/>
        </w:rPr>
        <w:instrText>B10-0412</w:instrText>
      </w:r>
      <w:r w:rsidR="00104C50" w:rsidRPr="00FD632E">
        <w:rPr>
          <w:i/>
        </w:rPr>
        <w:instrText>, 0414,</w:instrText>
      </w:r>
      <w:r w:rsidR="0000683E" w:rsidRPr="00FD632E">
        <w:rPr>
          <w:i/>
        </w:rPr>
        <w:instrText xml:space="preserve"> </w:instrText>
      </w:r>
      <w:r w:rsidR="00104C50" w:rsidRPr="00FD632E">
        <w:rPr>
          <w:i/>
        </w:rPr>
        <w:instrText>0429,</w:instrText>
      </w:r>
      <w:r w:rsidR="0000683E" w:rsidRPr="00FD632E">
        <w:rPr>
          <w:i/>
        </w:rPr>
        <w:instrText xml:space="preserve"> </w:instrText>
      </w:r>
      <w:r w:rsidR="00104C50" w:rsidRPr="00FD632E">
        <w:rPr>
          <w:i/>
        </w:rPr>
        <w:instrText>0431,</w:instrText>
      </w:r>
      <w:r w:rsidR="0000683E" w:rsidRPr="00FD632E">
        <w:rPr>
          <w:i/>
        </w:rPr>
        <w:instrText xml:space="preserve"> </w:instrText>
      </w:r>
      <w:r w:rsidR="00104C50" w:rsidRPr="00FD632E">
        <w:rPr>
          <w:i/>
        </w:rPr>
        <w:instrText>0433 e 0435</w:instrText>
      </w:r>
      <w:r w:rsidRPr="00FD632E">
        <w:rPr>
          <w:i/>
        </w:rPr>
        <w:instrText>/2025</w:instrText>
      </w:r>
      <w:bookmarkEnd w:id="2"/>
      <w:r w:rsidRPr="00FD632E">
        <w:rPr>
          <w:i/>
        </w:rPr>
        <w:instrText xml:space="preserve">)"\l3 \n&gt; \* MERGEFORMAT </w:instrText>
      </w:r>
      <w:r w:rsidRPr="00FD632E">
        <w:rPr>
          <w:i/>
        </w:rPr>
        <w:fldChar w:fldCharType="end"/>
      </w:r>
    </w:p>
    <w:p w14:paraId="2A39226E" w14:textId="77777777" w:rsidR="0085584B" w:rsidRPr="00FD632E" w:rsidRDefault="0085584B" w:rsidP="0085584B">
      <w:pPr>
        <w:rPr>
          <w:vanish/>
        </w:rPr>
      </w:pPr>
      <w:bookmarkStart w:id="3" w:name="PE"/>
      <w:r w:rsidRPr="00FD632E">
        <w:rPr>
          <w:vanish/>
        </w:rPr>
        <w:t>PE776.251</w:t>
      </w:r>
      <w:bookmarkEnd w:id="3"/>
    </w:p>
    <w:p w14:paraId="6CEAAC0D" w14:textId="77777777" w:rsidR="0085584B" w:rsidRPr="00FD632E" w:rsidRDefault="0085584B" w:rsidP="0085584B">
      <w:pPr>
        <w:pStyle w:val="ATHeading3"/>
      </w:pPr>
      <w:bookmarkStart w:id="4" w:name="Sujet"/>
      <w:r w:rsidRPr="00FD632E">
        <w:t xml:space="preserve">Risoluzione del Parlamento europeo del 9 ottobre 2025 sul </w:t>
      </w:r>
      <w:proofErr w:type="gramStart"/>
      <w:r w:rsidRPr="00FD632E">
        <w:t>10°</w:t>
      </w:r>
      <w:proofErr w:type="gramEnd"/>
      <w:r w:rsidRPr="00FD632E">
        <w:t xml:space="preserve"> anniversario della detenzione dell'editore svedese Gui </w:t>
      </w:r>
      <w:proofErr w:type="spellStart"/>
      <w:r w:rsidRPr="00FD632E">
        <w:t>Minhai</w:t>
      </w:r>
      <w:proofErr w:type="spellEnd"/>
      <w:r w:rsidRPr="00FD632E">
        <w:t>, incarcerato in Cina</w:t>
      </w:r>
      <w:bookmarkEnd w:id="4"/>
      <w:r w:rsidRPr="00FD632E">
        <w:t xml:space="preserve"> </w:t>
      </w:r>
      <w:bookmarkStart w:id="5" w:name="References"/>
      <w:r w:rsidRPr="00FD632E">
        <w:t>(2025/2906(RSP))</w:t>
      </w:r>
      <w:bookmarkEnd w:id="5"/>
    </w:p>
    <w:p w14:paraId="3F153F4C" w14:textId="77777777" w:rsidR="00CB7411" w:rsidRPr="00FD632E" w:rsidRDefault="00CB7411" w:rsidP="00CB7411">
      <w:pPr>
        <w:pStyle w:val="EPComma"/>
      </w:pPr>
      <w:bookmarkStart w:id="6" w:name="TextBodyBegin"/>
      <w:bookmarkEnd w:id="6"/>
      <w:r w:rsidRPr="00FD632E">
        <w:rPr>
          <w:i/>
          <w:iCs/>
        </w:rPr>
        <w:t>Il Parlamento europeo</w:t>
      </w:r>
      <w:r w:rsidRPr="00FD632E">
        <w:t>,</w:t>
      </w:r>
    </w:p>
    <w:p w14:paraId="2D2A2878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–</w:t>
      </w:r>
      <w:r w:rsidRPr="00FD632E">
        <w:tab/>
        <w:t>viste le sue precedenti risoluzioni sulla situazione dei diritti umani in Cina,</w:t>
      </w:r>
    </w:p>
    <w:p w14:paraId="455F569D" w14:textId="77777777" w:rsidR="00CB7411" w:rsidRPr="00FD632E" w:rsidRDefault="00CB7411" w:rsidP="00CB7411">
      <w:pPr>
        <w:pStyle w:val="NormalHanging12a"/>
      </w:pPr>
      <w:r w:rsidRPr="00FD632E">
        <w:t>–</w:t>
      </w:r>
      <w:r w:rsidRPr="00FD632E">
        <w:tab/>
        <w:t>visti l'articolo 150, paragrafo 5, e l'articolo 136, paragrafo 4, del suo regolamento,</w:t>
      </w:r>
    </w:p>
    <w:p w14:paraId="758AA8C3" w14:textId="77777777" w:rsidR="00CB7411" w:rsidRPr="00FD632E" w:rsidRDefault="00CB7411" w:rsidP="00CB7411">
      <w:pPr>
        <w:pStyle w:val="NormalHanging12a"/>
      </w:pPr>
      <w:r w:rsidRPr="00FD632E">
        <w:t>A.</w:t>
      </w:r>
      <w:r w:rsidRPr="00FD632E">
        <w:tab/>
        <w:t xml:space="preserve">considerando che il cittadino svedese Gui </w:t>
      </w:r>
      <w:proofErr w:type="spellStart"/>
      <w:r w:rsidRPr="00FD632E">
        <w:t>Minhai</w:t>
      </w:r>
      <w:proofErr w:type="spellEnd"/>
      <w:r w:rsidRPr="00FD632E">
        <w:t xml:space="preserve">, editore e comproprietario della casa editrice </w:t>
      </w:r>
      <w:proofErr w:type="spellStart"/>
      <w:r w:rsidRPr="00FD632E">
        <w:t>Mighty</w:t>
      </w:r>
      <w:proofErr w:type="spellEnd"/>
      <w:r w:rsidRPr="00FD632E">
        <w:t xml:space="preserve"> </w:t>
      </w:r>
      <w:proofErr w:type="spellStart"/>
      <w:r w:rsidRPr="00FD632E">
        <w:t>Current</w:t>
      </w:r>
      <w:proofErr w:type="spellEnd"/>
      <w:r w:rsidRPr="00FD632E">
        <w:t xml:space="preserve"> di Hong Kong, nota per la pubblicazione di opere critiche nei confronti della leadership cinese, è stato rapito in Thailandia nell'ottobre 2015 e successivamente detenuto in Cina; che il suo rapimento si inserisce nel quadro di una più ampia repressione da parte della Cina nei confronti degli editori con sede a Hong Kong;</w:t>
      </w:r>
    </w:p>
    <w:p w14:paraId="637937F9" w14:textId="77777777" w:rsidR="00CB7411" w:rsidRPr="00FD632E" w:rsidRDefault="00CB7411" w:rsidP="00CB7411">
      <w:pPr>
        <w:pStyle w:val="NormalHanging12a"/>
      </w:pPr>
      <w:r w:rsidRPr="00FD632E">
        <w:t>B.</w:t>
      </w:r>
      <w:r w:rsidRPr="00FD632E">
        <w:tab/>
        <w:t xml:space="preserve">considerando che nel febbraio 2020 un tribunale cinese ha condannato Gui </w:t>
      </w:r>
      <w:proofErr w:type="spellStart"/>
      <w:r w:rsidRPr="00FD632E">
        <w:t>Minhai</w:t>
      </w:r>
      <w:proofErr w:type="spellEnd"/>
      <w:r w:rsidRPr="00FD632E">
        <w:t xml:space="preserve"> a 10 anni di reclusione con l'accusa di "fornire illegalmente intelligence all'estero", dopo un processo segreto e iniquo; che gli sono stati negati un'adeguata rappresentanza legale e l'accesso ai servizi consolari svedesi; che il suo luogo di detenzione è tuttora ignoto;</w:t>
      </w:r>
    </w:p>
    <w:p w14:paraId="3C654477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C.</w:t>
      </w:r>
      <w:r w:rsidRPr="00FD632E">
        <w:tab/>
        <w:t xml:space="preserve">considerando che a Gui </w:t>
      </w:r>
      <w:proofErr w:type="spellStart"/>
      <w:r w:rsidRPr="00FD632E">
        <w:t>Minhai</w:t>
      </w:r>
      <w:proofErr w:type="spellEnd"/>
      <w:r w:rsidRPr="00FD632E">
        <w:t xml:space="preserve"> continuano a essere negati i contatti con la famiglia, il che solleva gravi preoccupazioni circa il suo stato di salute dopo un decennio di detenzione;</w:t>
      </w:r>
    </w:p>
    <w:p w14:paraId="1400707C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1.</w:t>
      </w:r>
      <w:r w:rsidRPr="00FD632E">
        <w:tab/>
        <w:t xml:space="preserve">ribadisce il suo appello alla liberazione immediata e senza condizioni di Gui </w:t>
      </w:r>
      <w:proofErr w:type="spellStart"/>
      <w:r w:rsidRPr="00FD632E">
        <w:t>Minhai</w:t>
      </w:r>
      <w:proofErr w:type="spellEnd"/>
      <w:r w:rsidRPr="00FD632E">
        <w:t xml:space="preserve">; prende atto con profonda preoccupazione dell'avvicinarsi del decimo anniversario del suo rapimento e della sua detenzione; ribadisce la propria ferma condanna nei confronti del rapimento, dell'arresto arbitrario, della detenzione e della condanna di Gui </w:t>
      </w:r>
      <w:proofErr w:type="spellStart"/>
      <w:r w:rsidRPr="00FD632E">
        <w:t>Minhai</w:t>
      </w:r>
      <w:proofErr w:type="spellEnd"/>
      <w:r w:rsidRPr="00FD632E">
        <w:t>;</w:t>
      </w:r>
    </w:p>
    <w:p w14:paraId="6FE8040F" w14:textId="77777777" w:rsidR="00CB7411" w:rsidRPr="00FD632E" w:rsidRDefault="00CB7411" w:rsidP="00CB7411">
      <w:pPr>
        <w:pStyle w:val="NormalHanging12a"/>
      </w:pPr>
      <w:r w:rsidRPr="00FD632E">
        <w:t>2.</w:t>
      </w:r>
      <w:r w:rsidRPr="00FD632E">
        <w:tab/>
        <w:t xml:space="preserve">esprime solidarietà alla famiglia di Gui </w:t>
      </w:r>
      <w:proofErr w:type="spellStart"/>
      <w:r w:rsidRPr="00FD632E">
        <w:t>Minhai</w:t>
      </w:r>
      <w:proofErr w:type="spellEnd"/>
      <w:r w:rsidRPr="00FD632E">
        <w:t>, in particolare alla figlia Angela Gui, che continua a battersi instancabilmente per la sua liberazione;</w:t>
      </w:r>
    </w:p>
    <w:p w14:paraId="32F0AA70" w14:textId="77777777" w:rsidR="00CB7411" w:rsidRPr="00FD632E" w:rsidRDefault="00CB7411" w:rsidP="00CB7411">
      <w:pPr>
        <w:pStyle w:val="NormalHanging12a"/>
      </w:pPr>
      <w:r w:rsidRPr="00FD632E">
        <w:t>3.</w:t>
      </w:r>
      <w:r w:rsidRPr="00FD632E">
        <w:tab/>
        <w:t xml:space="preserve">sottolinea che il rifiuto di consentire l'accesso consolare a Gui </w:t>
      </w:r>
      <w:proofErr w:type="spellStart"/>
      <w:r w:rsidRPr="00FD632E">
        <w:t>Minhai</w:t>
      </w:r>
      <w:proofErr w:type="spellEnd"/>
      <w:r w:rsidRPr="00FD632E">
        <w:t xml:space="preserve"> costituisce una </w:t>
      </w:r>
      <w:r w:rsidRPr="00FD632E">
        <w:lastRenderedPageBreak/>
        <w:t xml:space="preserve">violazione degli obblighi della Cina ai sensi della Convenzione di Vienna; esprime profonda preoccupazione per la salute e il trattamento di Gui </w:t>
      </w:r>
      <w:proofErr w:type="spellStart"/>
      <w:r w:rsidRPr="00FD632E">
        <w:t>Minhai</w:t>
      </w:r>
      <w:proofErr w:type="spellEnd"/>
      <w:r w:rsidRPr="00FD632E">
        <w:t xml:space="preserve"> durante la detenzione; invita le autorità cinesi a consentirgli l'accesso immediato a cure mediche indipendenti di sua scelta, nonché l'accesso senza restrizioni alla sua famiglia, a un rappresentante legale di sua scelta e ai funzionari consolari;</w:t>
      </w:r>
    </w:p>
    <w:p w14:paraId="55C74F3F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4.</w:t>
      </w:r>
      <w:r w:rsidRPr="00FD632E">
        <w:tab/>
        <w:t>evidenzia che questo caso è esemplificativo del quadro di repressione sistemica e transnazionale, di censura e di violazione delle libertà fondamentali che si osserva in Cina, anche nei confronti di avvocati, giornalisti, artisti, difensori dei diritti umani, minoranze etniche e religiose e cittadini stranieri;</w:t>
      </w:r>
    </w:p>
    <w:p w14:paraId="5A380571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5.</w:t>
      </w:r>
      <w:r w:rsidRPr="00FD632E">
        <w:tab/>
        <w:t>sottolinea che la fiducia reciproca e il rispetto dei diritti umani, compreso il diritto alla libertà di espressione, alla libertà di stampa e al diritto di pubblicazione, dovrebbero essere al centro delle relazioni UE-Cina;</w:t>
      </w:r>
    </w:p>
    <w:p w14:paraId="3235ACEC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6.</w:t>
      </w:r>
      <w:r w:rsidRPr="00FD632E">
        <w:tab/>
        <w:t>invita la Cina a porre fine alla censura, alle vessazioni e alle intimidazioni nei confronti di editori, scrittori, giornalisti e accademici;</w:t>
      </w:r>
    </w:p>
    <w:p w14:paraId="5037B0A7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7.</w:t>
      </w:r>
      <w:r w:rsidRPr="00FD632E">
        <w:tab/>
        <w:t>esorta le autorità cinesi a porre fine alla pratica della detenzione arbitraria e delle confessioni forzate e a rilasciare immediatamente tutte le persone detenute per aver esercitato le libertà fondamentali, compresi avvocati, giornalisti, artisti, rappresentanti delle minoranze e difensori dei diritti umani;</w:t>
      </w:r>
    </w:p>
    <w:p w14:paraId="0380C51F" w14:textId="77777777" w:rsidR="00CB7411" w:rsidRPr="00FD632E" w:rsidRDefault="00CB7411" w:rsidP="00CB7411">
      <w:pPr>
        <w:pStyle w:val="NormalHanging12a"/>
        <w:rPr>
          <w:rFonts w:eastAsia="Aptos"/>
        </w:rPr>
      </w:pPr>
      <w:r w:rsidRPr="00FD632E">
        <w:t>8.</w:t>
      </w:r>
      <w:r w:rsidRPr="00FD632E">
        <w:tab/>
        <w:t xml:space="preserve">invita il SEAE, la Commissione e gli Stati membri a continuare a sollevare il suo caso a tutti i livelli delle relazioni UE-Cina, a garantire la protezione dei cittadini dell'UE all'estero e a esortare la Cina a rilasciare Gui </w:t>
      </w:r>
      <w:proofErr w:type="spellStart"/>
      <w:r w:rsidRPr="00FD632E">
        <w:t>Minhai</w:t>
      </w:r>
      <w:proofErr w:type="spellEnd"/>
      <w:r w:rsidRPr="00FD632E">
        <w:t xml:space="preserve"> e a fornire informazioni sulle sue condizioni e sul luogo in cui si trova;</w:t>
      </w:r>
    </w:p>
    <w:p w14:paraId="7E16F08D" w14:textId="77777777" w:rsidR="00CB7411" w:rsidRPr="00FD632E" w:rsidRDefault="00CB7411" w:rsidP="00CB7411">
      <w:pPr>
        <w:pStyle w:val="NormalHanging12a"/>
      </w:pPr>
      <w:r w:rsidRPr="00FD632E">
        <w:t>9.</w:t>
      </w:r>
      <w:r w:rsidRPr="00FD632E">
        <w:tab/>
        <w:t>esorta vivamente la Cina a ratificare il Patto internazionale relativo ai diritti civili e politici;</w:t>
      </w:r>
    </w:p>
    <w:p w14:paraId="51175D90" w14:textId="77777777" w:rsidR="00AC27E4" w:rsidRPr="00FD632E" w:rsidRDefault="00CB7411" w:rsidP="00AC27E4">
      <w:pPr>
        <w:pStyle w:val="NormalHanging12a"/>
      </w:pPr>
      <w:r w:rsidRPr="00FD632E">
        <w:t>10.</w:t>
      </w:r>
      <w:r w:rsidRPr="00FD632E">
        <w:tab/>
        <w:t>incarica la sua Presidente di trasmettere la presente risoluzione al Consiglio, alla Commissione, alla VP/AR e agli Stati membri dell'UE, nonché al governo e all'Assemblea nazionale del popolo della Repubblica popolare cinese.</w:t>
      </w:r>
    </w:p>
    <w:p w14:paraId="086D3F66" w14:textId="77777777" w:rsidR="00E365E1" w:rsidRPr="00FD632E" w:rsidRDefault="00E365E1" w:rsidP="0085584B"/>
    <w:sectPr w:rsidR="00E365E1" w:rsidRPr="00FD632E" w:rsidSect="00AC27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70A25" w14:textId="77777777" w:rsidR="0085584B" w:rsidRPr="00AC27E4" w:rsidRDefault="0085584B">
      <w:r w:rsidRPr="00AC27E4">
        <w:separator/>
      </w:r>
    </w:p>
  </w:endnote>
  <w:endnote w:type="continuationSeparator" w:id="0">
    <w:p w14:paraId="77904703" w14:textId="77777777" w:rsidR="0085584B" w:rsidRPr="00AC27E4" w:rsidRDefault="0085584B">
      <w:r w:rsidRPr="00AC27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510B" w14:textId="77777777" w:rsidR="00064002" w:rsidRPr="00AC27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D8CBD" w14:textId="77777777" w:rsidR="00064002" w:rsidRPr="00AC27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0EC0F" w14:textId="77777777" w:rsidR="00064002" w:rsidRPr="00AC27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53DAC" w14:textId="77777777" w:rsidR="0085584B" w:rsidRPr="00AC27E4" w:rsidRDefault="0085584B">
      <w:r w:rsidRPr="00AC27E4">
        <w:separator/>
      </w:r>
    </w:p>
  </w:footnote>
  <w:footnote w:type="continuationSeparator" w:id="0">
    <w:p w14:paraId="5E6B67D1" w14:textId="77777777" w:rsidR="0085584B" w:rsidRPr="00AC27E4" w:rsidRDefault="0085584B">
      <w:r w:rsidRPr="00AC27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B1F6" w14:textId="77777777" w:rsidR="00064002" w:rsidRPr="00AC27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2767" w14:textId="77777777" w:rsidR="00064002" w:rsidRPr="00AC27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C6E6" w14:textId="77777777" w:rsidR="00064002" w:rsidRPr="00AC27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7707245">
    <w:abstractNumId w:val="9"/>
  </w:num>
  <w:num w:numId="2" w16cid:durableId="1388649905">
    <w:abstractNumId w:val="9"/>
  </w:num>
  <w:num w:numId="3" w16cid:durableId="168105242">
    <w:abstractNumId w:val="7"/>
  </w:num>
  <w:num w:numId="4" w16cid:durableId="1361659974">
    <w:abstractNumId w:val="7"/>
  </w:num>
  <w:num w:numId="5" w16cid:durableId="2141461658">
    <w:abstractNumId w:val="6"/>
  </w:num>
  <w:num w:numId="6" w16cid:durableId="699932653">
    <w:abstractNumId w:val="6"/>
  </w:num>
  <w:num w:numId="7" w16cid:durableId="683285571">
    <w:abstractNumId w:val="5"/>
  </w:num>
  <w:num w:numId="8" w16cid:durableId="1388068479">
    <w:abstractNumId w:val="5"/>
  </w:num>
  <w:num w:numId="9" w16cid:durableId="1560284667">
    <w:abstractNumId w:val="4"/>
  </w:num>
  <w:num w:numId="10" w16cid:durableId="933708731">
    <w:abstractNumId w:val="4"/>
  </w:num>
  <w:num w:numId="11" w16cid:durableId="842400950">
    <w:abstractNumId w:val="8"/>
  </w:num>
  <w:num w:numId="12" w16cid:durableId="677316282">
    <w:abstractNumId w:val="8"/>
  </w:num>
  <w:num w:numId="13" w16cid:durableId="1272786748">
    <w:abstractNumId w:val="3"/>
  </w:num>
  <w:num w:numId="14" w16cid:durableId="280577736">
    <w:abstractNumId w:val="3"/>
  </w:num>
  <w:num w:numId="15" w16cid:durableId="299918862">
    <w:abstractNumId w:val="2"/>
  </w:num>
  <w:num w:numId="16" w16cid:durableId="1990747534">
    <w:abstractNumId w:val="2"/>
  </w:num>
  <w:num w:numId="17" w16cid:durableId="488062819">
    <w:abstractNumId w:val="1"/>
  </w:num>
  <w:num w:numId="18" w16cid:durableId="110980031">
    <w:abstractNumId w:val="1"/>
  </w:num>
  <w:num w:numId="19" w16cid:durableId="868949611">
    <w:abstractNumId w:val="0"/>
  </w:num>
  <w:num w:numId="20" w16cid:durableId="1220705629">
    <w:abstractNumId w:val="0"/>
  </w:num>
  <w:num w:numId="21" w16cid:durableId="1959530231">
    <w:abstractNumId w:val="9"/>
  </w:num>
  <w:num w:numId="22" w16cid:durableId="2120298539">
    <w:abstractNumId w:val="7"/>
  </w:num>
  <w:num w:numId="23" w16cid:durableId="222064253">
    <w:abstractNumId w:val="6"/>
  </w:num>
  <w:num w:numId="24" w16cid:durableId="1670407692">
    <w:abstractNumId w:val="5"/>
  </w:num>
  <w:num w:numId="25" w16cid:durableId="85655960">
    <w:abstractNumId w:val="4"/>
  </w:num>
  <w:num w:numId="26" w16cid:durableId="1547372973">
    <w:abstractNumId w:val="8"/>
  </w:num>
  <w:num w:numId="27" w16cid:durableId="775445228">
    <w:abstractNumId w:val="3"/>
  </w:num>
  <w:num w:numId="28" w16cid:durableId="407727371">
    <w:abstractNumId w:val="2"/>
  </w:num>
  <w:num w:numId="29" w16cid:durableId="1850216687">
    <w:abstractNumId w:val="1"/>
  </w:num>
  <w:num w:numId="30" w16cid:durableId="494228633">
    <w:abstractNumId w:val="0"/>
  </w:num>
  <w:num w:numId="31" w16cid:durableId="430705219">
    <w:abstractNumId w:val="9"/>
  </w:num>
  <w:num w:numId="32" w16cid:durableId="1097336494">
    <w:abstractNumId w:val="7"/>
  </w:num>
  <w:num w:numId="33" w16cid:durableId="353113242">
    <w:abstractNumId w:val="6"/>
  </w:num>
  <w:num w:numId="34" w16cid:durableId="1209730753">
    <w:abstractNumId w:val="5"/>
  </w:num>
  <w:num w:numId="35" w16cid:durableId="1186598202">
    <w:abstractNumId w:val="4"/>
  </w:num>
  <w:num w:numId="36" w16cid:durableId="807825377">
    <w:abstractNumId w:val="8"/>
  </w:num>
  <w:num w:numId="37" w16cid:durableId="1411388156">
    <w:abstractNumId w:val="3"/>
  </w:num>
  <w:num w:numId="38" w16cid:durableId="120081313">
    <w:abstractNumId w:val="2"/>
  </w:num>
  <w:num w:numId="39" w16cid:durableId="1506244356">
    <w:abstractNumId w:val="1"/>
  </w:num>
  <w:num w:numId="40" w16cid:durableId="1378822638">
    <w:abstractNumId w:val="0"/>
  </w:num>
  <w:num w:numId="41" w16cid:durableId="1367026821">
    <w:abstractNumId w:val="10"/>
  </w:num>
  <w:num w:numId="42" w16cid:durableId="733895403">
    <w:abstractNumId w:val="10"/>
  </w:num>
  <w:num w:numId="43" w16cid:durableId="1030882681">
    <w:abstractNumId w:val="10"/>
  </w:num>
  <w:num w:numId="44" w16cid:durableId="2034763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IT"/>
    <w:docVar w:name="dvnumam" w:val="0"/>
    <w:docVar w:name="dvpe" w:val="776.251"/>
    <w:docVar w:name="dvtitre" w:val="Risoluzione del Parlamento europeo del 9 ottobre 2025 sul 10° anniversario della detenzione dell'editore svedese Gui Minhai, incarcerato in Cina(2025/2906(RSP))"/>
  </w:docVars>
  <w:rsids>
    <w:rsidRoot w:val="0085584B"/>
    <w:rsid w:val="00002272"/>
    <w:rsid w:val="0000683E"/>
    <w:rsid w:val="00064002"/>
    <w:rsid w:val="000677B9"/>
    <w:rsid w:val="000831BA"/>
    <w:rsid w:val="000A42CC"/>
    <w:rsid w:val="000E7DD9"/>
    <w:rsid w:val="0010095E"/>
    <w:rsid w:val="00104C5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84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7E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41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1007A"/>
  <w15:chartTrackingRefBased/>
  <w15:docId w15:val="{9EC8D5A0-54F4-4257-8170-04DDE4D9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B741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B741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B7411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CB7411"/>
    <w:rPr>
      <w:sz w:val="24"/>
      <w:lang w:val="it-IT"/>
    </w:rPr>
  </w:style>
  <w:style w:type="paragraph" w:styleId="Revision">
    <w:name w:val="Revision"/>
    <w:hidden/>
    <w:uiPriority w:val="99"/>
    <w:semiHidden/>
    <w:rsid w:val="00104C5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Cecilia_RELEC</dc:creator>
  <cp:keywords/>
  <cp:lastModifiedBy>LOMBARDINI Cecilia1</cp:lastModifiedBy>
  <cp:revision>2</cp:revision>
  <cp:lastPrinted>2004-11-19T15:42:00Z</cp:lastPrinted>
  <dcterms:created xsi:type="dcterms:W3CDTF">2025-10-09T12:56:00Z</dcterms:created>
  <dcterms:modified xsi:type="dcterms:W3CDTF">2025-10-09T12:56:00Z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