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30A7" w14:paraId="517033BD" w14:textId="77777777" w:rsidTr="0010095E">
        <w:trPr>
          <w:trHeight w:hRule="exact" w:val="1418"/>
        </w:trPr>
        <w:tc>
          <w:tcPr>
            <w:tcW w:w="6804" w:type="dxa"/>
            <w:shd w:val="clear" w:color="auto" w:fill="auto"/>
            <w:vAlign w:val="center"/>
          </w:tcPr>
          <w:p w14:paraId="1EBD5447" w14:textId="77777777" w:rsidR="00751A4A" w:rsidRPr="002330A7" w:rsidRDefault="0029455E" w:rsidP="0010095E">
            <w:pPr>
              <w:pStyle w:val="EPName"/>
            </w:pPr>
            <w:r w:rsidRPr="002330A7">
              <w:t>Europos Parlamentas</w:t>
            </w:r>
          </w:p>
          <w:p w14:paraId="6056FD0F" w14:textId="77777777" w:rsidR="00751A4A" w:rsidRPr="002330A7" w:rsidRDefault="005F1B17" w:rsidP="005F1B17">
            <w:pPr>
              <w:pStyle w:val="EPTerm"/>
              <w:rPr>
                <w:rStyle w:val="HideTWBExt"/>
                <w:noProof w:val="0"/>
                <w:vanish w:val="0"/>
                <w:color w:val="auto"/>
              </w:rPr>
            </w:pPr>
            <w:r w:rsidRPr="002330A7">
              <w:t>2024</w:t>
            </w:r>
            <w:r w:rsidR="00817416" w:rsidRPr="002330A7">
              <w:t>-202</w:t>
            </w:r>
            <w:r w:rsidRPr="002330A7">
              <w:t>9</w:t>
            </w:r>
          </w:p>
        </w:tc>
        <w:tc>
          <w:tcPr>
            <w:tcW w:w="2268" w:type="dxa"/>
            <w:shd w:val="clear" w:color="auto" w:fill="auto"/>
          </w:tcPr>
          <w:p w14:paraId="04371D6B" w14:textId="77777777" w:rsidR="00751A4A" w:rsidRPr="002330A7" w:rsidRDefault="00187494" w:rsidP="0010095E">
            <w:pPr>
              <w:pStyle w:val="EPLogo"/>
            </w:pPr>
            <w:r w:rsidRPr="002330A7">
              <w:rPr>
                <w:noProof/>
                <w:lang w:eastAsia="ja-JP"/>
              </w:rPr>
              <w:drawing>
                <wp:inline distT="0" distB="0" distL="0" distR="0" wp14:anchorId="062E7DF6" wp14:editId="40A2FA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7DB765" w14:textId="77777777" w:rsidR="00D058B8" w:rsidRPr="002330A7" w:rsidRDefault="00D058B8" w:rsidP="004C5D52">
      <w:pPr>
        <w:pStyle w:val="LineTop"/>
      </w:pPr>
    </w:p>
    <w:p w14:paraId="69F18072" w14:textId="77777777" w:rsidR="00680577" w:rsidRPr="002330A7" w:rsidRDefault="0029455E" w:rsidP="00680577">
      <w:pPr>
        <w:pStyle w:val="EPBodyTA1"/>
      </w:pPr>
      <w:r w:rsidRPr="002330A7">
        <w:t>PRIIMTI TEKSTAI</w:t>
      </w:r>
    </w:p>
    <w:p w14:paraId="70D97EB0" w14:textId="77777777" w:rsidR="00D058B8" w:rsidRPr="002330A7" w:rsidRDefault="00D058B8" w:rsidP="00D058B8">
      <w:pPr>
        <w:pStyle w:val="LineBottom"/>
      </w:pPr>
    </w:p>
    <w:p w14:paraId="62DE07A4" w14:textId="26C8C32F" w:rsidR="0029455E" w:rsidRPr="002330A7" w:rsidRDefault="0029455E" w:rsidP="0029455E">
      <w:pPr>
        <w:pStyle w:val="ATHeading1"/>
      </w:pPr>
      <w:bookmarkStart w:id="0" w:name="TANumber"/>
      <w:r w:rsidRPr="002330A7">
        <w:t>P10_TA(2025)0</w:t>
      </w:r>
      <w:r w:rsidR="00373AB6">
        <w:t>225</w:t>
      </w:r>
      <w:bookmarkEnd w:id="0"/>
    </w:p>
    <w:p w14:paraId="7AD81962" w14:textId="77777777" w:rsidR="0029455E" w:rsidRPr="002330A7" w:rsidRDefault="0029455E" w:rsidP="0029455E">
      <w:pPr>
        <w:pStyle w:val="ATHeading2"/>
      </w:pPr>
      <w:bookmarkStart w:id="1" w:name="title"/>
      <w:r w:rsidRPr="002330A7">
        <w:t>Kinijoje kalinamo švedų publicisto Gui Minhai suėmimo dešimtosios metinės</w:t>
      </w:r>
      <w:bookmarkEnd w:id="1"/>
    </w:p>
    <w:p w14:paraId="4F52B9A4" w14:textId="77777777" w:rsidR="0029455E" w:rsidRPr="002330A7" w:rsidRDefault="0029455E" w:rsidP="0029455E">
      <w:pPr>
        <w:rPr>
          <w:i/>
          <w:vanish/>
        </w:rPr>
      </w:pPr>
      <w:r w:rsidRPr="002330A7">
        <w:rPr>
          <w:i/>
        </w:rPr>
        <w:fldChar w:fldCharType="begin"/>
      </w:r>
      <w:r w:rsidRPr="002330A7">
        <w:rPr>
          <w:i/>
        </w:rPr>
        <w:instrText xml:space="preserve"> TC"(</w:instrText>
      </w:r>
      <w:bookmarkStart w:id="2" w:name="DocNumber"/>
      <w:r w:rsidRPr="002330A7">
        <w:rPr>
          <w:i/>
        </w:rPr>
        <w:instrText>B10-0412, 0414, 0429, 00431, 0433 ir 0435/2025</w:instrText>
      </w:r>
      <w:bookmarkEnd w:id="2"/>
      <w:r w:rsidRPr="002330A7">
        <w:rPr>
          <w:i/>
        </w:rPr>
        <w:instrText xml:space="preserve">)"\l3 \n&gt; \* MERGEFORMAT </w:instrText>
      </w:r>
      <w:r w:rsidRPr="002330A7">
        <w:rPr>
          <w:i/>
        </w:rPr>
        <w:fldChar w:fldCharType="end"/>
      </w:r>
    </w:p>
    <w:p w14:paraId="33A897EE" w14:textId="77777777" w:rsidR="0029455E" w:rsidRPr="002330A7" w:rsidRDefault="0029455E" w:rsidP="0029455E">
      <w:pPr>
        <w:rPr>
          <w:vanish/>
        </w:rPr>
      </w:pPr>
      <w:bookmarkStart w:id="3" w:name="PE"/>
      <w:r w:rsidRPr="002330A7">
        <w:rPr>
          <w:vanish/>
        </w:rPr>
        <w:t>PE776.251</w:t>
      </w:r>
      <w:bookmarkEnd w:id="3"/>
    </w:p>
    <w:p w14:paraId="5B782931" w14:textId="129119CF" w:rsidR="0029455E" w:rsidRPr="002330A7" w:rsidRDefault="00874343" w:rsidP="00874343">
      <w:pPr>
        <w:pStyle w:val="ATHeading3"/>
      </w:pPr>
      <w:bookmarkStart w:id="4" w:name="Sujet"/>
      <w:r>
        <w:t xml:space="preserve">2025 m. spalio 9 d. </w:t>
      </w:r>
      <w:r w:rsidR="0029455E" w:rsidRPr="002330A7">
        <w:t>Europos Parlamento rezoliucija dėl Kinijoje kalinamo švedų publicisto Gui Minhai suėmimo dešimtųjų metinių</w:t>
      </w:r>
      <w:bookmarkEnd w:id="4"/>
      <w:r w:rsidR="0029455E" w:rsidRPr="002330A7">
        <w:t xml:space="preserve"> </w:t>
      </w:r>
      <w:bookmarkStart w:id="5" w:name="References"/>
      <w:r w:rsidR="0029455E" w:rsidRPr="002330A7">
        <w:t>(2025/2906(RSP))</w:t>
      </w:r>
      <w:bookmarkEnd w:id="5"/>
    </w:p>
    <w:p w14:paraId="0D4039AD" w14:textId="77777777" w:rsidR="00AB62E9" w:rsidRPr="002330A7" w:rsidRDefault="00AB62E9" w:rsidP="00AB62E9">
      <w:pPr>
        <w:pStyle w:val="EPComma"/>
      </w:pPr>
      <w:bookmarkStart w:id="6" w:name="TextBodyBegin"/>
      <w:bookmarkEnd w:id="6"/>
      <w:r w:rsidRPr="002330A7">
        <w:rPr>
          <w:i/>
          <w:iCs/>
        </w:rPr>
        <w:t>Europos Parlamentas</w:t>
      </w:r>
      <w:r w:rsidRPr="002330A7">
        <w:t>,</w:t>
      </w:r>
    </w:p>
    <w:p w14:paraId="73F154DF" w14:textId="77777777" w:rsidR="00AB62E9" w:rsidRPr="002330A7" w:rsidRDefault="00AB62E9" w:rsidP="00AB62E9">
      <w:pPr>
        <w:pStyle w:val="NormalHanging12a"/>
        <w:rPr>
          <w:rFonts w:eastAsia="Aptos"/>
        </w:rPr>
      </w:pPr>
      <w:r w:rsidRPr="002330A7">
        <w:t>–</w:t>
      </w:r>
      <w:r w:rsidRPr="002330A7">
        <w:tab/>
        <w:t>atsižvelgdamas į savo ankstesnes rezoliucijas dėl žmogaus teisių padėties Kinijoje,</w:t>
      </w:r>
    </w:p>
    <w:p w14:paraId="0C51E39B" w14:textId="77777777" w:rsidR="00AB62E9" w:rsidRPr="002330A7" w:rsidRDefault="00AB62E9" w:rsidP="00AB62E9">
      <w:pPr>
        <w:pStyle w:val="NormalHanging12a"/>
      </w:pPr>
      <w:r w:rsidRPr="002330A7">
        <w:t>–</w:t>
      </w:r>
      <w:r w:rsidRPr="002330A7">
        <w:tab/>
        <w:t>atsižvelgdamas į Darbo tvarkos taisyklių 150 straipsnio 5 dalį ir 136 straipsnio 4 dalį,</w:t>
      </w:r>
    </w:p>
    <w:p w14:paraId="3C9556B3" w14:textId="77777777" w:rsidR="00AB62E9" w:rsidRPr="002330A7" w:rsidRDefault="00AB62E9" w:rsidP="00AB62E9">
      <w:pPr>
        <w:pStyle w:val="NormalHanging12a"/>
      </w:pPr>
      <w:r w:rsidRPr="002330A7">
        <w:t>A.</w:t>
      </w:r>
      <w:r w:rsidRPr="002330A7">
        <w:tab/>
        <w:t>kadangi 2015 m. spalio mėn. Tailande pagrobtas, o vėliau Kinijoje įkalintas Švedijos pilietis Gui Minhai – leidėjas ir leidyklos „Mighty Current“ Honkonge, žinomos dėl Kinijos vadovus kritikuojančių kūrinių leidybos, bendraturtis; kadangi jo pagrobimas buvo platesnio masto Kinijos represijų prieš Honkonge įsisteigusius leidėjus dalis;</w:t>
      </w:r>
    </w:p>
    <w:p w14:paraId="482BDD01" w14:textId="77777777" w:rsidR="00AB62E9" w:rsidRPr="002330A7" w:rsidRDefault="00AB62E9" w:rsidP="00AB62E9">
      <w:pPr>
        <w:pStyle w:val="NormalHanging12a"/>
      </w:pPr>
      <w:r w:rsidRPr="002330A7">
        <w:t>B.</w:t>
      </w:r>
      <w:r w:rsidRPr="002330A7">
        <w:tab/>
        <w:t>kadangi 2020 m. vasario mėn. Kinijos teismas po slapto ir nesąžiningo proceso nuteisė Gui Minhai 10 metų laisvės atėmimo bausme dėl „užsienyje neteisėtai teikiamų žvalgybos paslaugų“; kadangi jam nesuteikta teisė būti tinkamai teisiškai atstovaujamam ir galimybė kreiptis į Švedijos konsulines tarnybas; kadangi dabartinė jo buvimo vieta vis dar nežinoma;</w:t>
      </w:r>
    </w:p>
    <w:p w14:paraId="55CA503F" w14:textId="77777777" w:rsidR="00AB62E9" w:rsidRPr="002330A7" w:rsidRDefault="00AB62E9" w:rsidP="00AB62E9">
      <w:pPr>
        <w:pStyle w:val="NormalHanging12a"/>
        <w:rPr>
          <w:rFonts w:eastAsia="Aptos"/>
        </w:rPr>
      </w:pPr>
      <w:r w:rsidRPr="002330A7">
        <w:t>C.</w:t>
      </w:r>
      <w:r w:rsidRPr="002330A7">
        <w:tab/>
        <w:t>kadangi Gui Minhai ir toliau neleidžiama susisiekti su šeima, o tai kelia didelį susirūpinimą dėl jo sveikatos būklės po dešimtmetį trunkančio kalinimo;</w:t>
      </w:r>
    </w:p>
    <w:p w14:paraId="4D755568" w14:textId="77777777" w:rsidR="00AB62E9" w:rsidRPr="002330A7" w:rsidRDefault="00AB62E9" w:rsidP="00AB62E9">
      <w:pPr>
        <w:pStyle w:val="NormalHanging12a"/>
        <w:rPr>
          <w:rFonts w:eastAsia="Aptos"/>
        </w:rPr>
      </w:pPr>
      <w:r w:rsidRPr="002330A7">
        <w:t>1.</w:t>
      </w:r>
      <w:r w:rsidRPr="002330A7">
        <w:tab/>
        <w:t>pakartoja savo raginimą nedelsiant ir besąlygiškai paleisti Gui Minhai; su dideliu susirūpinimu atkreipia dėmesį į artėjančias dešimtąsias jo pagrobimo ir suėmimo metines ir pakartoja, kad griežčiausiai smerkia jo pagrobimą, savavališką sulaikymą, suėmimą ir nuteisimą;</w:t>
      </w:r>
    </w:p>
    <w:p w14:paraId="295A4C6D" w14:textId="77777777" w:rsidR="00AB62E9" w:rsidRPr="002330A7" w:rsidRDefault="00AB62E9" w:rsidP="00AB62E9">
      <w:pPr>
        <w:pStyle w:val="NormalHanging12a"/>
      </w:pPr>
      <w:r w:rsidRPr="002330A7">
        <w:t>2.</w:t>
      </w:r>
      <w:r w:rsidRPr="002330A7">
        <w:tab/>
        <w:t>reiškia solidarumą su Gui Minhai šeima, ypač su jo dukra Angela Gui, kuri ir toliau nenuilstamai kovoja dėl jo išlaisvinimo;</w:t>
      </w:r>
    </w:p>
    <w:p w14:paraId="0832BCAE" w14:textId="77777777" w:rsidR="00AB62E9" w:rsidRPr="002330A7" w:rsidRDefault="00AB62E9" w:rsidP="00AB62E9">
      <w:pPr>
        <w:pStyle w:val="NormalHanging12a"/>
      </w:pPr>
      <w:r w:rsidRPr="002330A7">
        <w:t>3.</w:t>
      </w:r>
      <w:r w:rsidRPr="002330A7">
        <w:tab/>
        <w:t xml:space="preserve">pabrėžia, kad atsisakymas suteikti Gui Minhai galimybę naudotis konsulinėmis paslaugomis yra Kinijos įsipareigojimų pagal Vienos konvenciją pažeidimas; reiškia didelį susirūpinimą dėl Gui Minhai sveikatos ir elgesio su juo kalinimo metu; ragina </w:t>
      </w:r>
      <w:r w:rsidRPr="002330A7">
        <w:lastRenderedPageBreak/>
        <w:t>Kinijos valdžios institucijas nedelsiant suteikti jam galimybę gauti jo paties pasirinktas nepriklausomas medicininės priežiūros paslaugas, taip pat leisti nekliudomai susisiekti su savo šeima, jo pasirinktu teisiniu atstovu ir konsuliniais pareigūnais;</w:t>
      </w:r>
    </w:p>
    <w:p w14:paraId="1D7D12D7" w14:textId="77777777" w:rsidR="00AB62E9" w:rsidRPr="002330A7" w:rsidRDefault="00AB62E9" w:rsidP="00AB62E9">
      <w:pPr>
        <w:pStyle w:val="NormalHanging12a"/>
        <w:rPr>
          <w:rFonts w:eastAsia="Aptos"/>
        </w:rPr>
      </w:pPr>
      <w:r w:rsidRPr="002330A7">
        <w:t>4.</w:t>
      </w:r>
      <w:r w:rsidRPr="002330A7">
        <w:tab/>
        <w:t>pabrėžia, kad šis atvejis yra Kinijoje taikomo sisteminių ir tarpvalstybinių represijų, cenzūros ir pagrindinių laisvių pažeidimų, be kita ko, vykdomų prieš teisininkus, žurnalistus, menininkus, žmogaus teisių gynėjus, etnines ir religines mažumas ir užsienio piliečius, modelio pavyzdys;</w:t>
      </w:r>
    </w:p>
    <w:p w14:paraId="62487B59" w14:textId="77777777" w:rsidR="00AB62E9" w:rsidRPr="002330A7" w:rsidRDefault="00AB62E9" w:rsidP="00AB62E9">
      <w:pPr>
        <w:pStyle w:val="NormalHanging12a"/>
        <w:rPr>
          <w:rFonts w:eastAsia="Aptos"/>
        </w:rPr>
      </w:pPr>
      <w:r w:rsidRPr="002330A7">
        <w:t>5.</w:t>
      </w:r>
      <w:r w:rsidRPr="002330A7">
        <w:tab/>
        <w:t>pabrėžia, kad tarpusavio pasitikėjimas ir pagarba žmogaus teisėms, įskaitant teisę į saviraiškos laisvę, spaudos laisvę ir leidybos teisę, turėtų būti ES ir Kinijos santykių pagrindas;</w:t>
      </w:r>
    </w:p>
    <w:p w14:paraId="11B0FCD9" w14:textId="77777777" w:rsidR="00AB62E9" w:rsidRPr="002330A7" w:rsidRDefault="00AB62E9" w:rsidP="00AB62E9">
      <w:pPr>
        <w:pStyle w:val="NormalHanging12a"/>
        <w:rPr>
          <w:rFonts w:eastAsia="Aptos"/>
        </w:rPr>
      </w:pPr>
      <w:r w:rsidRPr="002330A7">
        <w:t>6.</w:t>
      </w:r>
      <w:r w:rsidRPr="002330A7">
        <w:tab/>
        <w:t>ragina Kiniją nutraukti leidėjų, rašytojų, žurnalistų ir akademinės bendruomenės atstovų cenzūrą, priekabiavimą prie jų ir jų bauginimą;</w:t>
      </w:r>
    </w:p>
    <w:p w14:paraId="4DE0B971" w14:textId="77777777" w:rsidR="00AB62E9" w:rsidRPr="002330A7" w:rsidRDefault="00AB62E9" w:rsidP="00AB62E9">
      <w:pPr>
        <w:pStyle w:val="NormalHanging12a"/>
        <w:rPr>
          <w:rFonts w:eastAsia="Aptos"/>
        </w:rPr>
      </w:pPr>
      <w:r w:rsidRPr="002330A7">
        <w:t>7.</w:t>
      </w:r>
      <w:r w:rsidRPr="002330A7">
        <w:tab/>
        <w:t>primygtinai ragina Kinijos valdžios institucijas nutraukti savavališko suėmimo ir priverstinio prisipažinimo praktiką ir nedelsiant paleisti visus už naudojimąsi pagrindinėmis laisvėmis sulaikytus asmenis, įskaitant teisininkus, žurnalistus, menininkus, mažumų atstovus ir žmogaus teisių gynėjus;</w:t>
      </w:r>
    </w:p>
    <w:p w14:paraId="41370F20" w14:textId="77777777" w:rsidR="00AB62E9" w:rsidRPr="002330A7" w:rsidRDefault="00AB62E9" w:rsidP="00AB62E9">
      <w:pPr>
        <w:pStyle w:val="NormalHanging12a"/>
        <w:rPr>
          <w:rFonts w:eastAsia="Aptos"/>
        </w:rPr>
      </w:pPr>
      <w:r w:rsidRPr="002330A7">
        <w:t>8.</w:t>
      </w:r>
      <w:r w:rsidRPr="002330A7">
        <w:tab/>
        <w:t>ragina EIVT, Komisiją ir valstybes nares toliau kelti klausimus dėl šio atvejo visais ES ir Kinijos santykių lygmenimis, užtikrinti ES piliečių apsaugą užsienyje ir primygtinai raginti Kiniją paleisti Gui Minhai ir pateikti informaciją apie jo būklę bei buvimo vietą;</w:t>
      </w:r>
    </w:p>
    <w:p w14:paraId="784C07C0" w14:textId="77777777" w:rsidR="00AB62E9" w:rsidRPr="002330A7" w:rsidRDefault="00AB62E9" w:rsidP="00AB62E9">
      <w:pPr>
        <w:pStyle w:val="NormalHanging12a"/>
      </w:pPr>
      <w:r w:rsidRPr="002330A7">
        <w:t>9.</w:t>
      </w:r>
      <w:r w:rsidRPr="002330A7">
        <w:tab/>
        <w:t>primygtinai ragina Kiniją ratifikuoti Tarptautinį pilietinių ir politinių teisių paktą;</w:t>
      </w:r>
    </w:p>
    <w:p w14:paraId="11442D66" w14:textId="7B03F4B3" w:rsidR="00E365E1" w:rsidRPr="002330A7" w:rsidRDefault="00AB62E9" w:rsidP="00874343">
      <w:pPr>
        <w:ind w:left="567" w:hanging="567"/>
      </w:pPr>
      <w:r w:rsidRPr="002330A7">
        <w:t>10.</w:t>
      </w:r>
      <w:r w:rsidRPr="002330A7">
        <w:tab/>
        <w:t>paveda Pirmininkei perduoti šią rezoliuciją Tarybai, Komisijai, Pirmininkės pavaduotojai ir vyriausiajai įgaliotinei, ES valstybėms narėms ir Kinijos Liaudies Respublikos Vyriausybei ir Nacionaliniam liaudies kongresui.</w:t>
      </w:r>
    </w:p>
    <w:sectPr w:rsidR="00E365E1" w:rsidRPr="002330A7" w:rsidSect="002330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2B05A" w14:textId="77777777" w:rsidR="0029455E" w:rsidRPr="002330A7" w:rsidRDefault="0029455E">
      <w:r w:rsidRPr="002330A7">
        <w:separator/>
      </w:r>
    </w:p>
  </w:endnote>
  <w:endnote w:type="continuationSeparator" w:id="0">
    <w:p w14:paraId="5827D0A3" w14:textId="77777777" w:rsidR="0029455E" w:rsidRPr="002330A7" w:rsidRDefault="0029455E">
      <w:r w:rsidRPr="002330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5EB2A" w14:textId="77777777" w:rsidR="00064002" w:rsidRPr="002330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30891" w14:textId="77777777" w:rsidR="00064002" w:rsidRPr="002330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88E33" w14:textId="77777777" w:rsidR="00064002" w:rsidRPr="002330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A900C" w14:textId="77777777" w:rsidR="0029455E" w:rsidRPr="002330A7" w:rsidRDefault="0029455E">
      <w:r w:rsidRPr="002330A7">
        <w:separator/>
      </w:r>
    </w:p>
  </w:footnote>
  <w:footnote w:type="continuationSeparator" w:id="0">
    <w:p w14:paraId="35131FD7" w14:textId="77777777" w:rsidR="0029455E" w:rsidRPr="002330A7" w:rsidRDefault="0029455E">
      <w:r w:rsidRPr="002330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F5182" w14:textId="77777777" w:rsidR="00064002" w:rsidRPr="002330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3F0CA" w14:textId="77777777" w:rsidR="00064002" w:rsidRPr="002330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8A056" w14:textId="77777777" w:rsidR="00064002" w:rsidRPr="002330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1530789">
    <w:abstractNumId w:val="9"/>
  </w:num>
  <w:num w:numId="2" w16cid:durableId="163520090">
    <w:abstractNumId w:val="9"/>
  </w:num>
  <w:num w:numId="3" w16cid:durableId="134033670">
    <w:abstractNumId w:val="7"/>
  </w:num>
  <w:num w:numId="4" w16cid:durableId="1106269729">
    <w:abstractNumId w:val="7"/>
  </w:num>
  <w:num w:numId="5" w16cid:durableId="1484010531">
    <w:abstractNumId w:val="6"/>
  </w:num>
  <w:num w:numId="6" w16cid:durableId="1341082902">
    <w:abstractNumId w:val="6"/>
  </w:num>
  <w:num w:numId="7" w16cid:durableId="1656453371">
    <w:abstractNumId w:val="5"/>
  </w:num>
  <w:num w:numId="8" w16cid:durableId="960889840">
    <w:abstractNumId w:val="5"/>
  </w:num>
  <w:num w:numId="9" w16cid:durableId="1515001202">
    <w:abstractNumId w:val="4"/>
  </w:num>
  <w:num w:numId="10" w16cid:durableId="1485778775">
    <w:abstractNumId w:val="4"/>
  </w:num>
  <w:num w:numId="11" w16cid:durableId="1499615022">
    <w:abstractNumId w:val="8"/>
  </w:num>
  <w:num w:numId="12" w16cid:durableId="1538153219">
    <w:abstractNumId w:val="8"/>
  </w:num>
  <w:num w:numId="13" w16cid:durableId="275061210">
    <w:abstractNumId w:val="3"/>
  </w:num>
  <w:num w:numId="14" w16cid:durableId="285504973">
    <w:abstractNumId w:val="3"/>
  </w:num>
  <w:num w:numId="15" w16cid:durableId="1668047426">
    <w:abstractNumId w:val="2"/>
  </w:num>
  <w:num w:numId="16" w16cid:durableId="968515615">
    <w:abstractNumId w:val="2"/>
  </w:num>
  <w:num w:numId="17" w16cid:durableId="1006253992">
    <w:abstractNumId w:val="1"/>
  </w:num>
  <w:num w:numId="18" w16cid:durableId="726413077">
    <w:abstractNumId w:val="1"/>
  </w:num>
  <w:num w:numId="19" w16cid:durableId="1828016921">
    <w:abstractNumId w:val="0"/>
  </w:num>
  <w:num w:numId="20" w16cid:durableId="566379851">
    <w:abstractNumId w:val="0"/>
  </w:num>
  <w:num w:numId="21" w16cid:durableId="814487552">
    <w:abstractNumId w:val="9"/>
  </w:num>
  <w:num w:numId="22" w16cid:durableId="1591574393">
    <w:abstractNumId w:val="7"/>
  </w:num>
  <w:num w:numId="23" w16cid:durableId="2084133913">
    <w:abstractNumId w:val="6"/>
  </w:num>
  <w:num w:numId="24" w16cid:durableId="1618639786">
    <w:abstractNumId w:val="5"/>
  </w:num>
  <w:num w:numId="25" w16cid:durableId="679702800">
    <w:abstractNumId w:val="4"/>
  </w:num>
  <w:num w:numId="26" w16cid:durableId="990013584">
    <w:abstractNumId w:val="8"/>
  </w:num>
  <w:num w:numId="27" w16cid:durableId="320935123">
    <w:abstractNumId w:val="3"/>
  </w:num>
  <w:num w:numId="28" w16cid:durableId="1253929854">
    <w:abstractNumId w:val="2"/>
  </w:num>
  <w:num w:numId="29" w16cid:durableId="20593046">
    <w:abstractNumId w:val="1"/>
  </w:num>
  <w:num w:numId="30" w16cid:durableId="2126654049">
    <w:abstractNumId w:val="0"/>
  </w:num>
  <w:num w:numId="31" w16cid:durableId="1762289077">
    <w:abstractNumId w:val="9"/>
  </w:num>
  <w:num w:numId="32" w16cid:durableId="948396322">
    <w:abstractNumId w:val="7"/>
  </w:num>
  <w:num w:numId="33" w16cid:durableId="1458404636">
    <w:abstractNumId w:val="6"/>
  </w:num>
  <w:num w:numId="34" w16cid:durableId="1303005468">
    <w:abstractNumId w:val="5"/>
  </w:num>
  <w:num w:numId="35" w16cid:durableId="1825269538">
    <w:abstractNumId w:val="4"/>
  </w:num>
  <w:num w:numId="36" w16cid:durableId="660543042">
    <w:abstractNumId w:val="8"/>
  </w:num>
  <w:num w:numId="37" w16cid:durableId="1379940851">
    <w:abstractNumId w:val="3"/>
  </w:num>
  <w:num w:numId="38" w16cid:durableId="932512686">
    <w:abstractNumId w:val="2"/>
  </w:num>
  <w:num w:numId="39" w16cid:durableId="1129665472">
    <w:abstractNumId w:val="1"/>
  </w:num>
  <w:num w:numId="40" w16cid:durableId="2122874062">
    <w:abstractNumId w:val="0"/>
  </w:num>
  <w:num w:numId="41" w16cid:durableId="1284996133">
    <w:abstractNumId w:val="10"/>
  </w:num>
  <w:num w:numId="42" w16cid:durableId="553540486">
    <w:abstractNumId w:val="10"/>
  </w:num>
  <w:num w:numId="43" w16cid:durableId="1957640131">
    <w:abstractNumId w:val="10"/>
  </w:num>
  <w:num w:numId="44" w16cid:durableId="2200948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2, 0414, 0429, 00431, 0433 ir 0435/2025"/>
    <w:docVar w:name="dvlangue" w:val="LT"/>
    <w:docVar w:name="dvnumam" w:val="0"/>
    <w:docVar w:name="dvpe" w:val="776.251"/>
    <w:docVar w:name="dvtitre" w:val="Europos Parlamento rezoliucija dėl Kinijoje kalinamo švedų publicisto Gui Minhai suėmimo dešimtųjų metinių(2025/2906(RSP))"/>
  </w:docVars>
  <w:rsids>
    <w:rsidRoot w:val="0029455E"/>
    <w:rsid w:val="00002272"/>
    <w:rsid w:val="00064002"/>
    <w:rsid w:val="000677B9"/>
    <w:rsid w:val="000831BA"/>
    <w:rsid w:val="000A42CC"/>
    <w:rsid w:val="000E7DD9"/>
    <w:rsid w:val="0010095E"/>
    <w:rsid w:val="00125B37"/>
    <w:rsid w:val="00187494"/>
    <w:rsid w:val="001F32AE"/>
    <w:rsid w:val="002330A7"/>
    <w:rsid w:val="002767FF"/>
    <w:rsid w:val="0029455E"/>
    <w:rsid w:val="002B18FE"/>
    <w:rsid w:val="002B5493"/>
    <w:rsid w:val="002C0F68"/>
    <w:rsid w:val="00343214"/>
    <w:rsid w:val="00361C00"/>
    <w:rsid w:val="00373AB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33B5"/>
    <w:rsid w:val="00786EC0"/>
    <w:rsid w:val="007D1690"/>
    <w:rsid w:val="007E22AD"/>
    <w:rsid w:val="00817416"/>
    <w:rsid w:val="00842779"/>
    <w:rsid w:val="00865F67"/>
    <w:rsid w:val="00874343"/>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62E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F3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F2E35"/>
  <w15:chartTrackingRefBased/>
  <w15:docId w15:val="{DA3C943A-192B-43D2-AF65-0FB1CA0EA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B62E9"/>
    <w:pPr>
      <w:spacing w:after="240"/>
      <w:ind w:left="567" w:hanging="567"/>
    </w:pPr>
  </w:style>
  <w:style w:type="paragraph" w:customStyle="1" w:styleId="EPComma">
    <w:name w:val="EPComma"/>
    <w:basedOn w:val="Normal"/>
    <w:link w:val="EPCommaChar"/>
    <w:rsid w:val="00AB62E9"/>
    <w:pPr>
      <w:spacing w:before="480" w:after="240"/>
    </w:pPr>
  </w:style>
  <w:style w:type="character" w:customStyle="1" w:styleId="NormalHanging12aChar">
    <w:name w:val="NormalHanging12a Char"/>
    <w:basedOn w:val="DefaultParagraphFont"/>
    <w:link w:val="NormalHanging12a"/>
    <w:locked/>
    <w:rsid w:val="00AB62E9"/>
    <w:rPr>
      <w:sz w:val="24"/>
      <w:lang w:val="lt-LT"/>
    </w:rPr>
  </w:style>
  <w:style w:type="character" w:customStyle="1" w:styleId="EPCommaChar">
    <w:name w:val="EPComma Char"/>
    <w:basedOn w:val="DefaultParagraphFont"/>
    <w:link w:val="EPComma"/>
    <w:rsid w:val="00AB62E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2025-10-09T09:06:00Z</dcterms:created>
  <dcterms:modified xsi:type="dcterms:W3CDTF">2025-10-09T11:21:00Z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B10-0412, 0414, 0429, 00431, 0433 ir 0435/2025</vt:lpwstr>
  </property>
  <property fmtid="{D5CDD505-2E9C-101B-9397-08002B2CF9AE}" pid="4" name="&lt;Type&gt;">
    <vt:lpwstr>RR</vt:lpwstr>
  </property>
</Properties>
</file>