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3316" w14:paraId="54CA7FDE" w14:textId="77777777" w:rsidTr="0010095E">
        <w:trPr>
          <w:trHeight w:hRule="exact" w:val="1418"/>
        </w:trPr>
        <w:tc>
          <w:tcPr>
            <w:tcW w:w="6804" w:type="dxa"/>
            <w:shd w:val="clear" w:color="auto" w:fill="auto"/>
            <w:vAlign w:val="center"/>
          </w:tcPr>
          <w:p w14:paraId="70F2D8B6" w14:textId="77777777" w:rsidR="00751A4A" w:rsidRPr="009B3316" w:rsidRDefault="00B50DA2" w:rsidP="0010095E">
            <w:pPr>
              <w:pStyle w:val="EPName"/>
            </w:pPr>
            <w:r w:rsidRPr="009B3316">
              <w:t>Europees Parlement</w:t>
            </w:r>
          </w:p>
          <w:p w14:paraId="2F70C238" w14:textId="77777777" w:rsidR="00751A4A" w:rsidRPr="009B3316" w:rsidRDefault="005F1B17" w:rsidP="005F1B17">
            <w:pPr>
              <w:pStyle w:val="EPTerm"/>
              <w:rPr>
                <w:rStyle w:val="HideTWBExt"/>
                <w:noProof w:val="0"/>
                <w:vanish w:val="0"/>
                <w:color w:val="auto"/>
              </w:rPr>
            </w:pPr>
            <w:r w:rsidRPr="009B3316">
              <w:t>2024</w:t>
            </w:r>
            <w:r w:rsidR="00817416" w:rsidRPr="009B3316">
              <w:t>-202</w:t>
            </w:r>
            <w:r w:rsidRPr="009B3316">
              <w:t>9</w:t>
            </w:r>
          </w:p>
        </w:tc>
        <w:tc>
          <w:tcPr>
            <w:tcW w:w="2268" w:type="dxa"/>
            <w:shd w:val="clear" w:color="auto" w:fill="auto"/>
          </w:tcPr>
          <w:p w14:paraId="13D7B1BE" w14:textId="77777777" w:rsidR="00751A4A" w:rsidRPr="009B3316" w:rsidRDefault="00187494" w:rsidP="0010095E">
            <w:pPr>
              <w:pStyle w:val="EPLogo"/>
            </w:pPr>
            <w:r w:rsidRPr="009B3316">
              <w:rPr>
                <w:noProof/>
                <w:lang w:eastAsia="ja-JP"/>
              </w:rPr>
              <w:drawing>
                <wp:inline distT="0" distB="0" distL="0" distR="0" wp14:anchorId="37284A87" wp14:editId="1FBFF9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984A2D" w14:textId="77777777" w:rsidR="00D058B8" w:rsidRPr="009B3316" w:rsidRDefault="00D058B8" w:rsidP="004C5D52">
      <w:pPr>
        <w:pStyle w:val="LineTop"/>
      </w:pPr>
    </w:p>
    <w:p w14:paraId="28629B15" w14:textId="77777777" w:rsidR="00680577" w:rsidRPr="009B3316" w:rsidRDefault="00B50DA2" w:rsidP="00680577">
      <w:pPr>
        <w:pStyle w:val="EPBodyTA1"/>
      </w:pPr>
      <w:r w:rsidRPr="009B3316">
        <w:t>AANGENOMEN TEKSTEN</w:t>
      </w:r>
    </w:p>
    <w:p w14:paraId="69E43C7C" w14:textId="77777777" w:rsidR="00D058B8" w:rsidRPr="009B3316" w:rsidRDefault="00D058B8" w:rsidP="00D058B8">
      <w:pPr>
        <w:pStyle w:val="LineBottom"/>
      </w:pPr>
    </w:p>
    <w:p w14:paraId="73F1424D" w14:textId="1EB62635" w:rsidR="00B50DA2" w:rsidRPr="009B3316" w:rsidRDefault="00B50DA2" w:rsidP="00B50DA2">
      <w:pPr>
        <w:pStyle w:val="ATHeading1"/>
      </w:pPr>
      <w:bookmarkStart w:id="0" w:name="TANumber"/>
      <w:r w:rsidRPr="009B3316">
        <w:t>P10_</w:t>
      </w:r>
      <w:proofErr w:type="gramStart"/>
      <w:r w:rsidRPr="009B3316">
        <w:t>TA(</w:t>
      </w:r>
      <w:proofErr w:type="gramEnd"/>
      <w:r w:rsidRPr="009B3316">
        <w:t>2025)0</w:t>
      </w:r>
      <w:r w:rsidR="009B3316" w:rsidRPr="009B3316">
        <w:t>225</w:t>
      </w:r>
      <w:bookmarkEnd w:id="0"/>
    </w:p>
    <w:p w14:paraId="09897B56" w14:textId="77777777" w:rsidR="00B50DA2" w:rsidRPr="009B3316" w:rsidRDefault="00B50DA2" w:rsidP="00B50DA2">
      <w:pPr>
        <w:pStyle w:val="ATHeading2"/>
      </w:pPr>
      <w:bookmarkStart w:id="1" w:name="title"/>
      <w:r w:rsidRPr="009B3316">
        <w:t>Tiende jaar van opsluiting van de Zweedse uitgever Gui Minhai in China</w:t>
      </w:r>
      <w:bookmarkEnd w:id="1"/>
    </w:p>
    <w:p w14:paraId="7A4D535A" w14:textId="77777777" w:rsidR="00B50DA2" w:rsidRPr="009B3316" w:rsidRDefault="00B50DA2" w:rsidP="00B50DA2">
      <w:pPr>
        <w:rPr>
          <w:i/>
          <w:vanish/>
        </w:rPr>
      </w:pPr>
      <w:r w:rsidRPr="009B3316">
        <w:rPr>
          <w:i/>
        </w:rPr>
        <w:fldChar w:fldCharType="begin"/>
      </w:r>
      <w:r w:rsidRPr="009B3316">
        <w:rPr>
          <w:i/>
        </w:rPr>
        <w:instrText xml:space="preserve"> TC"(</w:instrText>
      </w:r>
      <w:bookmarkStart w:id="2" w:name="DocNumber"/>
      <w:r w:rsidRPr="009B3316">
        <w:rPr>
          <w:i/>
        </w:rPr>
        <w:instrText>B10-0412, 0414, 0429, 0431, 0433 en 0435/2025</w:instrText>
      </w:r>
      <w:bookmarkEnd w:id="2"/>
      <w:r w:rsidRPr="009B3316">
        <w:rPr>
          <w:i/>
        </w:rPr>
        <w:instrText xml:space="preserve">)"\l3 \n&gt; \* MERGEFORMAT </w:instrText>
      </w:r>
      <w:r w:rsidRPr="009B3316">
        <w:rPr>
          <w:i/>
        </w:rPr>
        <w:fldChar w:fldCharType="end"/>
      </w:r>
    </w:p>
    <w:p w14:paraId="03839DFB" w14:textId="77777777" w:rsidR="00B50DA2" w:rsidRPr="009B3316" w:rsidRDefault="00B50DA2" w:rsidP="00B50DA2">
      <w:pPr>
        <w:rPr>
          <w:vanish/>
        </w:rPr>
      </w:pPr>
      <w:bookmarkStart w:id="3" w:name="PE"/>
      <w:r w:rsidRPr="009B3316">
        <w:rPr>
          <w:vanish/>
        </w:rPr>
        <w:t>PE776.251</w:t>
      </w:r>
      <w:bookmarkEnd w:id="3"/>
    </w:p>
    <w:p w14:paraId="6B506A71" w14:textId="6F781EAD" w:rsidR="00B50DA2" w:rsidRPr="009B3316" w:rsidRDefault="009359C6" w:rsidP="00B50DA2">
      <w:pPr>
        <w:pStyle w:val="ATHeading3"/>
      </w:pPr>
      <w:bookmarkStart w:id="4" w:name="Sujet"/>
      <w:r w:rsidRPr="009B3316">
        <w:t xml:space="preserve">Resolutie </w:t>
      </w:r>
      <w:r w:rsidR="00B50DA2" w:rsidRPr="009B3316">
        <w:t>van het Europees Parlement van 9 oktober 2025 over het tiende jaar van opsluiting van de Zweedse uitgever Gui Minhai in China</w:t>
      </w:r>
      <w:bookmarkEnd w:id="4"/>
      <w:r w:rsidR="00B50DA2" w:rsidRPr="009B3316">
        <w:t xml:space="preserve"> </w:t>
      </w:r>
      <w:bookmarkStart w:id="5" w:name="References"/>
      <w:r w:rsidR="00B50DA2" w:rsidRPr="009B3316">
        <w:t>(2025/2906(RSP))</w:t>
      </w:r>
      <w:bookmarkEnd w:id="5"/>
    </w:p>
    <w:p w14:paraId="4D0CFEEA" w14:textId="77777777" w:rsidR="0052234C" w:rsidRPr="009B3316" w:rsidRDefault="0052234C" w:rsidP="0052234C">
      <w:pPr>
        <w:pStyle w:val="EPComma"/>
      </w:pPr>
      <w:bookmarkStart w:id="6" w:name="TextBodyBegin"/>
      <w:bookmarkEnd w:id="6"/>
      <w:r w:rsidRPr="009B3316">
        <w:rPr>
          <w:i/>
        </w:rPr>
        <w:t>Het Europees Parlement</w:t>
      </w:r>
      <w:r w:rsidRPr="009B3316">
        <w:t>,</w:t>
      </w:r>
    </w:p>
    <w:p w14:paraId="069C4515" w14:textId="77777777" w:rsidR="0052234C" w:rsidRPr="009B3316" w:rsidRDefault="0052234C" w:rsidP="0052234C">
      <w:pPr>
        <w:pStyle w:val="NormalHanging12a"/>
        <w:rPr>
          <w:rFonts w:eastAsia="Aptos"/>
        </w:rPr>
      </w:pPr>
      <w:r w:rsidRPr="009B3316">
        <w:t>–</w:t>
      </w:r>
      <w:r w:rsidRPr="009B3316">
        <w:tab/>
        <w:t>gezien zijn eerdere resoluties over de toestand van de mensenrechten in China,</w:t>
      </w:r>
    </w:p>
    <w:p w14:paraId="3412E396" w14:textId="77777777" w:rsidR="0052234C" w:rsidRPr="009B3316" w:rsidRDefault="0052234C" w:rsidP="0052234C">
      <w:pPr>
        <w:pStyle w:val="NormalHanging12a"/>
      </w:pPr>
      <w:r w:rsidRPr="009B3316">
        <w:t>–</w:t>
      </w:r>
      <w:r w:rsidRPr="009B3316">
        <w:tab/>
        <w:t>gezien artikel 150, lid 5, en artikel 136, lid 4, van zijn Reglement,</w:t>
      </w:r>
    </w:p>
    <w:p w14:paraId="53B1CABB" w14:textId="77777777" w:rsidR="0052234C" w:rsidRPr="009B3316" w:rsidRDefault="0052234C" w:rsidP="0052234C">
      <w:pPr>
        <w:pStyle w:val="NormalHanging12a"/>
      </w:pPr>
      <w:r w:rsidRPr="009B3316">
        <w:t>A.</w:t>
      </w:r>
      <w:r w:rsidRPr="009B3316">
        <w:tab/>
        <w:t>overwegende dat de Zweedse staatsburger Gui Minhai, uitgever en mede-eigenaar van de uitgeverij Mighty Current in Hongkong, die bekend is voor het uitgeven van werken waarin kritiek wordt geuit op het Chinese leiderschap, in oktober 2015 in Thailand werd ontvoerd en vervolgens in China werd opgesloten; overwegende dat zijn ontvoering deel uitmaakte van een bredere strafcampagne van China tegen in Hongkong gevestigde uitgevers;</w:t>
      </w:r>
    </w:p>
    <w:p w14:paraId="66BB4E95" w14:textId="77777777" w:rsidR="0052234C" w:rsidRPr="009B3316" w:rsidRDefault="0052234C" w:rsidP="0052234C">
      <w:pPr>
        <w:pStyle w:val="NormalHanging12a"/>
      </w:pPr>
      <w:r w:rsidRPr="009B3316">
        <w:t>B.</w:t>
      </w:r>
      <w:r w:rsidRPr="009B3316">
        <w:tab/>
        <w:t>overwegende dat een Chinese rechtbank Gui Minhai in februari 2020 na een geheim en oneerlijk proces heeft veroordeeld tot tien jaar gevangenisstraf op beschuldiging van “het illegaal verstrekken van inlichtingen in het buitenland”; overwegende dat hem behoorlijke vertegenwoordiging in rechte en toegang tot Zweedse consulaire diensten is ontzegd; overwegende dat zijn huidige verblijfplaats nog steeds onbekend is;</w:t>
      </w:r>
    </w:p>
    <w:p w14:paraId="3AC2A47D" w14:textId="77777777" w:rsidR="0052234C" w:rsidRPr="009B3316" w:rsidRDefault="0052234C" w:rsidP="0052234C">
      <w:pPr>
        <w:pStyle w:val="NormalHanging12a"/>
        <w:rPr>
          <w:rFonts w:eastAsia="Aptos"/>
        </w:rPr>
      </w:pPr>
      <w:r w:rsidRPr="009B3316">
        <w:t>C.</w:t>
      </w:r>
      <w:r w:rsidRPr="009B3316">
        <w:tab/>
        <w:t>overwegende dat Gui Minhai nog steeds contact met zijn familie wordt ontzegd, wat aanleiding geeft tot ernstige bezorgdheid over zijn gezondheidstoestand na tien jaar opsluiting;</w:t>
      </w:r>
    </w:p>
    <w:p w14:paraId="582D1AA3" w14:textId="77777777" w:rsidR="0052234C" w:rsidRPr="009B3316" w:rsidRDefault="0052234C" w:rsidP="0052234C">
      <w:pPr>
        <w:pStyle w:val="NormalHanging12a"/>
        <w:rPr>
          <w:rFonts w:eastAsia="Aptos"/>
        </w:rPr>
      </w:pPr>
      <w:r w:rsidRPr="009B3316">
        <w:t>1.</w:t>
      </w:r>
      <w:r w:rsidRPr="009B3316">
        <w:tab/>
        <w:t>herhaalt zijn oproep tot de onmiddellijke en onvoorwaardelijke vrijlating van Gui Minhai; neemt met grote bezorgdheid kennis van het feit dat het binnenkort tien jaar geleden is dat hij is ontvoerd en opgesloten, en spreekt zich in de krachtigste bewoordingen uit tegen zijn ontvoering, willekeurige arrestatie, opsluiting en veroordeling;</w:t>
      </w:r>
    </w:p>
    <w:p w14:paraId="5563C724" w14:textId="77777777" w:rsidR="0052234C" w:rsidRPr="009B3316" w:rsidRDefault="0052234C" w:rsidP="0052234C">
      <w:pPr>
        <w:pStyle w:val="NormalHanging12a"/>
      </w:pPr>
      <w:r w:rsidRPr="009B3316">
        <w:t>2.</w:t>
      </w:r>
      <w:r w:rsidRPr="009B3316">
        <w:tab/>
        <w:t>betuigt zijn solidariteit met de familie van Gui Minhai, en met name met zijn dochter Angela Gui, die onvermoeibaar blijft pleiten voor zijn vrijlating;</w:t>
      </w:r>
    </w:p>
    <w:p w14:paraId="6FDB8771" w14:textId="77777777" w:rsidR="0052234C" w:rsidRPr="009B3316" w:rsidRDefault="0052234C" w:rsidP="0052234C">
      <w:pPr>
        <w:pStyle w:val="NormalHanging12a"/>
      </w:pPr>
      <w:r w:rsidRPr="009B3316">
        <w:t>3.</w:t>
      </w:r>
      <w:r w:rsidRPr="009B3316">
        <w:tab/>
        <w:t xml:space="preserve">benadrukt dat het ontzeggen van consulaire toegang tot Gui Minhai een schending </w:t>
      </w:r>
      <w:r w:rsidRPr="009B3316">
        <w:lastRenderedPageBreak/>
        <w:t>vormt van de verplichtingen van China uit hoofde van het Verdrag van Wenen; is ernstig bezorgd over de gezondheid van Gui Minhai en zijn behandeling tijdens zijn opsluiting; roept de Chinese autoriteiten op hem onmiddellijk toegang te geven tot onafhankelijke medische zorg naar eigen keuze, alsook ongehinderde toegang tot zijn familie, een wettelijke vertegenwoordiger van zijn keuze en consulaire ambtenaren;</w:t>
      </w:r>
    </w:p>
    <w:p w14:paraId="53E7F24F" w14:textId="77777777" w:rsidR="0052234C" w:rsidRPr="009B3316" w:rsidRDefault="0052234C" w:rsidP="0052234C">
      <w:pPr>
        <w:pStyle w:val="NormalHanging12a"/>
        <w:widowControl/>
        <w:rPr>
          <w:rFonts w:eastAsia="Aptos"/>
        </w:rPr>
      </w:pPr>
      <w:r w:rsidRPr="009B3316">
        <w:t>4.</w:t>
      </w:r>
      <w:r w:rsidRPr="009B3316">
        <w:tab/>
        <w:t>benadrukt dat deze zaak het patroon illustreert van systemische en transnationale repressie, censuur en schendingen van de fundamentele vrijheden in China, onder meer ten aanzien van advocaten, journalisten, artiesten, mensenrechtenverdedigers, etnische en religieuze minderheden en buitenlandse burgers;</w:t>
      </w:r>
    </w:p>
    <w:p w14:paraId="0447AF13" w14:textId="77777777" w:rsidR="0052234C" w:rsidRPr="009B3316" w:rsidRDefault="0052234C" w:rsidP="0052234C">
      <w:pPr>
        <w:pStyle w:val="NormalHanging12a"/>
        <w:widowControl/>
        <w:rPr>
          <w:rFonts w:eastAsia="Aptos"/>
        </w:rPr>
      </w:pPr>
      <w:r w:rsidRPr="009B3316">
        <w:t>5.</w:t>
      </w:r>
      <w:r w:rsidRPr="009B3316">
        <w:tab/>
        <w:t>benadrukt dat wederzijds vertrouwen en de eerbiediging van de mensenrechten, met inbegrip van het recht op vrije meningsuiting, persvrijheid en het recht om te publiceren, centraal moeten staan in de betrekkingen tussen de EU en China;</w:t>
      </w:r>
    </w:p>
    <w:p w14:paraId="4D140E5E" w14:textId="77777777" w:rsidR="0052234C" w:rsidRPr="009B3316" w:rsidRDefault="0052234C" w:rsidP="0052234C">
      <w:pPr>
        <w:pStyle w:val="NormalHanging12a"/>
        <w:rPr>
          <w:rFonts w:eastAsia="Aptos"/>
        </w:rPr>
      </w:pPr>
      <w:r w:rsidRPr="009B3316">
        <w:t>6.</w:t>
      </w:r>
      <w:r w:rsidRPr="009B3316">
        <w:tab/>
        <w:t>roept China op een einde te maken aan de censuur, pesterijen en intimidatie van uitgevers, schrijvers, journalisten en academici;</w:t>
      </w:r>
    </w:p>
    <w:p w14:paraId="15781B45" w14:textId="77777777" w:rsidR="0052234C" w:rsidRPr="009B3316" w:rsidRDefault="0052234C" w:rsidP="0052234C">
      <w:pPr>
        <w:pStyle w:val="NormalHanging12a"/>
        <w:rPr>
          <w:rFonts w:eastAsia="Aptos"/>
        </w:rPr>
      </w:pPr>
      <w:r w:rsidRPr="009B3316">
        <w:t>7.</w:t>
      </w:r>
      <w:r w:rsidRPr="009B3316">
        <w:tab/>
        <w:t>spoort de Chinese autoriteiten aan een einde te maken aan willekeurige detenties en gedwongen bekentenissen en dringt erop aan dat alle personen die worden vastgehouden wegens de uitoefening van de fundamentele vrijheden, met inbegrip van advocaten, journalisten, artiesten, vertegenwoordigers van minderheden en mensenrechtenverdedigers, onmiddellijk worden vrijgelaten;</w:t>
      </w:r>
    </w:p>
    <w:p w14:paraId="3BBAE7DB" w14:textId="77777777" w:rsidR="0052234C" w:rsidRPr="009B3316" w:rsidRDefault="0052234C" w:rsidP="0052234C">
      <w:pPr>
        <w:pStyle w:val="NormalHanging12a"/>
        <w:rPr>
          <w:rFonts w:eastAsia="Aptos"/>
        </w:rPr>
      </w:pPr>
      <w:r w:rsidRPr="009B3316">
        <w:t>8.</w:t>
      </w:r>
      <w:r w:rsidRPr="009B3316">
        <w:tab/>
        <w:t>verzoekt de EDEO, de Commissie en de lidstaten zijn zaak op alle niveaus van de betrekkingen tussen de EU en China aan de orde te blijven stellen, de bescherming van EU-burgers in het buitenland te waarborgen en er bij China op aan te dringen Gui Minhai vrij te laten en informatie over zijn toestand en verblijfplaats te verstrekken;</w:t>
      </w:r>
    </w:p>
    <w:p w14:paraId="0C5D8278" w14:textId="77777777" w:rsidR="0052234C" w:rsidRPr="009B3316" w:rsidRDefault="0052234C" w:rsidP="0052234C">
      <w:pPr>
        <w:pStyle w:val="NormalHanging12a"/>
      </w:pPr>
      <w:r w:rsidRPr="009B3316">
        <w:t>9.</w:t>
      </w:r>
      <w:r w:rsidRPr="009B3316">
        <w:tab/>
        <w:t>dringt er bij China met klem op aan het Internationaal Verdrag inzake burgerrechten en politieke rechten te ratificeren;</w:t>
      </w:r>
    </w:p>
    <w:p w14:paraId="7A62FB20" w14:textId="696457B2" w:rsidR="00997552" w:rsidRPr="009B3316" w:rsidRDefault="0052234C" w:rsidP="00997552">
      <w:pPr>
        <w:pStyle w:val="NormalHanging12a"/>
      </w:pPr>
      <w:r w:rsidRPr="009B3316">
        <w:t>10.</w:t>
      </w:r>
      <w:r w:rsidRPr="009B3316">
        <w:tab/>
        <w:t>verzoekt zijn Voorzitter deze resolutie te doen toekomen aan de Raad, de Commissie, de VV/HV, de EU-lidstaten en de regering en het Nationaal Volkscongres van de Volksrepubliek China.</w:t>
      </w:r>
    </w:p>
    <w:sectPr w:rsidR="00997552" w:rsidRPr="009B3316" w:rsidSect="009975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248F4" w14:textId="77777777" w:rsidR="00B50DA2" w:rsidRPr="00997552" w:rsidRDefault="00B50DA2">
      <w:r w:rsidRPr="00997552">
        <w:separator/>
      </w:r>
    </w:p>
  </w:endnote>
  <w:endnote w:type="continuationSeparator" w:id="0">
    <w:p w14:paraId="6B88A67D" w14:textId="77777777" w:rsidR="00B50DA2" w:rsidRPr="00997552" w:rsidRDefault="00B50DA2">
      <w:r w:rsidRPr="009975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21D33" w14:textId="77777777" w:rsidR="00064002" w:rsidRPr="009975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5CFB" w14:textId="77777777" w:rsidR="00064002" w:rsidRPr="009975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9B87" w14:textId="77777777" w:rsidR="00064002" w:rsidRPr="009975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0A70B" w14:textId="77777777" w:rsidR="00B50DA2" w:rsidRPr="00997552" w:rsidRDefault="00B50DA2">
      <w:r w:rsidRPr="00997552">
        <w:separator/>
      </w:r>
    </w:p>
  </w:footnote>
  <w:footnote w:type="continuationSeparator" w:id="0">
    <w:p w14:paraId="0C7B0847" w14:textId="77777777" w:rsidR="00B50DA2" w:rsidRPr="00997552" w:rsidRDefault="00B50DA2">
      <w:r w:rsidRPr="009975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81B7" w14:textId="77777777" w:rsidR="00064002" w:rsidRPr="009975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43D40" w14:textId="77777777" w:rsidR="00064002" w:rsidRPr="009975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AE55" w14:textId="77777777" w:rsidR="00064002" w:rsidRPr="009975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4937731">
    <w:abstractNumId w:val="9"/>
  </w:num>
  <w:num w:numId="2" w16cid:durableId="1194883606">
    <w:abstractNumId w:val="9"/>
  </w:num>
  <w:num w:numId="3" w16cid:durableId="712929252">
    <w:abstractNumId w:val="7"/>
  </w:num>
  <w:num w:numId="4" w16cid:durableId="1540121842">
    <w:abstractNumId w:val="7"/>
  </w:num>
  <w:num w:numId="5" w16cid:durableId="319626252">
    <w:abstractNumId w:val="6"/>
  </w:num>
  <w:num w:numId="6" w16cid:durableId="1840584510">
    <w:abstractNumId w:val="6"/>
  </w:num>
  <w:num w:numId="7" w16cid:durableId="802310273">
    <w:abstractNumId w:val="5"/>
  </w:num>
  <w:num w:numId="8" w16cid:durableId="1671790212">
    <w:abstractNumId w:val="5"/>
  </w:num>
  <w:num w:numId="9" w16cid:durableId="1580015912">
    <w:abstractNumId w:val="4"/>
  </w:num>
  <w:num w:numId="10" w16cid:durableId="434446855">
    <w:abstractNumId w:val="4"/>
  </w:num>
  <w:num w:numId="11" w16cid:durableId="1911966769">
    <w:abstractNumId w:val="8"/>
  </w:num>
  <w:num w:numId="12" w16cid:durableId="804199781">
    <w:abstractNumId w:val="8"/>
  </w:num>
  <w:num w:numId="13" w16cid:durableId="739329313">
    <w:abstractNumId w:val="3"/>
  </w:num>
  <w:num w:numId="14" w16cid:durableId="1367481953">
    <w:abstractNumId w:val="3"/>
  </w:num>
  <w:num w:numId="15" w16cid:durableId="25757920">
    <w:abstractNumId w:val="2"/>
  </w:num>
  <w:num w:numId="16" w16cid:durableId="1109810412">
    <w:abstractNumId w:val="2"/>
  </w:num>
  <w:num w:numId="17" w16cid:durableId="1629122376">
    <w:abstractNumId w:val="1"/>
  </w:num>
  <w:num w:numId="18" w16cid:durableId="1318455604">
    <w:abstractNumId w:val="1"/>
  </w:num>
  <w:num w:numId="19" w16cid:durableId="1639990428">
    <w:abstractNumId w:val="0"/>
  </w:num>
  <w:num w:numId="20" w16cid:durableId="1572621541">
    <w:abstractNumId w:val="0"/>
  </w:num>
  <w:num w:numId="21" w16cid:durableId="707877592">
    <w:abstractNumId w:val="9"/>
  </w:num>
  <w:num w:numId="22" w16cid:durableId="856776859">
    <w:abstractNumId w:val="7"/>
  </w:num>
  <w:num w:numId="23" w16cid:durableId="1865703207">
    <w:abstractNumId w:val="6"/>
  </w:num>
  <w:num w:numId="24" w16cid:durableId="1415667789">
    <w:abstractNumId w:val="5"/>
  </w:num>
  <w:num w:numId="25" w16cid:durableId="1778865789">
    <w:abstractNumId w:val="4"/>
  </w:num>
  <w:num w:numId="26" w16cid:durableId="376901589">
    <w:abstractNumId w:val="8"/>
  </w:num>
  <w:num w:numId="27" w16cid:durableId="763577529">
    <w:abstractNumId w:val="3"/>
  </w:num>
  <w:num w:numId="28" w16cid:durableId="265701107">
    <w:abstractNumId w:val="2"/>
  </w:num>
  <w:num w:numId="29" w16cid:durableId="484395261">
    <w:abstractNumId w:val="1"/>
  </w:num>
  <w:num w:numId="30" w16cid:durableId="1662810526">
    <w:abstractNumId w:val="0"/>
  </w:num>
  <w:num w:numId="31" w16cid:durableId="1250046084">
    <w:abstractNumId w:val="9"/>
  </w:num>
  <w:num w:numId="32" w16cid:durableId="549539497">
    <w:abstractNumId w:val="7"/>
  </w:num>
  <w:num w:numId="33" w16cid:durableId="447965949">
    <w:abstractNumId w:val="6"/>
  </w:num>
  <w:num w:numId="34" w16cid:durableId="1370446935">
    <w:abstractNumId w:val="5"/>
  </w:num>
  <w:num w:numId="35" w16cid:durableId="1059092084">
    <w:abstractNumId w:val="4"/>
  </w:num>
  <w:num w:numId="36" w16cid:durableId="1311666793">
    <w:abstractNumId w:val="8"/>
  </w:num>
  <w:num w:numId="37" w16cid:durableId="1607494226">
    <w:abstractNumId w:val="3"/>
  </w:num>
  <w:num w:numId="38" w16cid:durableId="2059739976">
    <w:abstractNumId w:val="2"/>
  </w:num>
  <w:num w:numId="39" w16cid:durableId="194390965">
    <w:abstractNumId w:val="1"/>
  </w:num>
  <w:num w:numId="40" w16cid:durableId="1151796428">
    <w:abstractNumId w:val="0"/>
  </w:num>
  <w:num w:numId="41" w16cid:durableId="1105535429">
    <w:abstractNumId w:val="10"/>
  </w:num>
  <w:num w:numId="42" w16cid:durableId="1425347955">
    <w:abstractNumId w:val="10"/>
  </w:num>
  <w:num w:numId="43" w16cid:durableId="1743719540">
    <w:abstractNumId w:val="10"/>
  </w:num>
  <w:num w:numId="44" w16cid:durableId="431634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 0414, 0429, 0431, 0433 en 0435/2025"/>
    <w:docVar w:name="dvlangue" w:val="NL"/>
    <w:docVar w:name="dvnumam" w:val="0"/>
    <w:docVar w:name="dvpe" w:val="776.251"/>
    <w:docVar w:name="dvtitre" w:val="Besluit van het Europees Parlement van 9 oktober 2025 over het tiende jaar van opsluiting van de Zweedse uitgever Gui Minhai in China(2025/2906(RSP))"/>
  </w:docVars>
  <w:rsids>
    <w:rsidRoot w:val="00B50D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021"/>
    <w:rsid w:val="004C0004"/>
    <w:rsid w:val="004C5D52"/>
    <w:rsid w:val="0050519A"/>
    <w:rsid w:val="005072A1"/>
    <w:rsid w:val="00514517"/>
    <w:rsid w:val="0052234C"/>
    <w:rsid w:val="00545827"/>
    <w:rsid w:val="00560270"/>
    <w:rsid w:val="005C2568"/>
    <w:rsid w:val="005F1B17"/>
    <w:rsid w:val="006037C0"/>
    <w:rsid w:val="0063115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9C6"/>
    <w:rsid w:val="009509D8"/>
    <w:rsid w:val="00950B64"/>
    <w:rsid w:val="00981893"/>
    <w:rsid w:val="00997552"/>
    <w:rsid w:val="009B3316"/>
    <w:rsid w:val="00A1687D"/>
    <w:rsid w:val="00A43E52"/>
    <w:rsid w:val="00A4678D"/>
    <w:rsid w:val="00A778C7"/>
    <w:rsid w:val="00AB441E"/>
    <w:rsid w:val="00AB6293"/>
    <w:rsid w:val="00AE0928"/>
    <w:rsid w:val="00AF3B82"/>
    <w:rsid w:val="00B12E95"/>
    <w:rsid w:val="00B22876"/>
    <w:rsid w:val="00B50DA2"/>
    <w:rsid w:val="00B558F0"/>
    <w:rsid w:val="00BD48FE"/>
    <w:rsid w:val="00BD7BD8"/>
    <w:rsid w:val="00BE6ADC"/>
    <w:rsid w:val="00BF435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31256"/>
  <w15:chartTrackingRefBased/>
  <w15:docId w15:val="{87C8533F-CB2D-4EF5-A588-25BE22F1B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2234C"/>
    <w:pPr>
      <w:spacing w:after="240"/>
      <w:ind w:left="567" w:hanging="567"/>
    </w:pPr>
  </w:style>
  <w:style w:type="paragraph" w:customStyle="1" w:styleId="EPComma">
    <w:name w:val="EPComma"/>
    <w:basedOn w:val="Normal"/>
    <w:link w:val="EPCommaChar"/>
    <w:rsid w:val="0052234C"/>
    <w:pPr>
      <w:spacing w:before="480" w:after="240"/>
    </w:pPr>
  </w:style>
  <w:style w:type="character" w:customStyle="1" w:styleId="NormalHanging12aChar">
    <w:name w:val="NormalHanging12a Char"/>
    <w:basedOn w:val="DefaultParagraphFont"/>
    <w:link w:val="NormalHanging12a"/>
    <w:locked/>
    <w:rsid w:val="0052234C"/>
    <w:rPr>
      <w:sz w:val="24"/>
      <w:lang w:val="nl-NL"/>
    </w:rPr>
  </w:style>
  <w:style w:type="character" w:customStyle="1" w:styleId="EPCommaChar">
    <w:name w:val="EPComma Char"/>
    <w:basedOn w:val="DefaultParagraphFont"/>
    <w:link w:val="EPComma"/>
    <w:rsid w:val="0052234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2025-10-09T10:30:00Z</dcterms:created>
  <dcterms:modified xsi:type="dcterms:W3CDTF">2025-10-09T10:30:00Z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B10-0412, 0414, 0429, 0431, 0433 en 0435/2025</vt:lpwstr>
  </property>
  <property fmtid="{D5CDD505-2E9C-101B-9397-08002B2CF9AE}" pid="4" name="&lt;Type&gt;">
    <vt:lpwstr>RR</vt:lpwstr>
  </property>
</Properties>
</file>