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73772" w14:paraId="252BC7C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78F58F" w14:textId="77777777" w:rsidR="00751A4A" w:rsidRPr="00C73772" w:rsidRDefault="00180522" w:rsidP="0010095E">
            <w:pPr>
              <w:pStyle w:val="EPName"/>
            </w:pPr>
            <w:r w:rsidRPr="00C73772">
              <w:t>Evropski parlament</w:t>
            </w:r>
          </w:p>
          <w:p w14:paraId="3C717871" w14:textId="77777777" w:rsidR="00751A4A" w:rsidRPr="00C7377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73772">
              <w:t>2024</w:t>
            </w:r>
            <w:r w:rsidR="00817416" w:rsidRPr="00C73772">
              <w:t>-202</w:t>
            </w:r>
            <w:r w:rsidRPr="00C73772">
              <w:t>9</w:t>
            </w:r>
          </w:p>
        </w:tc>
        <w:tc>
          <w:tcPr>
            <w:tcW w:w="2268" w:type="dxa"/>
            <w:shd w:val="clear" w:color="auto" w:fill="auto"/>
          </w:tcPr>
          <w:p w14:paraId="68266CE0" w14:textId="77777777" w:rsidR="00751A4A" w:rsidRPr="00C73772" w:rsidRDefault="00187494" w:rsidP="0010095E">
            <w:pPr>
              <w:pStyle w:val="EPLogo"/>
            </w:pPr>
            <w:r w:rsidRPr="00C73772">
              <w:rPr>
                <w:noProof/>
                <w:lang w:eastAsia="ja-JP"/>
              </w:rPr>
              <w:drawing>
                <wp:inline distT="0" distB="0" distL="0" distR="0" wp14:anchorId="0B4F98B5" wp14:editId="07A2025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9D2266" w14:textId="77777777" w:rsidR="00D058B8" w:rsidRPr="00C73772" w:rsidRDefault="00D058B8" w:rsidP="004C5D52">
      <w:pPr>
        <w:pStyle w:val="LineTop"/>
      </w:pPr>
    </w:p>
    <w:p w14:paraId="763D607E" w14:textId="77777777" w:rsidR="00680577" w:rsidRPr="00C73772" w:rsidRDefault="00180522" w:rsidP="00680577">
      <w:pPr>
        <w:pStyle w:val="EPBodyTA1"/>
      </w:pPr>
      <w:r w:rsidRPr="00C73772">
        <w:t>SPREJETA BESEDILA</w:t>
      </w:r>
    </w:p>
    <w:p w14:paraId="2BABBFE1" w14:textId="77777777" w:rsidR="00D058B8" w:rsidRPr="00C73772" w:rsidRDefault="00D058B8" w:rsidP="00D058B8">
      <w:pPr>
        <w:pStyle w:val="LineBottom"/>
      </w:pPr>
    </w:p>
    <w:p w14:paraId="76ECE92F" w14:textId="493B0078" w:rsidR="00180522" w:rsidRPr="00C73772" w:rsidRDefault="00180522" w:rsidP="00180522">
      <w:pPr>
        <w:pStyle w:val="ATHeading1"/>
      </w:pPr>
      <w:bookmarkStart w:id="0" w:name="TANumber"/>
      <w:r w:rsidRPr="00C73772">
        <w:t>P10_TA(2025)</w:t>
      </w:r>
      <w:bookmarkEnd w:id="0"/>
      <w:r w:rsidR="00B51EEA">
        <w:t>0225</w:t>
      </w:r>
    </w:p>
    <w:p w14:paraId="79BAB718" w14:textId="6D65BD5D" w:rsidR="00180522" w:rsidRPr="00C73772" w:rsidRDefault="00FA4D9D" w:rsidP="00180522">
      <w:pPr>
        <w:pStyle w:val="ATHeading2"/>
      </w:pPr>
      <w:r>
        <w:t>D</w:t>
      </w:r>
      <w:r w:rsidRPr="00C73772">
        <w:t>eset</w:t>
      </w:r>
      <w:r>
        <w:t>a</w:t>
      </w:r>
      <w:r w:rsidRPr="00C73772">
        <w:t xml:space="preserve"> obletnic</w:t>
      </w:r>
      <w:r>
        <w:t>a</w:t>
      </w:r>
      <w:r w:rsidRPr="00C73772">
        <w:t xml:space="preserve"> pridržanja švedskega založnika Gui Minhaija v zaporu na Kitajskem</w:t>
      </w:r>
    </w:p>
    <w:p w14:paraId="0B0EF9D9" w14:textId="77777777" w:rsidR="00180522" w:rsidRPr="00C73772" w:rsidRDefault="00180522" w:rsidP="00180522">
      <w:pPr>
        <w:rPr>
          <w:i/>
          <w:vanish/>
        </w:rPr>
      </w:pPr>
      <w:r w:rsidRPr="00C73772">
        <w:rPr>
          <w:i/>
        </w:rPr>
        <w:fldChar w:fldCharType="begin"/>
      </w:r>
      <w:r w:rsidRPr="00C73772">
        <w:rPr>
          <w:i/>
        </w:rPr>
        <w:instrText xml:space="preserve"> TC"(</w:instrText>
      </w:r>
      <w:bookmarkStart w:id="1" w:name="DocNumber"/>
      <w:r w:rsidRPr="00C73772">
        <w:rPr>
          <w:i/>
        </w:rPr>
        <w:instrText>B10-0412, 0414, 0429, 0431, 0433 in 0435/2025</w:instrText>
      </w:r>
      <w:bookmarkEnd w:id="1"/>
      <w:r w:rsidRPr="00C73772">
        <w:rPr>
          <w:i/>
        </w:rPr>
        <w:instrText xml:space="preserve">)"\l3 \n&gt; \* MERGEFORMAT </w:instrText>
      </w:r>
      <w:r w:rsidRPr="00C73772">
        <w:rPr>
          <w:i/>
        </w:rPr>
        <w:fldChar w:fldCharType="end"/>
      </w:r>
    </w:p>
    <w:p w14:paraId="5893C37C" w14:textId="77777777" w:rsidR="00180522" w:rsidRPr="00C73772" w:rsidRDefault="00180522" w:rsidP="00180522">
      <w:pPr>
        <w:rPr>
          <w:vanish/>
        </w:rPr>
      </w:pPr>
      <w:bookmarkStart w:id="2" w:name="PE"/>
      <w:r w:rsidRPr="00C73772">
        <w:rPr>
          <w:vanish/>
        </w:rPr>
        <w:t>PE776.251</w:t>
      </w:r>
      <w:bookmarkEnd w:id="2"/>
    </w:p>
    <w:p w14:paraId="37BF5B17" w14:textId="2EFD8A83" w:rsidR="00180522" w:rsidRPr="00C73772" w:rsidRDefault="00180522" w:rsidP="00180522">
      <w:pPr>
        <w:pStyle w:val="ATHeading3"/>
      </w:pPr>
      <w:bookmarkStart w:id="3" w:name="Sujet"/>
      <w:r w:rsidRPr="00C73772">
        <w:t xml:space="preserve">Resolucija Evropskega parlamenta z dne </w:t>
      </w:r>
      <w:r w:rsidR="00FA4D9D">
        <w:t>9. oktobra</w:t>
      </w:r>
      <w:r w:rsidRPr="00C73772">
        <w:t xml:space="preserve"> 2025 o deseti obletnici pridržanja švedskega založnika Gui Minhaija v zaporu na Kitajskem</w:t>
      </w:r>
      <w:bookmarkEnd w:id="3"/>
      <w:r w:rsidRPr="00C73772">
        <w:t xml:space="preserve"> </w:t>
      </w:r>
      <w:bookmarkStart w:id="4" w:name="References"/>
      <w:r w:rsidRPr="00C73772">
        <w:t>(2025/2906(RSP))</w:t>
      </w:r>
      <w:bookmarkEnd w:id="4"/>
    </w:p>
    <w:p w14:paraId="03B5689A" w14:textId="77777777" w:rsidR="006D49A3" w:rsidRPr="00C73772" w:rsidRDefault="006D49A3" w:rsidP="006D49A3">
      <w:pPr>
        <w:pStyle w:val="EPComma"/>
      </w:pPr>
      <w:bookmarkStart w:id="5" w:name="TextBodyBegin"/>
      <w:bookmarkEnd w:id="5"/>
      <w:r w:rsidRPr="00C73772">
        <w:rPr>
          <w:i/>
        </w:rPr>
        <w:t>Evropski parlament,</w:t>
      </w:r>
    </w:p>
    <w:p w14:paraId="617A83CE" w14:textId="77777777" w:rsidR="006D49A3" w:rsidRPr="00C73772" w:rsidRDefault="006D49A3" w:rsidP="006D49A3">
      <w:pPr>
        <w:pStyle w:val="NormalHanging12a"/>
        <w:rPr>
          <w:rFonts w:eastAsia="Aptos"/>
        </w:rPr>
      </w:pPr>
      <w:r w:rsidRPr="00C73772">
        <w:t>–</w:t>
      </w:r>
      <w:r w:rsidRPr="00C73772">
        <w:tab/>
        <w:t>ob upoštevanju svojih prejšnjih resolucij o človekovih pravicah na Kitajskem,</w:t>
      </w:r>
    </w:p>
    <w:p w14:paraId="341F67F4" w14:textId="77777777" w:rsidR="006D49A3" w:rsidRPr="00C73772" w:rsidRDefault="006D49A3" w:rsidP="006D49A3">
      <w:pPr>
        <w:pStyle w:val="NormalHanging12a"/>
      </w:pPr>
      <w:r w:rsidRPr="00C73772">
        <w:t>–</w:t>
      </w:r>
      <w:r w:rsidRPr="00C73772">
        <w:tab/>
        <w:t>ob upoštevanju členov 150(5) in 136(4) Poslovnika,</w:t>
      </w:r>
    </w:p>
    <w:p w14:paraId="33E3C79E" w14:textId="77777777" w:rsidR="006D49A3" w:rsidRPr="00C73772" w:rsidRDefault="006D49A3" w:rsidP="006D49A3">
      <w:pPr>
        <w:pStyle w:val="NormalHanging12a"/>
      </w:pPr>
      <w:r w:rsidRPr="00C73772">
        <w:t>A.</w:t>
      </w:r>
      <w:r w:rsidRPr="00C73772">
        <w:tab/>
        <w:t>ker je bil švedski državljan Gui Minhai, založnik in solastnik založniške hiše Mighty Current v Hongkongu, znane po objavi del, kritičnih do kitajskega vodstva, oktobra 2015 na Tajskem ugrabljen, nato pa pridržan na Kitajskem; ker je bila njegova ugrabitev del obsežnega kitajskega zatiranja založnikov s sedežem v Hongkongu;</w:t>
      </w:r>
    </w:p>
    <w:p w14:paraId="446DD948" w14:textId="77777777" w:rsidR="006D49A3" w:rsidRPr="00C73772" w:rsidRDefault="006D49A3" w:rsidP="006D49A3">
      <w:pPr>
        <w:pStyle w:val="NormalHanging12a"/>
      </w:pPr>
      <w:r w:rsidRPr="00C73772">
        <w:t>B.</w:t>
      </w:r>
      <w:r w:rsidRPr="00C73772">
        <w:tab/>
        <w:t>ker je kitajsko sodišče Gui Minhaija februarja 2020 po tajnem in nepoštenem sojenju obsodilo na deset let zapora zaradi domnevnega nezakonitega posredovanja obveščevalnih podatkov v tujini; ker mu je bilo onemogočeno ustrezno pravno zastopanje in stik s švedsko konzularno službo; ker ni znano, kje je;</w:t>
      </w:r>
    </w:p>
    <w:p w14:paraId="453573AD" w14:textId="77777777" w:rsidR="006D49A3" w:rsidRPr="00C73772" w:rsidRDefault="006D49A3" w:rsidP="006D49A3">
      <w:pPr>
        <w:pStyle w:val="NormalHanging12a"/>
        <w:rPr>
          <w:rFonts w:eastAsia="Aptos"/>
        </w:rPr>
      </w:pPr>
      <w:r w:rsidRPr="00C73772">
        <w:t>C.</w:t>
      </w:r>
      <w:r w:rsidRPr="00C73772">
        <w:tab/>
        <w:t>ker Gui Minhai še vedno nima stikov z družino, kar vzbuja resne pomisleke glede njegovega zdravstvenega stanja po desetletju pridržanja;</w:t>
      </w:r>
    </w:p>
    <w:p w14:paraId="2EA3897E" w14:textId="77777777" w:rsidR="006D49A3" w:rsidRPr="00C73772" w:rsidRDefault="006D49A3" w:rsidP="006D49A3">
      <w:pPr>
        <w:pStyle w:val="NormalHanging12a"/>
        <w:rPr>
          <w:rFonts w:eastAsia="Aptos"/>
        </w:rPr>
      </w:pPr>
      <w:r w:rsidRPr="00C73772">
        <w:t>1.</w:t>
      </w:r>
      <w:r w:rsidRPr="00C73772">
        <w:tab/>
        <w:t>poziva k takojšnji in brezpogojni izpustitvi Gui Minhaija; z veliko zaskrbljenostjo ugotavlja, da se bliža deseta obletnica njegove ugrabitve in pridržanja, ter znova najostreje obsoja njegovo ugrabitev, samovoljno aretacijo, pridržanje in obsodbo;</w:t>
      </w:r>
    </w:p>
    <w:p w14:paraId="52DE71DA" w14:textId="77777777" w:rsidR="006D49A3" w:rsidRPr="00C73772" w:rsidRDefault="006D49A3" w:rsidP="006D49A3">
      <w:pPr>
        <w:pStyle w:val="NormalHanging12a"/>
      </w:pPr>
      <w:r w:rsidRPr="00C73772">
        <w:t>2.</w:t>
      </w:r>
      <w:r w:rsidRPr="00C73772">
        <w:tab/>
        <w:t>izraža solidarnost z družino Gui Minhaija, zlasti s hčerjo Angelo Gui, ki se še naprej neutrudno zavzema za njegovo izpustitev;</w:t>
      </w:r>
    </w:p>
    <w:p w14:paraId="3AC2922F" w14:textId="77777777" w:rsidR="006D49A3" w:rsidRPr="00C73772" w:rsidRDefault="006D49A3" w:rsidP="006D49A3">
      <w:pPr>
        <w:pStyle w:val="NormalHanging12a"/>
      </w:pPr>
      <w:r w:rsidRPr="00C73772">
        <w:t>3.</w:t>
      </w:r>
      <w:r w:rsidRPr="00C73772">
        <w:tab/>
        <w:t>poudarja, da je Kitajska z zavrnitvijo konzularnih stikov z Gui Minhaijem kršila obveznosti iz Dunajske konvencije; izraža resno zaskrbljenost zaradi njegovega zdravstvenega stanja in zdravljenja v priporu; poziva kitajske oblasti, naj mu nemudoma omogočijo neodvisno zdravstveno oskrbo po lastni izbiri in nemotene stike z družino, izbranim pravnim zastopnikom in konzularnimi uradniki;</w:t>
      </w:r>
    </w:p>
    <w:p w14:paraId="556EF4AF" w14:textId="77777777" w:rsidR="006D49A3" w:rsidRPr="00C73772" w:rsidRDefault="006D49A3" w:rsidP="006D49A3">
      <w:pPr>
        <w:pStyle w:val="NormalHanging12a"/>
        <w:rPr>
          <w:rFonts w:eastAsia="Aptos"/>
        </w:rPr>
      </w:pPr>
      <w:r w:rsidRPr="00C73772">
        <w:lastRenderedPageBreak/>
        <w:t>4.</w:t>
      </w:r>
      <w:r w:rsidRPr="00C73772">
        <w:tab/>
        <w:t>poudarja, da ta primer ponazarja sistemsko in nadnacionalno represijo, cenzuro in kršenje temeljnih svoboščin na Kitajskem, tudi proti odvetnikom, novinarjem, umetnikom, zagovornikom človekovih pravic, etničnim in verskim manjšinam ter tujim državljanom;</w:t>
      </w:r>
    </w:p>
    <w:p w14:paraId="1CADAEB9" w14:textId="77777777" w:rsidR="006D49A3" w:rsidRPr="00C73772" w:rsidRDefault="006D49A3" w:rsidP="006D49A3">
      <w:pPr>
        <w:pStyle w:val="NormalHanging12a"/>
        <w:rPr>
          <w:rFonts w:eastAsia="Aptos"/>
        </w:rPr>
      </w:pPr>
      <w:r w:rsidRPr="00C73772">
        <w:t>5.</w:t>
      </w:r>
      <w:r w:rsidRPr="00C73772">
        <w:tab/>
        <w:t>poudarja, da bi morala biti vzajemno zaupanje in spoštovanje človekovih pravic, tudi svobode izražanja, svobode tiska in pravice do objavljanja v središču odnosov med EU in Kitajsko;</w:t>
      </w:r>
    </w:p>
    <w:p w14:paraId="4E14BE2E" w14:textId="77777777" w:rsidR="006D49A3" w:rsidRPr="00C73772" w:rsidRDefault="006D49A3" w:rsidP="006D49A3">
      <w:pPr>
        <w:pStyle w:val="NormalHanging12a"/>
        <w:rPr>
          <w:rFonts w:eastAsia="Aptos"/>
        </w:rPr>
      </w:pPr>
      <w:r w:rsidRPr="00C73772">
        <w:t>6.</w:t>
      </w:r>
      <w:r w:rsidRPr="00C73772">
        <w:tab/>
        <w:t>poziva Kitajsko, naj opusti cenzuro, nadlegovanje in ustrahovanje založnikov, pisateljev, novinarjev in akademikov;</w:t>
      </w:r>
    </w:p>
    <w:p w14:paraId="0CD0D5C9" w14:textId="77777777" w:rsidR="006D49A3" w:rsidRPr="00C73772" w:rsidRDefault="006D49A3" w:rsidP="006D49A3">
      <w:pPr>
        <w:pStyle w:val="NormalHanging12a"/>
        <w:rPr>
          <w:rFonts w:eastAsia="Aptos"/>
        </w:rPr>
      </w:pPr>
      <w:r w:rsidRPr="00C73772">
        <w:t>7.</w:t>
      </w:r>
      <w:r w:rsidRPr="00C73772">
        <w:tab/>
        <w:t>poziva kitajske oblasti, naj prenehajo s samovoljnim pridržanjem in izsiljenimi priznanji ter naj nemudoma izpustijo vse, ki so pridržani zaradi uveljavljanja temeljnih svoboščin, vključno z odvetniki, novinarji, umetniki, predstavniki manjšin in zagovorniki človekovih pravic;</w:t>
      </w:r>
    </w:p>
    <w:p w14:paraId="42A64926" w14:textId="77777777" w:rsidR="006D49A3" w:rsidRPr="00C73772" w:rsidRDefault="006D49A3" w:rsidP="006D49A3">
      <w:pPr>
        <w:pStyle w:val="NormalHanging12a"/>
        <w:rPr>
          <w:rFonts w:eastAsia="Aptos"/>
        </w:rPr>
      </w:pPr>
      <w:r w:rsidRPr="00C73772">
        <w:t>8.</w:t>
      </w:r>
      <w:r w:rsidRPr="00C73772">
        <w:tab/>
        <w:t>poziva Evropsko službo za zunanje delovanje, Komisijo in države članice, naj še naprej opozarjajo na primer Gui Minhaija na vseh ravneh odnosov med EU in Kitajsko, zagotovijo zaščito državljanov EU v tujini ter pozovejo Kitajsko, naj Minhaija izpusti in posreduje podatke o tem, kje se nahaja in v kakšnem stanju je;</w:t>
      </w:r>
    </w:p>
    <w:p w14:paraId="00511B70" w14:textId="77777777" w:rsidR="006D49A3" w:rsidRPr="00C73772" w:rsidRDefault="006D49A3" w:rsidP="006D49A3">
      <w:pPr>
        <w:pStyle w:val="NormalHanging12a"/>
      </w:pPr>
      <w:r w:rsidRPr="00C73772">
        <w:t>9.</w:t>
      </w:r>
      <w:r w:rsidRPr="00C73772">
        <w:tab/>
        <w:t>odločno poziva Kitajsko, naj ratificira Mednarodni pakt o državljanskih in političnih pravicah;</w:t>
      </w:r>
    </w:p>
    <w:p w14:paraId="3EF89A6B" w14:textId="367B86C8" w:rsidR="00E365E1" w:rsidRPr="00C73772" w:rsidRDefault="006D49A3" w:rsidP="00FA4D9D">
      <w:pPr>
        <w:pStyle w:val="NormalHanging12a"/>
      </w:pPr>
      <w:r w:rsidRPr="00C73772">
        <w:t>10.</w:t>
      </w:r>
      <w:r w:rsidRPr="00C73772">
        <w:tab/>
        <w:t xml:space="preserve">naroči svoji predsednici, naj to resolucijo posreduje Svetu, Komisiji, </w:t>
      </w:r>
      <w:bookmarkStart w:id="6" w:name="_Hlk210899622"/>
      <w:r w:rsidRPr="00C73772">
        <w:t xml:space="preserve">podpredsednici Komisije/visoki predstavnici </w:t>
      </w:r>
      <w:bookmarkEnd w:id="6"/>
      <w:r w:rsidRPr="00C73772">
        <w:t>Unije za zunanje zadeve in varnostno politiko, državam članicam EU ter vladi in parlamentu Ljudske republike Kitajske.</w:t>
      </w:r>
    </w:p>
    <w:sectPr w:rsidR="00E365E1" w:rsidRPr="00C73772" w:rsidSect="00C737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605F08" w14:textId="77777777" w:rsidR="00180522" w:rsidRPr="00C73772" w:rsidRDefault="00180522">
      <w:r w:rsidRPr="00C73772">
        <w:separator/>
      </w:r>
    </w:p>
  </w:endnote>
  <w:endnote w:type="continuationSeparator" w:id="0">
    <w:p w14:paraId="3E8E5067" w14:textId="77777777" w:rsidR="00180522" w:rsidRPr="00C73772" w:rsidRDefault="00180522">
      <w:r w:rsidRPr="00C737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89562" w14:textId="77777777" w:rsidR="00064002" w:rsidRPr="00C7377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65533" w14:textId="77777777" w:rsidR="00064002" w:rsidRPr="00C7377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29BAB0" w14:textId="77777777" w:rsidR="00064002" w:rsidRPr="00C7377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3B436" w14:textId="77777777" w:rsidR="00180522" w:rsidRPr="00C73772" w:rsidRDefault="00180522">
      <w:r w:rsidRPr="00C73772">
        <w:separator/>
      </w:r>
    </w:p>
  </w:footnote>
  <w:footnote w:type="continuationSeparator" w:id="0">
    <w:p w14:paraId="0645D9B3" w14:textId="77777777" w:rsidR="00180522" w:rsidRPr="00C73772" w:rsidRDefault="00180522">
      <w:r w:rsidRPr="00C7377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BE128" w14:textId="77777777" w:rsidR="00064002" w:rsidRPr="00C7377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D069D" w14:textId="77777777" w:rsidR="00064002" w:rsidRPr="00C7377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D1F2E" w14:textId="77777777" w:rsidR="00064002" w:rsidRPr="00C7377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29870455">
    <w:abstractNumId w:val="9"/>
  </w:num>
  <w:num w:numId="2" w16cid:durableId="37553545">
    <w:abstractNumId w:val="9"/>
  </w:num>
  <w:num w:numId="3" w16cid:durableId="938416052">
    <w:abstractNumId w:val="7"/>
  </w:num>
  <w:num w:numId="4" w16cid:durableId="327634710">
    <w:abstractNumId w:val="7"/>
  </w:num>
  <w:num w:numId="5" w16cid:durableId="596132452">
    <w:abstractNumId w:val="6"/>
  </w:num>
  <w:num w:numId="6" w16cid:durableId="279411315">
    <w:abstractNumId w:val="6"/>
  </w:num>
  <w:num w:numId="7" w16cid:durableId="989362354">
    <w:abstractNumId w:val="5"/>
  </w:num>
  <w:num w:numId="8" w16cid:durableId="370350199">
    <w:abstractNumId w:val="5"/>
  </w:num>
  <w:num w:numId="9" w16cid:durableId="1975017117">
    <w:abstractNumId w:val="4"/>
  </w:num>
  <w:num w:numId="10" w16cid:durableId="287472090">
    <w:abstractNumId w:val="4"/>
  </w:num>
  <w:num w:numId="11" w16cid:durableId="1376353583">
    <w:abstractNumId w:val="8"/>
  </w:num>
  <w:num w:numId="12" w16cid:durableId="1207181151">
    <w:abstractNumId w:val="8"/>
  </w:num>
  <w:num w:numId="13" w16cid:durableId="326711979">
    <w:abstractNumId w:val="3"/>
  </w:num>
  <w:num w:numId="14" w16cid:durableId="563217576">
    <w:abstractNumId w:val="3"/>
  </w:num>
  <w:num w:numId="15" w16cid:durableId="1417171518">
    <w:abstractNumId w:val="2"/>
  </w:num>
  <w:num w:numId="16" w16cid:durableId="1946307514">
    <w:abstractNumId w:val="2"/>
  </w:num>
  <w:num w:numId="17" w16cid:durableId="438574472">
    <w:abstractNumId w:val="1"/>
  </w:num>
  <w:num w:numId="18" w16cid:durableId="690885443">
    <w:abstractNumId w:val="1"/>
  </w:num>
  <w:num w:numId="19" w16cid:durableId="2109042077">
    <w:abstractNumId w:val="0"/>
  </w:num>
  <w:num w:numId="20" w16cid:durableId="555166730">
    <w:abstractNumId w:val="0"/>
  </w:num>
  <w:num w:numId="21" w16cid:durableId="2113940771">
    <w:abstractNumId w:val="9"/>
  </w:num>
  <w:num w:numId="22" w16cid:durableId="833842254">
    <w:abstractNumId w:val="7"/>
  </w:num>
  <w:num w:numId="23" w16cid:durableId="404105369">
    <w:abstractNumId w:val="6"/>
  </w:num>
  <w:num w:numId="24" w16cid:durableId="43867674">
    <w:abstractNumId w:val="5"/>
  </w:num>
  <w:num w:numId="25" w16cid:durableId="831065060">
    <w:abstractNumId w:val="4"/>
  </w:num>
  <w:num w:numId="26" w16cid:durableId="1414816779">
    <w:abstractNumId w:val="8"/>
  </w:num>
  <w:num w:numId="27" w16cid:durableId="1803032120">
    <w:abstractNumId w:val="3"/>
  </w:num>
  <w:num w:numId="28" w16cid:durableId="1880124646">
    <w:abstractNumId w:val="2"/>
  </w:num>
  <w:num w:numId="29" w16cid:durableId="309597430">
    <w:abstractNumId w:val="1"/>
  </w:num>
  <w:num w:numId="30" w16cid:durableId="1357847544">
    <w:abstractNumId w:val="0"/>
  </w:num>
  <w:num w:numId="31" w16cid:durableId="1558199164">
    <w:abstractNumId w:val="9"/>
  </w:num>
  <w:num w:numId="32" w16cid:durableId="59518939">
    <w:abstractNumId w:val="7"/>
  </w:num>
  <w:num w:numId="33" w16cid:durableId="438912742">
    <w:abstractNumId w:val="6"/>
  </w:num>
  <w:num w:numId="34" w16cid:durableId="413017852">
    <w:abstractNumId w:val="5"/>
  </w:num>
  <w:num w:numId="35" w16cid:durableId="1693801870">
    <w:abstractNumId w:val="4"/>
  </w:num>
  <w:num w:numId="36" w16cid:durableId="18624583">
    <w:abstractNumId w:val="8"/>
  </w:num>
  <w:num w:numId="37" w16cid:durableId="340133046">
    <w:abstractNumId w:val="3"/>
  </w:num>
  <w:num w:numId="38" w16cid:durableId="1103383850">
    <w:abstractNumId w:val="2"/>
  </w:num>
  <w:num w:numId="39" w16cid:durableId="224492149">
    <w:abstractNumId w:val="1"/>
  </w:num>
  <w:num w:numId="40" w16cid:durableId="1358311158">
    <w:abstractNumId w:val="0"/>
  </w:num>
  <w:num w:numId="41" w16cid:durableId="724915483">
    <w:abstractNumId w:val="10"/>
  </w:num>
  <w:num w:numId="42" w16cid:durableId="1373307841">
    <w:abstractNumId w:val="10"/>
  </w:num>
  <w:num w:numId="43" w16cid:durableId="823397226">
    <w:abstractNumId w:val="10"/>
  </w:num>
  <w:num w:numId="44" w16cid:durableId="113037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12, 0414, 0429, 0431, 0433 in 0435/2025"/>
    <w:docVar w:name="dvlangue" w:val="SL"/>
    <w:docVar w:name="dvnumam" w:val="0"/>
    <w:docVar w:name="dvpe" w:val="776.251"/>
    <w:docVar w:name="dvtitre" w:val="Resolucija Evropskega parlamenta z dne … 2025 o deseti obletnici pridržanja švedskega založnika Gui Minhaija v zaporu na Kitajskem(2025/2906(RSP))"/>
  </w:docVars>
  <w:rsids>
    <w:rsidRoot w:val="00180522"/>
    <w:rsid w:val="00002272"/>
    <w:rsid w:val="00064002"/>
    <w:rsid w:val="000677B9"/>
    <w:rsid w:val="000831BA"/>
    <w:rsid w:val="000A42CC"/>
    <w:rsid w:val="000E7DD9"/>
    <w:rsid w:val="0010095E"/>
    <w:rsid w:val="00125B37"/>
    <w:rsid w:val="00180522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51A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49A3"/>
    <w:rsid w:val="006F730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1EEA"/>
    <w:rsid w:val="00B558F0"/>
    <w:rsid w:val="00BD48FE"/>
    <w:rsid w:val="00BD7BD8"/>
    <w:rsid w:val="00BE6ADC"/>
    <w:rsid w:val="00C05BFE"/>
    <w:rsid w:val="00C23CD4"/>
    <w:rsid w:val="00C61C0C"/>
    <w:rsid w:val="00C73772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4D9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E3D859"/>
  <w15:chartTrackingRefBased/>
  <w15:docId w15:val="{899E410D-DB42-4701-B0C2-EC84D285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D49A3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6D49A3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D49A3"/>
    <w:rPr>
      <w:sz w:val="24"/>
      <w:lang w:val="sl-SI"/>
    </w:rPr>
  </w:style>
  <w:style w:type="character" w:customStyle="1" w:styleId="EPCommaChar">
    <w:name w:val="EPComma Char"/>
    <w:basedOn w:val="DefaultParagraphFont"/>
    <w:link w:val="EPComma"/>
    <w:rsid w:val="006D49A3"/>
    <w:rPr>
      <w:sz w:val="24"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483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3</cp:revision>
  <cp:lastPrinted>2004-11-19T15:42:00Z</cp:lastPrinted>
  <dcterms:created xsi:type="dcterms:W3CDTF">2025-10-09T08:54:00Z</dcterms:created>
  <dcterms:modified xsi:type="dcterms:W3CDTF">2025-10-09T11:32:00Z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B10-0412, 0414, 0429, 0431, 0433 in 0435/2025</vt:lpwstr>
  </property>
  <property fmtid="{D5CDD505-2E9C-101B-9397-08002B2CF9AE}" pid="4" name="&lt;Type&gt;">
    <vt:lpwstr>RR</vt:lpwstr>
  </property>
</Properties>
</file>