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B80" w14:paraId="481463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EF0438" w14:textId="77777777" w:rsidR="00751A4A" w:rsidRPr="00202B80" w:rsidRDefault="009E007F" w:rsidP="0010095E">
            <w:pPr>
              <w:pStyle w:val="EPName"/>
            </w:pPr>
            <w:r w:rsidRPr="00202B80">
              <w:t>Europa-Parlamentet</w:t>
            </w:r>
          </w:p>
          <w:p w14:paraId="6F81B494" w14:textId="77777777" w:rsidR="00751A4A" w:rsidRPr="00202B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B80">
              <w:t>2024</w:t>
            </w:r>
            <w:r w:rsidR="00817416" w:rsidRPr="00202B80">
              <w:t>-202</w:t>
            </w:r>
            <w:r w:rsidRPr="00202B80">
              <w:t>9</w:t>
            </w:r>
          </w:p>
        </w:tc>
        <w:tc>
          <w:tcPr>
            <w:tcW w:w="2268" w:type="dxa"/>
            <w:shd w:val="clear" w:color="auto" w:fill="auto"/>
          </w:tcPr>
          <w:p w14:paraId="5DF9829B" w14:textId="77777777" w:rsidR="00751A4A" w:rsidRPr="00202B80" w:rsidRDefault="00187494" w:rsidP="0010095E">
            <w:pPr>
              <w:pStyle w:val="EPLogo"/>
            </w:pPr>
            <w:r w:rsidRPr="00202B80">
              <w:rPr>
                <w:noProof/>
                <w:lang w:val="en-GB"/>
              </w:rPr>
              <w:drawing>
                <wp:inline distT="0" distB="0" distL="0" distR="0" wp14:anchorId="5C578176" wp14:editId="240E6C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734BF" w14:textId="77777777" w:rsidR="00D058B8" w:rsidRPr="00202B80" w:rsidRDefault="00D058B8" w:rsidP="004C5D52">
      <w:pPr>
        <w:pStyle w:val="LineTop"/>
      </w:pPr>
    </w:p>
    <w:p w14:paraId="4DEF6FA8" w14:textId="77777777" w:rsidR="00680577" w:rsidRPr="00202B80" w:rsidRDefault="009E007F" w:rsidP="00680577">
      <w:pPr>
        <w:pStyle w:val="EPBodyTA1"/>
      </w:pPr>
      <w:r w:rsidRPr="00202B80">
        <w:t>VEDTAGNE TEKSTER</w:t>
      </w:r>
    </w:p>
    <w:p w14:paraId="759B6BED" w14:textId="77777777" w:rsidR="00D058B8" w:rsidRPr="00202B80" w:rsidRDefault="00D058B8" w:rsidP="00D058B8">
      <w:pPr>
        <w:pStyle w:val="LineBottom"/>
      </w:pPr>
    </w:p>
    <w:p w14:paraId="66885284" w14:textId="08D27831" w:rsidR="009E007F" w:rsidRPr="00202B80" w:rsidRDefault="009E007F" w:rsidP="009E007F">
      <w:pPr>
        <w:pStyle w:val="ATHeading1"/>
      </w:pPr>
      <w:bookmarkStart w:id="0" w:name="TANumber"/>
      <w:r w:rsidRPr="00202B80">
        <w:t>P10_</w:t>
      </w:r>
      <w:proofErr w:type="gramStart"/>
      <w:r w:rsidRPr="00202B80">
        <w:t>TA(</w:t>
      </w:r>
      <w:proofErr w:type="gramEnd"/>
      <w:r w:rsidRPr="00202B80">
        <w:t>2025)0</w:t>
      </w:r>
      <w:bookmarkEnd w:id="0"/>
      <w:r w:rsidR="00F15B83">
        <w:t>226</w:t>
      </w:r>
    </w:p>
    <w:p w14:paraId="16D26FB1" w14:textId="7DECEC22" w:rsidR="009E007F" w:rsidRPr="00246F2F" w:rsidRDefault="00246F2F" w:rsidP="009E007F">
      <w:pPr>
        <w:pStyle w:val="ATHeading2"/>
      </w:pPr>
      <w:r w:rsidRPr="00023808">
        <w:rPr>
          <w:bCs/>
        </w:rPr>
        <w:t>Oprettelse og drift af europæiske samarbejdsudvalg - effektiv håndhævelse</w:t>
      </w:r>
    </w:p>
    <w:p w14:paraId="221395B2" w14:textId="77777777" w:rsidR="009E007F" w:rsidRPr="00202B80" w:rsidRDefault="009E007F" w:rsidP="009E007F">
      <w:pPr>
        <w:rPr>
          <w:i/>
          <w:vanish/>
        </w:rPr>
      </w:pPr>
      <w:r w:rsidRPr="00202B80">
        <w:rPr>
          <w:i/>
        </w:rPr>
        <w:fldChar w:fldCharType="begin"/>
      </w:r>
      <w:r w:rsidRPr="00202B80">
        <w:rPr>
          <w:i/>
        </w:rPr>
        <w:instrText xml:space="preserve"> TC"(</w:instrText>
      </w:r>
      <w:bookmarkStart w:id="1" w:name="DocNumber"/>
      <w:r w:rsidRPr="00202B80">
        <w:rPr>
          <w:i/>
        </w:rPr>
        <w:instrText>A10-0029/2024</w:instrText>
      </w:r>
      <w:bookmarkEnd w:id="1"/>
      <w:r w:rsidRPr="00202B80">
        <w:rPr>
          <w:i/>
        </w:rPr>
        <w:instrText xml:space="preserve"> - Ordfører: Dennis Radtke)"\l3 \n&gt; \* MERGEFORMAT </w:instrText>
      </w:r>
      <w:r w:rsidRPr="00202B80">
        <w:rPr>
          <w:i/>
        </w:rPr>
        <w:fldChar w:fldCharType="end"/>
      </w:r>
    </w:p>
    <w:p w14:paraId="64629093" w14:textId="77777777" w:rsidR="009E007F" w:rsidRPr="00202B80" w:rsidRDefault="009E007F" w:rsidP="009E007F">
      <w:pPr>
        <w:rPr>
          <w:vanish/>
        </w:rPr>
      </w:pPr>
      <w:bookmarkStart w:id="2" w:name="Commission"/>
      <w:r w:rsidRPr="00202B80">
        <w:rPr>
          <w:vanish/>
        </w:rPr>
        <w:t>Udvalget om Beskæftigelse og Sociale Anliggender</w:t>
      </w:r>
      <w:bookmarkEnd w:id="2"/>
    </w:p>
    <w:p w14:paraId="3451391C" w14:textId="77777777" w:rsidR="009E007F" w:rsidRPr="00202B80" w:rsidRDefault="009E007F" w:rsidP="009E007F">
      <w:pPr>
        <w:rPr>
          <w:vanish/>
        </w:rPr>
      </w:pPr>
      <w:bookmarkStart w:id="3" w:name="PE"/>
      <w:r w:rsidRPr="00202B80">
        <w:rPr>
          <w:vanish/>
        </w:rPr>
        <w:t>PE766.796</w:t>
      </w:r>
      <w:bookmarkEnd w:id="3"/>
    </w:p>
    <w:p w14:paraId="2B08BB9E" w14:textId="55F10BE8" w:rsidR="009E007F" w:rsidRPr="00202B80" w:rsidRDefault="009E007F" w:rsidP="009E007F">
      <w:pPr>
        <w:pStyle w:val="ATHeading3"/>
      </w:pPr>
      <w:bookmarkStart w:id="4" w:name="Sujet"/>
      <w:r w:rsidRPr="00202B80">
        <w:t xml:space="preserve">Europa-Parlamentets lovgivningsmæssige beslutning af </w:t>
      </w:r>
      <w:r w:rsidR="008D6CDE">
        <w:t>9</w:t>
      </w:r>
      <w:r w:rsidRPr="00202B80">
        <w:t>.</w:t>
      </w:r>
      <w:r w:rsidR="00246F2F">
        <w:t xml:space="preserve"> oktober</w:t>
      </w:r>
      <w:r w:rsidRPr="00202B80">
        <w:t xml:space="preserve"> 2025 om forslag til Europa-Parlamentets og Rådets direktiv om ændring af direktiv 2009/38/EF for så vidt angår oprettelse og drift af europæiske samarbejdsudvalg og effektiv håndhævelse af retten til tværnational information og høring</w:t>
      </w:r>
      <w:bookmarkEnd w:id="4"/>
      <w:r w:rsidRPr="00202B80">
        <w:t xml:space="preserve"> </w:t>
      </w:r>
      <w:bookmarkStart w:id="5" w:name="References"/>
      <w:r w:rsidRPr="00202B80">
        <w:t>(</w:t>
      </w:r>
      <w:proofErr w:type="gramStart"/>
      <w:r w:rsidRPr="00202B80">
        <w:t>COM(</w:t>
      </w:r>
      <w:proofErr w:type="gramEnd"/>
      <w:r w:rsidRPr="00202B80">
        <w:t>2024)0014 – C9-0012/2024 – 2024/0006(COD))</w:t>
      </w:r>
      <w:bookmarkEnd w:id="5"/>
    </w:p>
    <w:p w14:paraId="7826FDAB" w14:textId="77777777" w:rsidR="00896D5B" w:rsidRPr="00202B80" w:rsidRDefault="00896D5B" w:rsidP="00896D5B">
      <w:pPr>
        <w:pStyle w:val="NormalBold"/>
      </w:pPr>
      <w:r w:rsidRPr="00202B80">
        <w:t>(Almindelig lovgivningsprocedure: førstebehandling)</w:t>
      </w:r>
    </w:p>
    <w:p w14:paraId="0ADE8548" w14:textId="77777777" w:rsidR="00896D5B" w:rsidRPr="00202B80" w:rsidRDefault="00896D5B" w:rsidP="00896D5B">
      <w:pPr>
        <w:pStyle w:val="EPComma"/>
      </w:pPr>
      <w:r w:rsidRPr="00202B80">
        <w:rPr>
          <w:i/>
        </w:rPr>
        <w:t>Europa-Parlamentet</w:t>
      </w:r>
      <w:r w:rsidRPr="00202B80">
        <w:t>,</w:t>
      </w:r>
    </w:p>
    <w:p w14:paraId="15ABCDE3" w14:textId="7777777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Kommissionens forslag til Europa-Parlamentet og Rådet (</w:t>
      </w:r>
      <w:proofErr w:type="gramStart"/>
      <w:r w:rsidRPr="00202B80">
        <w:t>COM(</w:t>
      </w:r>
      <w:proofErr w:type="gramEnd"/>
      <w:r w:rsidRPr="00202B80">
        <w:t>2024)0014),</w:t>
      </w:r>
    </w:p>
    <w:p w14:paraId="7B062FD0" w14:textId="7777777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artikel 294, stk. 2, og artikel 153, stk. 1, litra e), sammenholdt med artikel 153, stk. 2, litra b), i traktaten om Den Europæiske Unions funktionsmåde, på grundlag af hvilke Kommissionen har forelagt forslaget for Europa-Parlamentet (C9</w:t>
      </w:r>
      <w:r w:rsidRPr="00202B80">
        <w:noBreakHyphen/>
        <w:t>0012/2024),</w:t>
      </w:r>
    </w:p>
    <w:p w14:paraId="3765412A" w14:textId="7777777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artikel 294, stk. 3, i traktaten om Den Europæiske Unions funktionsmåde,</w:t>
      </w:r>
    </w:p>
    <w:p w14:paraId="4281B2D0" w14:textId="7777777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udtalelse af 30. maj 2024 fra Det Europæiske Økonomiske og Sociale Udvalg</w:t>
      </w:r>
      <w:r w:rsidRPr="00202B80">
        <w:rPr>
          <w:rStyle w:val="FootnoteReference"/>
        </w:rPr>
        <w:footnoteReference w:id="1"/>
      </w:r>
      <w:r w:rsidRPr="00202B80">
        <w:t>,</w:t>
      </w:r>
    </w:p>
    <w:p w14:paraId="04B5A524" w14:textId="7777777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høring af Regionsudvalget,</w:t>
      </w:r>
    </w:p>
    <w:p w14:paraId="72ACC9F4" w14:textId="327CF31C" w:rsidR="00246F2F" w:rsidRDefault="00246F2F" w:rsidP="00896D5B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28. maj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478D05CF" w14:textId="77B194F7" w:rsidR="00896D5B" w:rsidRPr="00202B80" w:rsidRDefault="00896D5B" w:rsidP="00896D5B">
      <w:pPr>
        <w:pStyle w:val="NormalHanging12a"/>
      </w:pPr>
      <w:r w:rsidRPr="00202B80">
        <w:t>–</w:t>
      </w:r>
      <w:r w:rsidRPr="00202B80">
        <w:tab/>
        <w:t>der henviser til forretningsordenens artikel 60,</w:t>
      </w:r>
    </w:p>
    <w:p w14:paraId="0824A4BA" w14:textId="77777777" w:rsidR="00896D5B" w:rsidRPr="00202B80" w:rsidRDefault="00896D5B" w:rsidP="00896D5B">
      <w:pPr>
        <w:pStyle w:val="NormalHanging12a"/>
      </w:pPr>
      <w:r w:rsidRPr="00202B80">
        <w:lastRenderedPageBreak/>
        <w:t>–</w:t>
      </w:r>
      <w:r w:rsidRPr="00202B80">
        <w:tab/>
        <w:t>der henviser til betænkningen fra Udvalget om Beskæftigelse og Sociale Anliggender (A10-0029/2024),</w:t>
      </w:r>
    </w:p>
    <w:p w14:paraId="00D034D6" w14:textId="1BA78F0A" w:rsidR="00896D5B" w:rsidRDefault="00896D5B" w:rsidP="00896D5B">
      <w:pPr>
        <w:pStyle w:val="NormalHanging12a"/>
      </w:pPr>
      <w:r w:rsidRPr="00202B80">
        <w:t>1.</w:t>
      </w:r>
      <w:r w:rsidRPr="00202B80">
        <w:tab/>
        <w:t>vedtager nedenstående holdning ved førstebehandling;</w:t>
      </w:r>
    </w:p>
    <w:p w14:paraId="287D5FDF" w14:textId="77777777" w:rsidR="00C552EC" w:rsidRPr="00202B80" w:rsidRDefault="00C552EC" w:rsidP="00C552EC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05"/>
        </w:tabs>
      </w:pPr>
      <w:r>
        <w:t>2.</w:t>
      </w:r>
      <w:r>
        <w:tab/>
      </w:r>
      <w:r w:rsidRPr="00DF1108">
        <w:t>anmoder om fornyet forelæggelse, hvis Kommissionen erstatter, i væsentlig grad ændrer eller agter i væsentlig grad at ændre sit forslag;</w:t>
      </w:r>
    </w:p>
    <w:p w14:paraId="4E87B13C" w14:textId="5C3A1FD7" w:rsidR="00896D5B" w:rsidRPr="00202B80" w:rsidRDefault="00C552EC" w:rsidP="00896D5B">
      <w:pPr>
        <w:pStyle w:val="NormalHanging12a"/>
      </w:pPr>
      <w:r>
        <w:t>3</w:t>
      </w:r>
      <w:r w:rsidRPr="00202B80">
        <w:t>.</w:t>
      </w:r>
      <w:r w:rsidRPr="00202B80">
        <w:tab/>
      </w:r>
      <w:r w:rsidR="00896D5B" w:rsidRPr="00202B80">
        <w:t>pålægger sin formand at sende Parlamentets holdning til Rådet og Kommissionen samt til de nationale parlamenter.</w:t>
      </w:r>
    </w:p>
    <w:p w14:paraId="1DA67120" w14:textId="77777777" w:rsidR="008D6CDE" w:rsidRDefault="008D6CDE" w:rsidP="00896D5B">
      <w:pPr>
        <w:sectPr w:rsidR="008D6CDE" w:rsidSect="00202B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4FE2592" w14:textId="1494F5E4" w:rsidR="008D6CDE" w:rsidRPr="00606380" w:rsidRDefault="008D6CDE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4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006</w:t>
      </w:r>
    </w:p>
    <w:p w14:paraId="5355EA2A" w14:textId="2A168D17" w:rsidR="008D6CDE" w:rsidRDefault="008D6CDE" w:rsidP="008747F0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>
        <w:rPr>
          <w:b/>
        </w:rPr>
        <w:t>9. oktober 2025</w:t>
      </w:r>
      <w:r w:rsidRPr="00511370">
        <w:rPr>
          <w:b/>
        </w:rPr>
        <w:t xml:space="preserve"> med henblik på vedtagelse af Europa-Parlamentets og Rådets </w:t>
      </w:r>
      <w:r>
        <w:rPr>
          <w:rFonts w:eastAsia="Calibri"/>
          <w:b/>
        </w:rPr>
        <w:t xml:space="preserve">direktiv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Pr="008D6CDE">
        <w:rPr>
          <w:rFonts w:eastAsia="Calibri"/>
          <w:b/>
        </w:rPr>
        <w:t xml:space="preserve">ændring af direktiv 2009/38/EF for så vidt angår oprettelse og </w:t>
      </w:r>
      <w:r w:rsidRPr="00023808">
        <w:rPr>
          <w:rFonts w:eastAsia="Calibri"/>
          <w:b/>
          <w:i/>
          <w:iCs/>
        </w:rPr>
        <w:t>drift</w:t>
      </w:r>
      <w:r w:rsidRPr="008D6CDE">
        <w:rPr>
          <w:rFonts w:eastAsia="Calibri"/>
          <w:b/>
        </w:rPr>
        <w:t xml:space="preserve"> af europæiske samarbejdsudvalg og effektiv håndhævelse af retten til tværnational information og høring</w:t>
      </w:r>
    </w:p>
    <w:p w14:paraId="62911B64" w14:textId="77777777" w:rsidR="00B167B8" w:rsidRDefault="00B167B8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73D4AB29" w14:textId="133E3E76" w:rsidR="00B167B8" w:rsidRPr="00F95CDF" w:rsidRDefault="00B167B8" w:rsidP="00F95CDF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direktiv </w:t>
      </w:r>
      <w:r w:rsidRPr="00F95CDF">
        <w:rPr>
          <w:i/>
        </w:rPr>
        <w:t>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2450</w:t>
      </w:r>
      <w:r w:rsidRPr="00F95CDF">
        <w:rPr>
          <w:i/>
        </w:rPr>
        <w:t>.)</w:t>
      </w:r>
    </w:p>
    <w:p w14:paraId="0778137B" w14:textId="680D555F" w:rsidR="00B167B8" w:rsidRPr="00FD1237" w:rsidRDefault="00B167B8" w:rsidP="008747F0">
      <w:pPr>
        <w:pStyle w:val="NormalHanging12a"/>
        <w:ind w:left="0" w:firstLine="0"/>
      </w:pPr>
    </w:p>
    <w:sectPr w:rsidR="00B167B8" w:rsidRPr="00FD1237" w:rsidSect="00202B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54FA" w14:textId="77777777" w:rsidR="009E007F" w:rsidRPr="00202B80" w:rsidRDefault="009E007F">
      <w:r w:rsidRPr="00202B80">
        <w:separator/>
      </w:r>
    </w:p>
  </w:endnote>
  <w:endnote w:type="continuationSeparator" w:id="0">
    <w:p w14:paraId="30DC22DC" w14:textId="77777777" w:rsidR="009E007F" w:rsidRPr="00202B80" w:rsidRDefault="009E007F">
      <w:r w:rsidRPr="00202B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3294" w14:textId="77777777" w:rsidR="00064002" w:rsidRPr="00202B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DA03" w14:textId="77777777" w:rsidR="00064002" w:rsidRPr="00202B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59E40" w14:textId="77777777" w:rsidR="00064002" w:rsidRPr="00202B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BAD09" w14:textId="77777777" w:rsidR="009E007F" w:rsidRPr="00202B80" w:rsidRDefault="009E007F">
      <w:r w:rsidRPr="00202B80">
        <w:separator/>
      </w:r>
    </w:p>
  </w:footnote>
  <w:footnote w:type="continuationSeparator" w:id="0">
    <w:p w14:paraId="3F4DB90C" w14:textId="77777777" w:rsidR="009E007F" w:rsidRPr="00202B80" w:rsidRDefault="009E007F">
      <w:r w:rsidRPr="00202B80">
        <w:continuationSeparator/>
      </w:r>
    </w:p>
  </w:footnote>
  <w:footnote w:id="1">
    <w:p w14:paraId="6CE11084" w14:textId="139DDC3B" w:rsidR="00896D5B" w:rsidRPr="00987F7A" w:rsidRDefault="00896D5B" w:rsidP="00202B80">
      <w:pPr>
        <w:pStyle w:val="FootnoteText"/>
        <w:ind w:left="567" w:hanging="567"/>
        <w:rPr>
          <w:sz w:val="24"/>
          <w:szCs w:val="24"/>
          <w:lang w:val="fi-FI"/>
        </w:rPr>
      </w:pPr>
      <w:r w:rsidRPr="008D6CDE">
        <w:rPr>
          <w:rStyle w:val="FootnoteReference"/>
          <w:sz w:val="24"/>
          <w:szCs w:val="24"/>
          <w:lang w:val="da-DK"/>
        </w:rPr>
        <w:footnoteRef/>
      </w:r>
      <w:r w:rsidR="00202B80" w:rsidRPr="00987F7A">
        <w:rPr>
          <w:sz w:val="24"/>
          <w:szCs w:val="24"/>
          <w:lang w:val="fi-FI"/>
        </w:rPr>
        <w:t xml:space="preserve"> </w:t>
      </w:r>
      <w:r w:rsidR="00202B80" w:rsidRPr="00987F7A">
        <w:rPr>
          <w:sz w:val="24"/>
          <w:szCs w:val="24"/>
          <w:lang w:val="fi-FI"/>
        </w:rPr>
        <w:tab/>
      </w:r>
      <w:r w:rsidR="004D65A9" w:rsidRPr="00987F7A">
        <w:rPr>
          <w:sz w:val="24"/>
          <w:szCs w:val="24"/>
          <w:lang w:val="fi-FI"/>
        </w:rPr>
        <w:t xml:space="preserve">EUT C, C/2024/4664, 9.8.2024, ELI: </w:t>
      </w:r>
      <w:hyperlink r:id="rId1" w:history="1">
        <w:r w:rsidR="004D65A9" w:rsidRPr="008747F0">
          <w:rPr>
            <w:rStyle w:val="Hyperlink"/>
            <w:sz w:val="24"/>
            <w:szCs w:val="24"/>
            <w:lang w:val="fi-FI"/>
          </w:rPr>
          <w:t>http://data.europa.eu/eli/C/2024/4664/oj</w:t>
        </w:r>
      </w:hyperlink>
      <w:r w:rsidR="007C32CE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74A3" w14:textId="77777777" w:rsidR="00064002" w:rsidRPr="00202B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E7CF8" w14:textId="77777777" w:rsidR="00064002" w:rsidRPr="00202B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CA02" w14:textId="77777777" w:rsidR="00064002" w:rsidRPr="00202B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1381160">
    <w:abstractNumId w:val="9"/>
  </w:num>
  <w:num w:numId="2" w16cid:durableId="279380750">
    <w:abstractNumId w:val="9"/>
  </w:num>
  <w:num w:numId="3" w16cid:durableId="117572713">
    <w:abstractNumId w:val="7"/>
  </w:num>
  <w:num w:numId="4" w16cid:durableId="925917782">
    <w:abstractNumId w:val="7"/>
  </w:num>
  <w:num w:numId="5" w16cid:durableId="28533780">
    <w:abstractNumId w:val="6"/>
  </w:num>
  <w:num w:numId="6" w16cid:durableId="1840075552">
    <w:abstractNumId w:val="6"/>
  </w:num>
  <w:num w:numId="7" w16cid:durableId="252711872">
    <w:abstractNumId w:val="5"/>
  </w:num>
  <w:num w:numId="8" w16cid:durableId="1526940357">
    <w:abstractNumId w:val="5"/>
  </w:num>
  <w:num w:numId="9" w16cid:durableId="476413807">
    <w:abstractNumId w:val="4"/>
  </w:num>
  <w:num w:numId="10" w16cid:durableId="1317147307">
    <w:abstractNumId w:val="4"/>
  </w:num>
  <w:num w:numId="11" w16cid:durableId="1384525151">
    <w:abstractNumId w:val="8"/>
  </w:num>
  <w:num w:numId="12" w16cid:durableId="35158778">
    <w:abstractNumId w:val="8"/>
  </w:num>
  <w:num w:numId="13" w16cid:durableId="2001731897">
    <w:abstractNumId w:val="3"/>
  </w:num>
  <w:num w:numId="14" w16cid:durableId="328951672">
    <w:abstractNumId w:val="3"/>
  </w:num>
  <w:num w:numId="15" w16cid:durableId="1282032924">
    <w:abstractNumId w:val="2"/>
  </w:num>
  <w:num w:numId="16" w16cid:durableId="1145589318">
    <w:abstractNumId w:val="2"/>
  </w:num>
  <w:num w:numId="17" w16cid:durableId="1434938072">
    <w:abstractNumId w:val="1"/>
  </w:num>
  <w:num w:numId="18" w16cid:durableId="1805270946">
    <w:abstractNumId w:val="1"/>
  </w:num>
  <w:num w:numId="19" w16cid:durableId="859900743">
    <w:abstractNumId w:val="0"/>
  </w:num>
  <w:num w:numId="20" w16cid:durableId="1312715535">
    <w:abstractNumId w:val="0"/>
  </w:num>
  <w:num w:numId="21" w16cid:durableId="1711569842">
    <w:abstractNumId w:val="9"/>
  </w:num>
  <w:num w:numId="22" w16cid:durableId="898511989">
    <w:abstractNumId w:val="7"/>
  </w:num>
  <w:num w:numId="23" w16cid:durableId="1176195053">
    <w:abstractNumId w:val="6"/>
  </w:num>
  <w:num w:numId="24" w16cid:durableId="632904209">
    <w:abstractNumId w:val="5"/>
  </w:num>
  <w:num w:numId="25" w16cid:durableId="1228762301">
    <w:abstractNumId w:val="4"/>
  </w:num>
  <w:num w:numId="26" w16cid:durableId="137458191">
    <w:abstractNumId w:val="8"/>
  </w:num>
  <w:num w:numId="27" w16cid:durableId="1276594162">
    <w:abstractNumId w:val="3"/>
  </w:num>
  <w:num w:numId="28" w16cid:durableId="1948923147">
    <w:abstractNumId w:val="2"/>
  </w:num>
  <w:num w:numId="29" w16cid:durableId="1830946402">
    <w:abstractNumId w:val="1"/>
  </w:num>
  <w:num w:numId="30" w16cid:durableId="1953632289">
    <w:abstractNumId w:val="0"/>
  </w:num>
  <w:num w:numId="31" w16cid:durableId="137184921">
    <w:abstractNumId w:val="9"/>
  </w:num>
  <w:num w:numId="32" w16cid:durableId="1794639684">
    <w:abstractNumId w:val="7"/>
  </w:num>
  <w:num w:numId="33" w16cid:durableId="945042638">
    <w:abstractNumId w:val="6"/>
  </w:num>
  <w:num w:numId="34" w16cid:durableId="858279490">
    <w:abstractNumId w:val="5"/>
  </w:num>
  <w:num w:numId="35" w16cid:durableId="537861807">
    <w:abstractNumId w:val="4"/>
  </w:num>
  <w:num w:numId="36" w16cid:durableId="1111633253">
    <w:abstractNumId w:val="8"/>
  </w:num>
  <w:num w:numId="37" w16cid:durableId="475224909">
    <w:abstractNumId w:val="3"/>
  </w:num>
  <w:num w:numId="38" w16cid:durableId="1751389946">
    <w:abstractNumId w:val="2"/>
  </w:num>
  <w:num w:numId="39" w16cid:durableId="1997806918">
    <w:abstractNumId w:val="1"/>
  </w:num>
  <w:num w:numId="40" w16cid:durableId="1378317552">
    <w:abstractNumId w:val="0"/>
  </w:num>
  <w:num w:numId="41" w16cid:durableId="456219804">
    <w:abstractNumId w:val="10"/>
  </w:num>
  <w:num w:numId="42" w16cid:durableId="1922060361">
    <w:abstractNumId w:val="10"/>
  </w:num>
  <w:num w:numId="43" w16cid:durableId="1661227009">
    <w:abstractNumId w:val="10"/>
  </w:num>
  <w:num w:numId="44" w16cid:durableId="2125269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9/2024"/>
    <w:docVar w:name="dvlangue" w:val="DA"/>
    <w:docVar w:name="dvnumam" w:val="78"/>
    <w:docVar w:name="dvpe" w:val="766.796"/>
    <w:docVar w:name="dvrapporteur" w:val="Ordfører: "/>
    <w:docVar w:name="dvstar" w:val="***I"/>
    <w:docVar w:name="dvtitre" w:val="Europa-Parlamentets lovgivningsmæssige beslutning af xx.xx 2025 om forslag til Europa-Parlamentets og Rådets direktiv om ændring af direktiv 2009/38/EF for så vidt angår oprettelse og drift af europæiske samarbejdsudvalg og effektiv håndhævelse af retten til tværnational information og høring(COM(2024)0014 – C9-0012/2024 – 2024/0006(COD))"/>
  </w:docVars>
  <w:rsids>
    <w:rsidRoot w:val="009E007F"/>
    <w:rsid w:val="00002272"/>
    <w:rsid w:val="00023808"/>
    <w:rsid w:val="00064002"/>
    <w:rsid w:val="000677B9"/>
    <w:rsid w:val="000831BA"/>
    <w:rsid w:val="000A42CC"/>
    <w:rsid w:val="000E7DD9"/>
    <w:rsid w:val="0010095E"/>
    <w:rsid w:val="00125B37"/>
    <w:rsid w:val="00187494"/>
    <w:rsid w:val="001E78BC"/>
    <w:rsid w:val="001F32AE"/>
    <w:rsid w:val="00202B80"/>
    <w:rsid w:val="00246F2F"/>
    <w:rsid w:val="00247596"/>
    <w:rsid w:val="002767FF"/>
    <w:rsid w:val="002B18FE"/>
    <w:rsid w:val="002B5493"/>
    <w:rsid w:val="00325491"/>
    <w:rsid w:val="00325BD3"/>
    <w:rsid w:val="00343214"/>
    <w:rsid w:val="00361C00"/>
    <w:rsid w:val="00395FA1"/>
    <w:rsid w:val="003E15D4"/>
    <w:rsid w:val="00411CCE"/>
    <w:rsid w:val="0041666E"/>
    <w:rsid w:val="00421060"/>
    <w:rsid w:val="00460122"/>
    <w:rsid w:val="00471C19"/>
    <w:rsid w:val="004867E3"/>
    <w:rsid w:val="00494A28"/>
    <w:rsid w:val="004C0004"/>
    <w:rsid w:val="004C5D52"/>
    <w:rsid w:val="004D65A9"/>
    <w:rsid w:val="0050519A"/>
    <w:rsid w:val="005072A1"/>
    <w:rsid w:val="00514517"/>
    <w:rsid w:val="0052618D"/>
    <w:rsid w:val="00545827"/>
    <w:rsid w:val="00560270"/>
    <w:rsid w:val="00574916"/>
    <w:rsid w:val="005C2568"/>
    <w:rsid w:val="005F1B17"/>
    <w:rsid w:val="006037C0"/>
    <w:rsid w:val="006631B6"/>
    <w:rsid w:val="00676B71"/>
    <w:rsid w:val="00680577"/>
    <w:rsid w:val="00683883"/>
    <w:rsid w:val="006D2122"/>
    <w:rsid w:val="006F74FA"/>
    <w:rsid w:val="00731ADD"/>
    <w:rsid w:val="00734777"/>
    <w:rsid w:val="00747932"/>
    <w:rsid w:val="00751A4A"/>
    <w:rsid w:val="00756632"/>
    <w:rsid w:val="00762C74"/>
    <w:rsid w:val="00786EC0"/>
    <w:rsid w:val="007C32CE"/>
    <w:rsid w:val="007D1690"/>
    <w:rsid w:val="007E22AD"/>
    <w:rsid w:val="00817416"/>
    <w:rsid w:val="00842779"/>
    <w:rsid w:val="00865F67"/>
    <w:rsid w:val="008747F0"/>
    <w:rsid w:val="00881A7B"/>
    <w:rsid w:val="008840E5"/>
    <w:rsid w:val="00887B3E"/>
    <w:rsid w:val="00896D5B"/>
    <w:rsid w:val="008C2AC6"/>
    <w:rsid w:val="008D6CDE"/>
    <w:rsid w:val="00911AA6"/>
    <w:rsid w:val="00930C23"/>
    <w:rsid w:val="0093193B"/>
    <w:rsid w:val="009509D8"/>
    <w:rsid w:val="00950B64"/>
    <w:rsid w:val="00981893"/>
    <w:rsid w:val="00987F7A"/>
    <w:rsid w:val="009E00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7B8"/>
    <w:rsid w:val="00B22876"/>
    <w:rsid w:val="00B558F0"/>
    <w:rsid w:val="00B76612"/>
    <w:rsid w:val="00BD48FE"/>
    <w:rsid w:val="00BD7B19"/>
    <w:rsid w:val="00BD7BD8"/>
    <w:rsid w:val="00BE6ADC"/>
    <w:rsid w:val="00C05BFE"/>
    <w:rsid w:val="00C23CD4"/>
    <w:rsid w:val="00C552EC"/>
    <w:rsid w:val="00C61C0C"/>
    <w:rsid w:val="00C941CB"/>
    <w:rsid w:val="00CC2357"/>
    <w:rsid w:val="00CE539D"/>
    <w:rsid w:val="00CF071A"/>
    <w:rsid w:val="00D058B8"/>
    <w:rsid w:val="00D13E2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1DA"/>
    <w:rsid w:val="00F04346"/>
    <w:rsid w:val="00F075DC"/>
    <w:rsid w:val="00F149E9"/>
    <w:rsid w:val="00F15B8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8FC84"/>
  <w15:chartTrackingRefBased/>
  <w15:docId w15:val="{6E0B4742-0C6D-420D-AD55-780CBAAD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96D5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96D5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96D5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96D5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96D5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96D5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896D5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896D5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896D5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896D5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96D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96D5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96D5B"/>
    <w:pPr>
      <w:spacing w:after="120"/>
    </w:pPr>
  </w:style>
  <w:style w:type="paragraph" w:customStyle="1" w:styleId="PageHeading">
    <w:name w:val="PageHeading"/>
    <w:basedOn w:val="Normal"/>
    <w:rsid w:val="00896D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96D5B"/>
    <w:rPr>
      <w:b/>
    </w:rPr>
  </w:style>
  <w:style w:type="paragraph" w:customStyle="1" w:styleId="NormalBold12a">
    <w:name w:val="NormalBold12a"/>
    <w:basedOn w:val="Normal"/>
    <w:rsid w:val="00896D5B"/>
    <w:pPr>
      <w:spacing w:after="240"/>
    </w:pPr>
    <w:rPr>
      <w:b/>
    </w:rPr>
  </w:style>
  <w:style w:type="paragraph" w:customStyle="1" w:styleId="AmJustText">
    <w:name w:val="AmJustText"/>
    <w:basedOn w:val="Normal"/>
    <w:rsid w:val="00896D5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96D5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96D5B"/>
    <w:pPr>
      <w:spacing w:after="480"/>
      <w:ind w:left="1417"/>
    </w:pPr>
  </w:style>
  <w:style w:type="paragraph" w:customStyle="1" w:styleId="CoverNormal">
    <w:name w:val="CoverNormal"/>
    <w:basedOn w:val="Normal"/>
    <w:rsid w:val="00896D5B"/>
    <w:pPr>
      <w:ind w:left="1418"/>
    </w:pPr>
  </w:style>
  <w:style w:type="paragraph" w:customStyle="1" w:styleId="AmCrossRef">
    <w:name w:val="AmCrossRef"/>
    <w:basedOn w:val="Normal"/>
    <w:rsid w:val="00896D5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96D5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96D5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96D5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96D5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96D5B"/>
    <w:pPr>
      <w:spacing w:before="240" w:after="1200"/>
    </w:pPr>
  </w:style>
  <w:style w:type="paragraph" w:styleId="Header">
    <w:name w:val="header"/>
    <w:basedOn w:val="Normal"/>
    <w:link w:val="HeaderChar"/>
    <w:rsid w:val="00896D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96D5B"/>
    <w:rPr>
      <w:sz w:val="24"/>
      <w:lang w:val="da-DK"/>
    </w:rPr>
  </w:style>
  <w:style w:type="paragraph" w:customStyle="1" w:styleId="AmOrLang">
    <w:name w:val="AmOrLang"/>
    <w:basedOn w:val="Normal"/>
    <w:rsid w:val="00896D5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96D5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96D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96D5B"/>
    <w:pPr>
      <w:spacing w:before="240"/>
    </w:pPr>
    <w:rPr>
      <w:b/>
    </w:rPr>
  </w:style>
  <w:style w:type="paragraph" w:customStyle="1" w:styleId="EPBody">
    <w:name w:val="EPBody"/>
    <w:basedOn w:val="Normal"/>
    <w:rsid w:val="00896D5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96D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96D5B"/>
    <w:pPr>
      <w:spacing w:before="480" w:after="240"/>
    </w:pPr>
  </w:style>
  <w:style w:type="paragraph" w:customStyle="1" w:styleId="Lgendesigne">
    <w:name w:val="Légende signe"/>
    <w:basedOn w:val="Normal"/>
    <w:rsid w:val="00896D5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96D5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96D5B"/>
    <w:rPr>
      <w:sz w:val="18"/>
    </w:rPr>
  </w:style>
  <w:style w:type="paragraph" w:customStyle="1" w:styleId="msonormal0">
    <w:name w:val="msonormal"/>
    <w:basedOn w:val="Normal"/>
    <w:rsid w:val="00896D5B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896D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6D5B"/>
    <w:rPr>
      <w:lang w:val="da-DK"/>
    </w:rPr>
  </w:style>
  <w:style w:type="paragraph" w:styleId="Footer">
    <w:name w:val="footer"/>
    <w:basedOn w:val="Normal"/>
    <w:link w:val="FooterChar"/>
    <w:unhideWhenUsed/>
    <w:rsid w:val="00896D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96D5B"/>
    <w:rPr>
      <w:sz w:val="24"/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96D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6D5B"/>
    <w:rPr>
      <w:b/>
      <w:bCs/>
      <w:lang w:val="da-DK"/>
    </w:rPr>
  </w:style>
  <w:style w:type="paragraph" w:styleId="BalloonText">
    <w:name w:val="Balloon Text"/>
    <w:basedOn w:val="Normal"/>
    <w:link w:val="BalloonTextChar"/>
    <w:unhideWhenUsed/>
    <w:rsid w:val="00896D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6D5B"/>
    <w:rPr>
      <w:rFonts w:ascii="Segoe UI" w:hAnsi="Segoe UI" w:cs="Segoe UI"/>
      <w:sz w:val="18"/>
      <w:szCs w:val="18"/>
      <w:lang w:val="da-DK"/>
    </w:rPr>
  </w:style>
  <w:style w:type="paragraph" w:customStyle="1" w:styleId="Normal24a">
    <w:name w:val="Normal24a"/>
    <w:basedOn w:val="Normal"/>
    <w:rsid w:val="00896D5B"/>
    <w:pPr>
      <w:spacing w:after="480"/>
    </w:pPr>
  </w:style>
  <w:style w:type="paragraph" w:customStyle="1" w:styleId="NormalBoldCenter">
    <w:name w:val="NormalBoldCenter"/>
    <w:basedOn w:val="Normal"/>
    <w:rsid w:val="00896D5B"/>
    <w:pPr>
      <w:jc w:val="center"/>
    </w:pPr>
    <w:rPr>
      <w:b/>
    </w:rPr>
  </w:style>
  <w:style w:type="paragraph" w:customStyle="1" w:styleId="Normal12a">
    <w:name w:val="Normal12a"/>
    <w:basedOn w:val="Normal"/>
    <w:rsid w:val="00896D5B"/>
    <w:pPr>
      <w:spacing w:after="240"/>
    </w:pPr>
  </w:style>
  <w:style w:type="paragraph" w:customStyle="1" w:styleId="RollCallVotes">
    <w:name w:val="RollCallVotes"/>
    <w:basedOn w:val="Normal"/>
    <w:rsid w:val="00896D5B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896D5B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896D5B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896D5B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896D5B"/>
    <w:rPr>
      <w:sz w:val="16"/>
      <w:szCs w:val="16"/>
    </w:rPr>
  </w:style>
  <w:style w:type="paragraph" w:styleId="Revision">
    <w:name w:val="Revision"/>
    <w:hidden/>
    <w:uiPriority w:val="99"/>
    <w:semiHidden/>
    <w:rsid w:val="00246F2F"/>
    <w:rPr>
      <w:sz w:val="24"/>
      <w:lang w:val="da-DK"/>
    </w:rPr>
  </w:style>
  <w:style w:type="paragraph" w:customStyle="1" w:styleId="Text1">
    <w:name w:val="Text 1"/>
    <w:basedOn w:val="Normal"/>
    <w:rsid w:val="008D6CDE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D6CD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D6CDE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D6CD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D6CD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D6CD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D6CD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D6CD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D6CD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D6CDE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D6CDE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D6CDE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D6CDE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D6CD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D6CDE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D6CD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D6CD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8D6CD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D6CDE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8D6CD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rsid w:val="004D65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71511-77E6-42A5-A2D6-3EAABB29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2025-12-15T10:00:00Z</dcterms:created>
  <dcterms:modified xsi:type="dcterms:W3CDTF">2025-12-15T10:00:00Z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