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D2A00" w14:paraId="595EC5F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4889F1E" w14:textId="77777777" w:rsidR="00751A4A" w:rsidRPr="00FD2A00" w:rsidRDefault="001E3B27" w:rsidP="0010095E">
            <w:pPr>
              <w:pStyle w:val="EPName"/>
            </w:pPr>
            <w:r w:rsidRPr="00FD2A00">
              <w:t>Ευρωπαϊκό Κοινοβούλιο</w:t>
            </w:r>
          </w:p>
          <w:p w14:paraId="684D263A" w14:textId="77777777" w:rsidR="00751A4A" w:rsidRPr="00FD2A0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D2A00">
              <w:t>2024</w:t>
            </w:r>
            <w:r w:rsidR="00817416" w:rsidRPr="00FD2A00">
              <w:t>-202</w:t>
            </w:r>
            <w:r w:rsidRPr="00FD2A00">
              <w:t>9</w:t>
            </w:r>
          </w:p>
        </w:tc>
        <w:tc>
          <w:tcPr>
            <w:tcW w:w="2268" w:type="dxa"/>
            <w:shd w:val="clear" w:color="auto" w:fill="auto"/>
          </w:tcPr>
          <w:p w14:paraId="72C06139" w14:textId="77777777" w:rsidR="00751A4A" w:rsidRPr="00FD2A00" w:rsidRDefault="00187494" w:rsidP="0010095E">
            <w:pPr>
              <w:pStyle w:val="EPLogo"/>
            </w:pPr>
            <w:r w:rsidRPr="00FD2A00">
              <w:rPr>
                <w:noProof/>
                <w:lang w:eastAsia="ja-JP"/>
              </w:rPr>
              <w:drawing>
                <wp:inline distT="0" distB="0" distL="0" distR="0" wp14:anchorId="53E7C556" wp14:editId="7D8A51E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DD4AC1" w14:textId="77777777" w:rsidR="00D058B8" w:rsidRPr="00FD2A00" w:rsidRDefault="00D058B8" w:rsidP="004C5D52">
      <w:pPr>
        <w:pStyle w:val="LineTop"/>
      </w:pPr>
    </w:p>
    <w:p w14:paraId="7B89A686" w14:textId="77777777" w:rsidR="00680577" w:rsidRPr="00FD2A00" w:rsidRDefault="001E3B27" w:rsidP="00680577">
      <w:pPr>
        <w:pStyle w:val="EPBodyTA1"/>
      </w:pPr>
      <w:r w:rsidRPr="00FD2A00">
        <w:t>ΚΕΙΜΕΝΑ ΠΟΥ ΕΓΚΡΙΘΗΚΑΝ</w:t>
      </w:r>
    </w:p>
    <w:p w14:paraId="6AC66FC4" w14:textId="77777777" w:rsidR="00D058B8" w:rsidRPr="00FD2A00" w:rsidRDefault="00D058B8" w:rsidP="00D058B8">
      <w:pPr>
        <w:pStyle w:val="LineBottom"/>
      </w:pPr>
    </w:p>
    <w:p w14:paraId="59BAB39A" w14:textId="13911209" w:rsidR="001E3B27" w:rsidRPr="00DF0547" w:rsidRDefault="001E3B27" w:rsidP="001E3B27">
      <w:pPr>
        <w:pStyle w:val="ATHeading1"/>
      </w:pPr>
      <w:bookmarkStart w:id="0" w:name="TANumber"/>
      <w:r w:rsidRPr="00FD2A00">
        <w:t>P10_TA(2025)0</w:t>
      </w:r>
      <w:r w:rsidR="00DF0547" w:rsidRPr="00304E73">
        <w:t>226</w:t>
      </w:r>
      <w:bookmarkEnd w:id="0"/>
    </w:p>
    <w:p w14:paraId="6A890F75" w14:textId="21CEC9AE" w:rsidR="001E3B27" w:rsidRPr="00FD2A00" w:rsidRDefault="001E3B27" w:rsidP="001E3B27">
      <w:pPr>
        <w:pStyle w:val="ATHeading2"/>
      </w:pPr>
      <w:bookmarkStart w:id="1" w:name="title"/>
      <w:r w:rsidRPr="00FD2A00">
        <w:t xml:space="preserve">Σύσταση και λειτουργία των ευρωπαϊκών συμβουλίων εργαζομένων </w:t>
      </w:r>
      <w:r w:rsidR="00C1595C">
        <w:t>–</w:t>
      </w:r>
      <w:r w:rsidRPr="00FD2A00">
        <w:t xml:space="preserve"> αποτελεσματική επιβολή</w:t>
      </w:r>
      <w:bookmarkEnd w:id="1"/>
    </w:p>
    <w:p w14:paraId="2722E6A7" w14:textId="77777777" w:rsidR="001E3B27" w:rsidRPr="00FD2A00" w:rsidRDefault="001E3B27" w:rsidP="001E3B27">
      <w:pPr>
        <w:rPr>
          <w:i/>
          <w:vanish/>
        </w:rPr>
      </w:pPr>
      <w:r w:rsidRPr="00FD2A00">
        <w:rPr>
          <w:i/>
        </w:rPr>
        <w:fldChar w:fldCharType="begin"/>
      </w:r>
      <w:r w:rsidRPr="00FD2A00">
        <w:rPr>
          <w:i/>
        </w:rPr>
        <w:instrText xml:space="preserve"> TC"(</w:instrText>
      </w:r>
      <w:bookmarkStart w:id="2" w:name="DocNumber"/>
      <w:r w:rsidRPr="00FD2A00">
        <w:rPr>
          <w:i/>
        </w:rPr>
        <w:instrText>A10-0029/2024</w:instrText>
      </w:r>
      <w:bookmarkEnd w:id="2"/>
      <w:r w:rsidRPr="00FD2A00">
        <w:rPr>
          <w:i/>
        </w:rPr>
        <w:instrText xml:space="preserve"> - Εισηγητής: Dennis Radtke)"\l3 \n&gt; \* MERGEFORMAT </w:instrText>
      </w:r>
      <w:r w:rsidRPr="00FD2A00">
        <w:rPr>
          <w:i/>
        </w:rPr>
        <w:fldChar w:fldCharType="end"/>
      </w:r>
    </w:p>
    <w:p w14:paraId="00F764C5" w14:textId="77777777" w:rsidR="001E3B27" w:rsidRPr="00FD2A00" w:rsidRDefault="001E3B27" w:rsidP="001E3B27">
      <w:pPr>
        <w:rPr>
          <w:vanish/>
        </w:rPr>
      </w:pPr>
      <w:bookmarkStart w:id="3" w:name="Commission"/>
      <w:r w:rsidRPr="00FD2A00">
        <w:rPr>
          <w:vanish/>
        </w:rPr>
        <w:t>Επιτροπή Απασχόλησης και Κοινωνικών Υποθέσεων</w:t>
      </w:r>
      <w:bookmarkEnd w:id="3"/>
    </w:p>
    <w:p w14:paraId="2DE193B6" w14:textId="77777777" w:rsidR="001E3B27" w:rsidRPr="00FD2A00" w:rsidRDefault="001E3B27" w:rsidP="001E3B27">
      <w:pPr>
        <w:rPr>
          <w:vanish/>
        </w:rPr>
      </w:pPr>
      <w:bookmarkStart w:id="4" w:name="PE"/>
      <w:r w:rsidRPr="00FD2A00">
        <w:rPr>
          <w:vanish/>
        </w:rPr>
        <w:t>PE766.796</w:t>
      </w:r>
      <w:bookmarkEnd w:id="4"/>
    </w:p>
    <w:p w14:paraId="41EC8529" w14:textId="165F2DCD" w:rsidR="001E3B27" w:rsidRPr="00FD2A00" w:rsidRDefault="001E3B27" w:rsidP="001E3B27">
      <w:pPr>
        <w:pStyle w:val="ATHeading3"/>
      </w:pPr>
      <w:bookmarkStart w:id="5" w:name="Sujet"/>
      <w:r w:rsidRPr="00FD2A00">
        <w:t xml:space="preserve">Νομοθετικό ψήφισμα του Ευρωπαϊκού Κοινοβουλίου </w:t>
      </w:r>
      <w:r w:rsidR="00BF565A">
        <w:t xml:space="preserve">της </w:t>
      </w:r>
      <w:r w:rsidR="006A4A09">
        <w:t>9ης</w:t>
      </w:r>
      <w:r w:rsidR="00BF565A">
        <w:t xml:space="preserve"> Οκτωβρίου 2025 </w:t>
      </w:r>
      <w:r w:rsidRPr="00FD2A00">
        <w:t>σχετικά με την πρόταση οδηγίας του Ευρωπαϊκού Κοινοβουλίου και του Συμβουλίου για την τροποποίηση της οδηγίας 2009/38/ΕΚ όσον αφορά τη σύσταση και τη λειτουργία ευρωπαϊκών συμβουλίων εργαζομένων και την αποτελεσματική επιβολή των δικαιωμάτων διακρατικής ενημέρωσης και διαβούλευσης</w:t>
      </w:r>
      <w:bookmarkEnd w:id="5"/>
      <w:r w:rsidRPr="00FD2A00">
        <w:t xml:space="preserve"> </w:t>
      </w:r>
      <w:bookmarkStart w:id="6" w:name="References"/>
      <w:r w:rsidRPr="00FD2A00">
        <w:t>(COM(2024)0014 – C9-0012/2024 – 2024/0006(COD))</w:t>
      </w:r>
      <w:bookmarkEnd w:id="6"/>
    </w:p>
    <w:p w14:paraId="5DBA6906" w14:textId="77777777" w:rsidR="00021FD6" w:rsidRPr="00FD2A00" w:rsidRDefault="00021FD6" w:rsidP="00021FD6">
      <w:pPr>
        <w:pStyle w:val="NormalBold"/>
      </w:pPr>
      <w:r w:rsidRPr="00FD2A00">
        <w:t>(Συνήθης νομοθετική διαδικασία: πρώτη ανάγνωση)</w:t>
      </w:r>
    </w:p>
    <w:p w14:paraId="535BF4AE" w14:textId="77777777" w:rsidR="00021FD6" w:rsidRPr="00FD2A00" w:rsidRDefault="00021FD6" w:rsidP="00021FD6">
      <w:pPr>
        <w:pStyle w:val="EPComma"/>
      </w:pPr>
      <w:r w:rsidRPr="00FD2A00">
        <w:rPr>
          <w:i/>
          <w:iCs/>
        </w:rPr>
        <w:t>Το Ευρωπαϊκό Κοινοβούλιο</w:t>
      </w:r>
      <w:r w:rsidRPr="00FD2A00">
        <w:t>,</w:t>
      </w:r>
    </w:p>
    <w:p w14:paraId="09C68776" w14:textId="77777777" w:rsidR="00021FD6" w:rsidRPr="00FD2A00" w:rsidRDefault="00021FD6" w:rsidP="00021FD6">
      <w:pPr>
        <w:pStyle w:val="NormalHanging12a"/>
      </w:pPr>
      <w:r w:rsidRPr="00FD2A00">
        <w:t>–</w:t>
      </w:r>
      <w:r w:rsidRPr="00FD2A00">
        <w:tab/>
        <w:t>έχοντας υπόψη την πρόταση της Επιτροπής προς το Κοινοβούλιο και το Συμβούλιο (COM(2024)0014),</w:t>
      </w:r>
    </w:p>
    <w:p w14:paraId="204781F3" w14:textId="4450CFC5" w:rsidR="00021FD6" w:rsidRPr="00FD2A00" w:rsidRDefault="00021FD6" w:rsidP="00021FD6">
      <w:pPr>
        <w:pStyle w:val="NormalHanging12a"/>
      </w:pPr>
      <w:r w:rsidRPr="00FD2A00">
        <w:t>–</w:t>
      </w:r>
      <w:r w:rsidRPr="00FD2A00">
        <w:tab/>
        <w:t>έχοντας υπόψη το άρθρο 294 παράγραφος 2 και το άρθρο 153 παράγραφος 1 στοιχείο ε) σε συνδυασμό με το άρθρο 153 παράγραφος 2 στοιχείο β) της Συνθήκης για τη λειτουργία της Ευρωπαϊκής Ένωσης, σύμφωνα με τα οποία του υποβλήθηκε η πρόταση από την Επιτροπή (C9</w:t>
      </w:r>
      <w:r w:rsidRPr="00FD2A00">
        <w:noBreakHyphen/>
        <w:t>0012/2024),</w:t>
      </w:r>
    </w:p>
    <w:p w14:paraId="72511713" w14:textId="77777777" w:rsidR="00021FD6" w:rsidRPr="00FD2A00" w:rsidRDefault="00021FD6" w:rsidP="00021FD6">
      <w:pPr>
        <w:pStyle w:val="NormalHanging12a"/>
      </w:pPr>
      <w:r w:rsidRPr="00FD2A00">
        <w:t>–</w:t>
      </w:r>
      <w:r w:rsidRPr="00FD2A00">
        <w:tab/>
        <w:t>έχοντας υπόψη το άρθρο 294 παράγραφος 3 της Συνθήκης για τη λειτουργία της Ευρωπαϊκής Ένωσης,</w:t>
      </w:r>
    </w:p>
    <w:p w14:paraId="2BEF1EE7" w14:textId="77777777" w:rsidR="00021FD6" w:rsidRPr="00FD2A00" w:rsidRDefault="00021FD6" w:rsidP="00021FD6">
      <w:pPr>
        <w:pStyle w:val="NormalHanging12a"/>
      </w:pPr>
      <w:r w:rsidRPr="00FD2A00">
        <w:t>–</w:t>
      </w:r>
      <w:r w:rsidRPr="00FD2A00">
        <w:tab/>
        <w:t>έχοντας υπόψη τη γνώμη της Ευρωπαϊκής Οικονομικής και Κοινωνικής Επιτροπής της 30ής Μαΐου 2024</w:t>
      </w:r>
      <w:r w:rsidRPr="00FD2A00">
        <w:rPr>
          <w:rStyle w:val="FootnoteReference"/>
        </w:rPr>
        <w:footnoteReference w:id="1"/>
      </w:r>
      <w:r w:rsidRPr="00FD2A00">
        <w:t>,</w:t>
      </w:r>
    </w:p>
    <w:p w14:paraId="0F814615" w14:textId="77777777" w:rsidR="00021FD6" w:rsidRDefault="00021FD6" w:rsidP="00021FD6">
      <w:pPr>
        <w:pStyle w:val="NormalHanging12a"/>
      </w:pPr>
      <w:r w:rsidRPr="00FD2A00">
        <w:t>–</w:t>
      </w:r>
      <w:r w:rsidRPr="00FD2A00">
        <w:tab/>
        <w:t>κατόπιν διαβούλευσης με την Επιτροπή των Περιφερειών,</w:t>
      </w:r>
    </w:p>
    <w:p w14:paraId="346B4890" w14:textId="1804FF33" w:rsidR="00BF565A" w:rsidRPr="00FD2A00" w:rsidRDefault="00BF565A" w:rsidP="00021FD6">
      <w:pPr>
        <w:pStyle w:val="NormalHanging12a"/>
      </w:pPr>
      <w:r w:rsidRPr="00FD2A00">
        <w:t>–</w:t>
      </w:r>
      <w:r w:rsidRPr="00FD2A00">
        <w:tab/>
      </w:r>
      <w:r w:rsidRPr="00BF565A">
        <w:t>έχοντας υπόψη την προσωρινή συμφωνία που εγκρίθηκε από την αρμόδια επιτροπή σύμφωνα με το άρθρο 75 παράγραφος 4 του Κανονισμού του</w:t>
      </w:r>
      <w:r>
        <w:t xml:space="preserve"> και τη δέσμευση </w:t>
      </w:r>
      <w:r w:rsidRPr="00BF565A">
        <w:t xml:space="preserve">που ανέλαβε ο εκπρόσωπος του Συμβουλίου, με επιστολή της </w:t>
      </w:r>
      <w:r w:rsidR="002268F5" w:rsidRPr="00DF0547">
        <w:t>2</w:t>
      </w:r>
      <w:r>
        <w:t>8</w:t>
      </w:r>
      <w:r w:rsidRPr="00BF565A">
        <w:t xml:space="preserve">ης </w:t>
      </w:r>
      <w:r>
        <w:t>Μαΐου</w:t>
      </w:r>
      <w:r w:rsidRPr="00BF565A">
        <w:t xml:space="preserve"> 202</w:t>
      </w:r>
      <w:r>
        <w:t>5</w:t>
      </w:r>
      <w:r w:rsidRPr="00BF565A">
        <w:t>, να εγκρίνει τη θέση του Ευρωπαϊκού Κοινοβουλίου, σύμφωνα με το άρθρο 294 παράγραφος 4 της Συνθήκης για τη λειτουργία της Ευρωπαϊκής Ένωσης,</w:t>
      </w:r>
    </w:p>
    <w:p w14:paraId="6D6A5603" w14:textId="77777777" w:rsidR="00021FD6" w:rsidRPr="00FD2A00" w:rsidRDefault="00021FD6" w:rsidP="00021FD6">
      <w:pPr>
        <w:pStyle w:val="NormalHanging12a"/>
      </w:pPr>
      <w:r w:rsidRPr="00FD2A00">
        <w:t>–</w:t>
      </w:r>
      <w:r w:rsidRPr="00FD2A00">
        <w:tab/>
        <w:t>έχοντας υπόψη το άρθρο 60 του Κανονισμού του,</w:t>
      </w:r>
    </w:p>
    <w:p w14:paraId="2372AEBF" w14:textId="77777777" w:rsidR="00021FD6" w:rsidRPr="00FD2A00" w:rsidRDefault="00021FD6" w:rsidP="00021FD6">
      <w:pPr>
        <w:pStyle w:val="NormalHanging12a"/>
      </w:pPr>
      <w:r w:rsidRPr="00FD2A00">
        <w:t>–</w:t>
      </w:r>
      <w:r w:rsidRPr="00FD2A00">
        <w:tab/>
        <w:t xml:space="preserve">έχοντας υπόψη την έκθεση της Επιτροπής Απασχόλησης και Κοινωνικών Υποθέσεων </w:t>
      </w:r>
      <w:r w:rsidRPr="00FD2A00">
        <w:lastRenderedPageBreak/>
        <w:t>(A10-0029/2024),</w:t>
      </w:r>
    </w:p>
    <w:p w14:paraId="01A6A065" w14:textId="77777777" w:rsidR="00021FD6" w:rsidRPr="00DF0547" w:rsidRDefault="00021FD6" w:rsidP="00021FD6">
      <w:pPr>
        <w:pStyle w:val="NormalHanging12a"/>
      </w:pPr>
      <w:r w:rsidRPr="00FD2A00">
        <w:t>1.</w:t>
      </w:r>
      <w:r w:rsidRPr="00FD2A00">
        <w:tab/>
        <w:t>εγκρίνει τη θέση του σε πρώτη ανάγνωση όπως παρατίθεται κατωτέρω·</w:t>
      </w:r>
    </w:p>
    <w:p w14:paraId="1DBBA7F2" w14:textId="0FDF9D2C" w:rsidR="00CF5E8F" w:rsidRPr="00CF5E8F" w:rsidRDefault="00CF5E8F" w:rsidP="00021FD6">
      <w:pPr>
        <w:pStyle w:val="NormalHanging12a"/>
      </w:pPr>
      <w:r w:rsidRPr="00DF0547">
        <w:t>2.</w:t>
      </w:r>
      <w:r w:rsidRPr="00DF0547">
        <w:tab/>
      </w:r>
      <w:r w:rsidRPr="00CF5E8F"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4AB8A0E4" w14:textId="75BB4588" w:rsidR="009F19BD" w:rsidRDefault="00CF5E8F" w:rsidP="00021FD6">
      <w:pPr>
        <w:pStyle w:val="NormalHanging12a"/>
        <w:sectPr w:rsidR="009F19BD" w:rsidSect="00E831E9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DF0547">
        <w:t>3</w:t>
      </w:r>
      <w:r w:rsidR="00021FD6" w:rsidRPr="00FD2A00">
        <w:t>.</w:t>
      </w:r>
      <w:r w:rsidR="00021FD6" w:rsidRPr="00FD2A00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14:paraId="360B572F" w14:textId="3645DBEB" w:rsidR="009F19BD" w:rsidRPr="00D84238" w:rsidRDefault="009F19BD" w:rsidP="009F19B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P10</w:t>
      </w:r>
      <w:r w:rsidRPr="00D31F2E">
        <w:rPr>
          <w:b/>
        </w:rPr>
        <w:t>_</w:t>
      </w:r>
      <w:r>
        <w:rPr>
          <w:b/>
        </w:rPr>
        <w:t>TC</w:t>
      </w:r>
      <w:r w:rsidRPr="00D31F2E">
        <w:rPr>
          <w:b/>
        </w:rPr>
        <w:t>1-</w:t>
      </w:r>
      <w:r>
        <w:rPr>
          <w:b/>
        </w:rPr>
        <w:t>COD</w:t>
      </w:r>
      <w:r w:rsidRPr="00D31F2E">
        <w:rPr>
          <w:b/>
        </w:rPr>
        <w:t>(202</w:t>
      </w:r>
      <w:r>
        <w:rPr>
          <w:b/>
        </w:rPr>
        <w:t>4</w:t>
      </w:r>
      <w:r w:rsidRPr="00D31F2E">
        <w:rPr>
          <w:b/>
        </w:rPr>
        <w:t>)0</w:t>
      </w:r>
      <w:r>
        <w:rPr>
          <w:b/>
        </w:rPr>
        <w:t>006</w:t>
      </w:r>
    </w:p>
    <w:p w14:paraId="52D732B0" w14:textId="26D23439" w:rsidR="009F19BD" w:rsidRPr="009F19BD" w:rsidRDefault="009F19BD" w:rsidP="009F19BD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 w:rsidR="006A4A09" w:rsidRPr="006A4A09">
        <w:rPr>
          <w:b/>
        </w:rPr>
        <w:t>9</w:t>
      </w:r>
      <w:r>
        <w:rPr>
          <w:b/>
        </w:rPr>
        <w:t xml:space="preserve"> Οκτωβρίου 2025 </w:t>
      </w:r>
      <w:r w:rsidRPr="00C96A0A">
        <w:rPr>
          <w:b/>
        </w:rPr>
        <w:t xml:space="preserve">εν όψει της έγκρισης </w:t>
      </w:r>
      <w:r>
        <w:rPr>
          <w:b/>
        </w:rPr>
        <w:t xml:space="preserve">οδηγίας (ΕΕ) 2025/… του Ευρωπαϊκού Κοινοβουλίου και του Συμβουλίου </w:t>
      </w:r>
      <w:r w:rsidRPr="009F19BD">
        <w:rPr>
          <w:rFonts w:eastAsia="Calibri"/>
          <w:b/>
          <w:szCs w:val="22"/>
          <w:lang w:eastAsia="en-US"/>
        </w:rPr>
        <w:t>για την τροποποίηση της οδηγίας 2009/38/ΕΚ όσον αφορά τη σύσταση και τη λειτουργία ευρωπαϊκών συμβουλίων εργαζομένων και την αποτελεσματική επιβολή των δικαιωμάτων διακρατικής ενημέρωσης και διαβούλευσης</w:t>
      </w:r>
    </w:p>
    <w:p w14:paraId="7D3D679F" w14:textId="2823DA1A" w:rsidR="00A77A2C" w:rsidRPr="00A77A2C" w:rsidRDefault="00A77A2C" w:rsidP="00A77A2C">
      <w:pPr>
        <w:pStyle w:val="NormalHanging12a"/>
        <w:ind w:left="0" w:firstLine="0"/>
        <w:rPr>
          <w:rFonts w:eastAsia="Calibri"/>
          <w:szCs w:val="22"/>
          <w:lang w:eastAsia="en-US"/>
        </w:rPr>
      </w:pPr>
      <w:r w:rsidRPr="00A77A2C">
        <w:rPr>
          <w:rFonts w:eastAsia="Calibri"/>
          <w:i/>
          <w:szCs w:val="22"/>
          <w:lang w:eastAsia="en-US"/>
        </w:rPr>
        <w:t>(Καθώς έχει επιτευχθεί συμφωνία μεταξύ του Κοινοβουλίου και του Συμβουλίου, η θέση του Κοινοβουλίου αντιστοιχεί στην τελική νομοθετική πράξη, οδηγία (ΕΕ) 2025/24</w:t>
      </w:r>
      <w:r>
        <w:rPr>
          <w:rFonts w:eastAsia="Calibri"/>
          <w:i/>
          <w:szCs w:val="22"/>
          <w:lang w:eastAsia="en-US"/>
        </w:rPr>
        <w:t>50</w:t>
      </w:r>
      <w:r w:rsidRPr="00A77A2C">
        <w:rPr>
          <w:rFonts w:eastAsia="Calibri"/>
          <w:i/>
          <w:szCs w:val="22"/>
          <w:lang w:eastAsia="en-US"/>
        </w:rPr>
        <w:t>.)</w:t>
      </w:r>
    </w:p>
    <w:p w14:paraId="5FEB50BF" w14:textId="77777777" w:rsidR="009F19BD" w:rsidRPr="00FD2A00" w:rsidRDefault="009F19BD" w:rsidP="00A77A2C">
      <w:pPr>
        <w:widowControl/>
        <w:spacing w:before="360" w:after="240" w:line="360" w:lineRule="auto"/>
        <w:jc w:val="center"/>
      </w:pPr>
    </w:p>
    <w:sectPr w:rsidR="009F19BD" w:rsidRPr="00FD2A00" w:rsidSect="00A77A2C">
      <w:footerReference w:type="default" r:id="rId9"/>
      <w:footnotePr>
        <w:numRestart w:val="eachSect"/>
      </w:footnotePr>
      <w:pgSz w:w="11907" w:h="16840" w:code="9"/>
      <w:pgMar w:top="1134" w:right="1418" w:bottom="1418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1D78B" w14:textId="77777777" w:rsidR="001E3B27" w:rsidRPr="00FD2A00" w:rsidRDefault="001E3B27">
      <w:r w:rsidRPr="00FD2A00">
        <w:separator/>
      </w:r>
    </w:p>
  </w:endnote>
  <w:endnote w:type="continuationSeparator" w:id="0">
    <w:p w14:paraId="19CDFF59" w14:textId="77777777" w:rsidR="001E3B27" w:rsidRPr="00FD2A00" w:rsidRDefault="001E3B27">
      <w:r w:rsidRPr="00FD2A0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A1A41" w14:textId="2B5DB1D1" w:rsidR="009F19BD" w:rsidRPr="006A4A09" w:rsidRDefault="009F19BD" w:rsidP="006A4A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374DD" w14:textId="77777777" w:rsidR="001E3B27" w:rsidRPr="00FD2A00" w:rsidRDefault="001E3B27">
      <w:r w:rsidRPr="00FD2A00">
        <w:separator/>
      </w:r>
    </w:p>
  </w:footnote>
  <w:footnote w:type="continuationSeparator" w:id="0">
    <w:p w14:paraId="4919D28D" w14:textId="77777777" w:rsidR="001E3B27" w:rsidRPr="00FD2A00" w:rsidRDefault="001E3B27">
      <w:r w:rsidRPr="00FD2A00">
        <w:continuationSeparator/>
      </w:r>
    </w:p>
  </w:footnote>
  <w:footnote w:id="1">
    <w:p w14:paraId="5D779BA9" w14:textId="49EB889F" w:rsidR="00021FD6" w:rsidRPr="00304E73" w:rsidRDefault="00021FD6" w:rsidP="00C1595C">
      <w:pPr>
        <w:pStyle w:val="FootnoteText"/>
        <w:tabs>
          <w:tab w:val="left" w:pos="567"/>
        </w:tabs>
        <w:ind w:left="567" w:hanging="567"/>
        <w:rPr>
          <w:sz w:val="24"/>
          <w:lang w:val="fi-FI"/>
        </w:rPr>
      </w:pPr>
      <w:r w:rsidRPr="00FD2A00">
        <w:rPr>
          <w:rStyle w:val="FootnoteReference"/>
          <w:sz w:val="24"/>
          <w:lang w:val="el-GR"/>
        </w:rPr>
        <w:footnoteRef/>
      </w:r>
      <w:r w:rsidR="00FD2A00" w:rsidRPr="00304E73">
        <w:rPr>
          <w:sz w:val="24"/>
          <w:lang w:val="fi-FI"/>
        </w:rPr>
        <w:t xml:space="preserve"> </w:t>
      </w:r>
      <w:r w:rsidR="00FD2A00" w:rsidRPr="00304E73">
        <w:rPr>
          <w:sz w:val="24"/>
          <w:lang w:val="fi-FI"/>
        </w:rPr>
        <w:tab/>
      </w:r>
      <w:r w:rsidR="00304E73">
        <w:rPr>
          <w:sz w:val="24"/>
          <w:lang w:val="el-GR"/>
        </w:rPr>
        <w:t>ΕΕ</w:t>
      </w:r>
      <w:r w:rsidR="00304E73" w:rsidRPr="00304E73">
        <w:rPr>
          <w:sz w:val="24"/>
          <w:lang w:val="fi-FI"/>
        </w:rPr>
        <w:t xml:space="preserve"> C, C/2024/4664, 9.8.2024, ELI: </w:t>
      </w:r>
      <w:hyperlink r:id="rId1" w:history="1">
        <w:r w:rsidR="00304E73" w:rsidRPr="00573B22">
          <w:rPr>
            <w:rStyle w:val="Hyperlink"/>
            <w:sz w:val="24"/>
            <w:lang w:val="fi-FI"/>
          </w:rPr>
          <w:t>http://data.europa.eu/eli/C/2024/4664/oj</w:t>
        </w:r>
      </w:hyperlink>
      <w:r w:rsidRPr="00304E73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8C6164A"/>
    <w:multiLevelType w:val="hybridMultilevel"/>
    <w:tmpl w:val="5CF483D0"/>
    <w:lvl w:ilvl="0" w:tplc="743EF400">
      <w:start w:val="1"/>
      <w:numFmt w:val="decimal"/>
      <w:lvlText w:val="%1."/>
      <w:lvlJc w:val="left"/>
      <w:pPr>
        <w:ind w:left="1405" w:hanging="5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930" w:hanging="360"/>
      </w:pPr>
    </w:lvl>
    <w:lvl w:ilvl="2" w:tplc="080C001B" w:tentative="1">
      <w:start w:val="1"/>
      <w:numFmt w:val="lowerRoman"/>
      <w:lvlText w:val="%3."/>
      <w:lvlJc w:val="right"/>
      <w:pPr>
        <w:ind w:left="2650" w:hanging="180"/>
      </w:pPr>
    </w:lvl>
    <w:lvl w:ilvl="3" w:tplc="080C000F" w:tentative="1">
      <w:start w:val="1"/>
      <w:numFmt w:val="decimal"/>
      <w:lvlText w:val="%4."/>
      <w:lvlJc w:val="left"/>
      <w:pPr>
        <w:ind w:left="3370" w:hanging="360"/>
      </w:pPr>
    </w:lvl>
    <w:lvl w:ilvl="4" w:tplc="080C0019" w:tentative="1">
      <w:start w:val="1"/>
      <w:numFmt w:val="lowerLetter"/>
      <w:lvlText w:val="%5."/>
      <w:lvlJc w:val="left"/>
      <w:pPr>
        <w:ind w:left="4090" w:hanging="360"/>
      </w:pPr>
    </w:lvl>
    <w:lvl w:ilvl="5" w:tplc="080C001B" w:tentative="1">
      <w:start w:val="1"/>
      <w:numFmt w:val="lowerRoman"/>
      <w:lvlText w:val="%6."/>
      <w:lvlJc w:val="right"/>
      <w:pPr>
        <w:ind w:left="4810" w:hanging="180"/>
      </w:pPr>
    </w:lvl>
    <w:lvl w:ilvl="6" w:tplc="080C000F" w:tentative="1">
      <w:start w:val="1"/>
      <w:numFmt w:val="decimal"/>
      <w:lvlText w:val="%7."/>
      <w:lvlJc w:val="left"/>
      <w:pPr>
        <w:ind w:left="5530" w:hanging="360"/>
      </w:pPr>
    </w:lvl>
    <w:lvl w:ilvl="7" w:tplc="080C0019" w:tentative="1">
      <w:start w:val="1"/>
      <w:numFmt w:val="lowerLetter"/>
      <w:lvlText w:val="%8."/>
      <w:lvlJc w:val="left"/>
      <w:pPr>
        <w:ind w:left="6250" w:hanging="360"/>
      </w:pPr>
    </w:lvl>
    <w:lvl w:ilvl="8" w:tplc="080C001B" w:tentative="1">
      <w:start w:val="1"/>
      <w:numFmt w:val="lowerRoman"/>
      <w:lvlText w:val="%9."/>
      <w:lvlJc w:val="right"/>
      <w:pPr>
        <w:ind w:left="6970" w:hanging="180"/>
      </w:pPr>
    </w:lvl>
  </w:abstractNum>
  <w:num w:numId="1" w16cid:durableId="570310891">
    <w:abstractNumId w:val="9"/>
  </w:num>
  <w:num w:numId="2" w16cid:durableId="1386489508">
    <w:abstractNumId w:val="9"/>
  </w:num>
  <w:num w:numId="3" w16cid:durableId="1601599777">
    <w:abstractNumId w:val="7"/>
  </w:num>
  <w:num w:numId="4" w16cid:durableId="57288237">
    <w:abstractNumId w:val="7"/>
  </w:num>
  <w:num w:numId="5" w16cid:durableId="1378891540">
    <w:abstractNumId w:val="6"/>
  </w:num>
  <w:num w:numId="6" w16cid:durableId="1483623098">
    <w:abstractNumId w:val="6"/>
  </w:num>
  <w:num w:numId="7" w16cid:durableId="518853551">
    <w:abstractNumId w:val="5"/>
  </w:num>
  <w:num w:numId="8" w16cid:durableId="1074399730">
    <w:abstractNumId w:val="5"/>
  </w:num>
  <w:num w:numId="9" w16cid:durableId="1806199962">
    <w:abstractNumId w:val="4"/>
  </w:num>
  <w:num w:numId="10" w16cid:durableId="55785798">
    <w:abstractNumId w:val="4"/>
  </w:num>
  <w:num w:numId="11" w16cid:durableId="25523925">
    <w:abstractNumId w:val="8"/>
  </w:num>
  <w:num w:numId="12" w16cid:durableId="1888955548">
    <w:abstractNumId w:val="8"/>
  </w:num>
  <w:num w:numId="13" w16cid:durableId="732654691">
    <w:abstractNumId w:val="3"/>
  </w:num>
  <w:num w:numId="14" w16cid:durableId="1675181637">
    <w:abstractNumId w:val="3"/>
  </w:num>
  <w:num w:numId="15" w16cid:durableId="134687315">
    <w:abstractNumId w:val="2"/>
  </w:num>
  <w:num w:numId="16" w16cid:durableId="76636402">
    <w:abstractNumId w:val="2"/>
  </w:num>
  <w:num w:numId="17" w16cid:durableId="1867406920">
    <w:abstractNumId w:val="1"/>
  </w:num>
  <w:num w:numId="18" w16cid:durableId="1452434115">
    <w:abstractNumId w:val="1"/>
  </w:num>
  <w:num w:numId="19" w16cid:durableId="1782606426">
    <w:abstractNumId w:val="0"/>
  </w:num>
  <w:num w:numId="20" w16cid:durableId="1278682930">
    <w:abstractNumId w:val="0"/>
  </w:num>
  <w:num w:numId="21" w16cid:durableId="815607947">
    <w:abstractNumId w:val="9"/>
  </w:num>
  <w:num w:numId="22" w16cid:durableId="2091389747">
    <w:abstractNumId w:val="7"/>
  </w:num>
  <w:num w:numId="23" w16cid:durableId="1710494551">
    <w:abstractNumId w:val="6"/>
  </w:num>
  <w:num w:numId="24" w16cid:durableId="362679257">
    <w:abstractNumId w:val="5"/>
  </w:num>
  <w:num w:numId="25" w16cid:durableId="55981233">
    <w:abstractNumId w:val="4"/>
  </w:num>
  <w:num w:numId="26" w16cid:durableId="843085163">
    <w:abstractNumId w:val="8"/>
  </w:num>
  <w:num w:numId="27" w16cid:durableId="1131480944">
    <w:abstractNumId w:val="3"/>
  </w:num>
  <w:num w:numId="28" w16cid:durableId="132330548">
    <w:abstractNumId w:val="2"/>
  </w:num>
  <w:num w:numId="29" w16cid:durableId="269242097">
    <w:abstractNumId w:val="1"/>
  </w:num>
  <w:num w:numId="30" w16cid:durableId="880553859">
    <w:abstractNumId w:val="0"/>
  </w:num>
  <w:num w:numId="31" w16cid:durableId="1678192721">
    <w:abstractNumId w:val="9"/>
  </w:num>
  <w:num w:numId="32" w16cid:durableId="2059472874">
    <w:abstractNumId w:val="7"/>
  </w:num>
  <w:num w:numId="33" w16cid:durableId="163325799">
    <w:abstractNumId w:val="6"/>
  </w:num>
  <w:num w:numId="34" w16cid:durableId="787548494">
    <w:abstractNumId w:val="5"/>
  </w:num>
  <w:num w:numId="35" w16cid:durableId="85852694">
    <w:abstractNumId w:val="4"/>
  </w:num>
  <w:num w:numId="36" w16cid:durableId="1438793315">
    <w:abstractNumId w:val="8"/>
  </w:num>
  <w:num w:numId="37" w16cid:durableId="2007201178">
    <w:abstractNumId w:val="3"/>
  </w:num>
  <w:num w:numId="38" w16cid:durableId="1350136277">
    <w:abstractNumId w:val="2"/>
  </w:num>
  <w:num w:numId="39" w16cid:durableId="878971680">
    <w:abstractNumId w:val="1"/>
  </w:num>
  <w:num w:numId="40" w16cid:durableId="448361392">
    <w:abstractNumId w:val="0"/>
  </w:num>
  <w:num w:numId="41" w16cid:durableId="639964788">
    <w:abstractNumId w:val="10"/>
  </w:num>
  <w:num w:numId="42" w16cid:durableId="1058166499">
    <w:abstractNumId w:val="10"/>
  </w:num>
  <w:num w:numId="43" w16cid:durableId="2049530645">
    <w:abstractNumId w:val="10"/>
  </w:num>
  <w:num w:numId="44" w16cid:durableId="1753359168">
    <w:abstractNumId w:val="11"/>
  </w:num>
  <w:num w:numId="45" w16cid:durableId="28770778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9/2024"/>
    <w:docVar w:name="dvlangue" w:val="EL"/>
    <w:docVar w:name="dvnumam" w:val="78"/>
    <w:docVar w:name="dvpe" w:val="766.796"/>
    <w:docVar w:name="dvrapporteur" w:val="Εισηγητής: "/>
    <w:docVar w:name="dvtitre" w:val="Νομοθετικό ψήφισμα του Ευρωπαϊκού Κοινοβουλίου σχετικά με την πρόταση οδηγίας του Ευρωπαϊκού Κοινοβουλίου και του Συμβουλίου για την τροποποίηση της οδηγίας 2009/38/ΕΚ όσον αφορά τη σύσταση και τη λειτουργία ευρωπαϊκών συμβουλίων εργαζομένων και την αποτελεσματική επιβολή των δικαιωμάτων διακρατικής ενημέρωσης και διαβούλευσης(COM(2024)0014 – C9-0012/2024 – 2024/0006(COD))"/>
  </w:docVars>
  <w:rsids>
    <w:rsidRoot w:val="001E3B27"/>
    <w:rsid w:val="00002272"/>
    <w:rsid w:val="00021FD6"/>
    <w:rsid w:val="00064002"/>
    <w:rsid w:val="000677B9"/>
    <w:rsid w:val="000831BA"/>
    <w:rsid w:val="000A42CC"/>
    <w:rsid w:val="000E7DD9"/>
    <w:rsid w:val="0010095E"/>
    <w:rsid w:val="00125B37"/>
    <w:rsid w:val="00187494"/>
    <w:rsid w:val="001E3B27"/>
    <w:rsid w:val="001F32AE"/>
    <w:rsid w:val="002268F5"/>
    <w:rsid w:val="00257D96"/>
    <w:rsid w:val="002767FF"/>
    <w:rsid w:val="002867B2"/>
    <w:rsid w:val="002B18FE"/>
    <w:rsid w:val="002B5493"/>
    <w:rsid w:val="00304E73"/>
    <w:rsid w:val="00343214"/>
    <w:rsid w:val="00344D05"/>
    <w:rsid w:val="00361C00"/>
    <w:rsid w:val="00395FA1"/>
    <w:rsid w:val="003E15D4"/>
    <w:rsid w:val="00411CCE"/>
    <w:rsid w:val="0041666E"/>
    <w:rsid w:val="00421060"/>
    <w:rsid w:val="00433DA1"/>
    <w:rsid w:val="00454366"/>
    <w:rsid w:val="00471C19"/>
    <w:rsid w:val="00482378"/>
    <w:rsid w:val="004867E3"/>
    <w:rsid w:val="00494A28"/>
    <w:rsid w:val="004C0004"/>
    <w:rsid w:val="004C5D52"/>
    <w:rsid w:val="004E30BE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4A09"/>
    <w:rsid w:val="006B6681"/>
    <w:rsid w:val="006F74FA"/>
    <w:rsid w:val="00731ADD"/>
    <w:rsid w:val="00734777"/>
    <w:rsid w:val="00747932"/>
    <w:rsid w:val="00751A4A"/>
    <w:rsid w:val="00756632"/>
    <w:rsid w:val="00762C74"/>
    <w:rsid w:val="00786EC0"/>
    <w:rsid w:val="007D0A89"/>
    <w:rsid w:val="007D1690"/>
    <w:rsid w:val="007E22AD"/>
    <w:rsid w:val="00817416"/>
    <w:rsid w:val="00827F1A"/>
    <w:rsid w:val="00842779"/>
    <w:rsid w:val="00865F67"/>
    <w:rsid w:val="00881A7B"/>
    <w:rsid w:val="008840E5"/>
    <w:rsid w:val="00884E11"/>
    <w:rsid w:val="00887B3E"/>
    <w:rsid w:val="008C2AC6"/>
    <w:rsid w:val="00900146"/>
    <w:rsid w:val="00930C23"/>
    <w:rsid w:val="0093193B"/>
    <w:rsid w:val="009509D8"/>
    <w:rsid w:val="00950B64"/>
    <w:rsid w:val="00981893"/>
    <w:rsid w:val="009F19BD"/>
    <w:rsid w:val="00A1687D"/>
    <w:rsid w:val="00A43E52"/>
    <w:rsid w:val="00A4678D"/>
    <w:rsid w:val="00A61A9C"/>
    <w:rsid w:val="00A778C7"/>
    <w:rsid w:val="00A77A2C"/>
    <w:rsid w:val="00A77FE1"/>
    <w:rsid w:val="00AB29B8"/>
    <w:rsid w:val="00AB441E"/>
    <w:rsid w:val="00AB6293"/>
    <w:rsid w:val="00AE0928"/>
    <w:rsid w:val="00AE28F1"/>
    <w:rsid w:val="00AF3B82"/>
    <w:rsid w:val="00B12E95"/>
    <w:rsid w:val="00B22876"/>
    <w:rsid w:val="00B558F0"/>
    <w:rsid w:val="00BD48FE"/>
    <w:rsid w:val="00BD7BD8"/>
    <w:rsid w:val="00BE6ADC"/>
    <w:rsid w:val="00BF565A"/>
    <w:rsid w:val="00C05BFE"/>
    <w:rsid w:val="00C1595C"/>
    <w:rsid w:val="00C23CD4"/>
    <w:rsid w:val="00C61C0C"/>
    <w:rsid w:val="00C941CB"/>
    <w:rsid w:val="00CC2357"/>
    <w:rsid w:val="00CF071A"/>
    <w:rsid w:val="00CF5E8F"/>
    <w:rsid w:val="00D058B8"/>
    <w:rsid w:val="00D56C11"/>
    <w:rsid w:val="00D834A0"/>
    <w:rsid w:val="00D872DF"/>
    <w:rsid w:val="00D91E21"/>
    <w:rsid w:val="00DA7FCD"/>
    <w:rsid w:val="00DF0547"/>
    <w:rsid w:val="00E365E1"/>
    <w:rsid w:val="00E820A4"/>
    <w:rsid w:val="00E831E9"/>
    <w:rsid w:val="00EB006A"/>
    <w:rsid w:val="00EB4772"/>
    <w:rsid w:val="00EC18CD"/>
    <w:rsid w:val="00ED169E"/>
    <w:rsid w:val="00ED4235"/>
    <w:rsid w:val="00F04346"/>
    <w:rsid w:val="00F04E32"/>
    <w:rsid w:val="00F075DC"/>
    <w:rsid w:val="00F149E9"/>
    <w:rsid w:val="00F5134D"/>
    <w:rsid w:val="00F74202"/>
    <w:rsid w:val="00F87713"/>
    <w:rsid w:val="00FB4360"/>
    <w:rsid w:val="00FD0C70"/>
    <w:rsid w:val="00FD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3B9FD"/>
  <w15:chartTrackingRefBased/>
  <w15:docId w15:val="{003D012E-EE5B-464E-ADB9-35C2AA28C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21FD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21FD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21FD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21FD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21FD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21FD6"/>
    <w:rPr>
      <w:i/>
      <w:sz w:val="22"/>
      <w:lang w:val="el-GR"/>
    </w:rPr>
  </w:style>
  <w:style w:type="character" w:customStyle="1" w:styleId="Heading7Char">
    <w:name w:val="Heading 7 Char"/>
    <w:basedOn w:val="DefaultParagraphFont"/>
    <w:link w:val="Heading7"/>
    <w:semiHidden/>
    <w:rsid w:val="00021FD6"/>
    <w:rPr>
      <w:rFonts w:ascii="Arial" w:hAnsi="Arial"/>
      <w:sz w:val="24"/>
      <w:lang w:val="el-GR"/>
    </w:rPr>
  </w:style>
  <w:style w:type="character" w:customStyle="1" w:styleId="Heading8Char">
    <w:name w:val="Heading 8 Char"/>
    <w:basedOn w:val="DefaultParagraphFont"/>
    <w:link w:val="Heading8"/>
    <w:semiHidden/>
    <w:rsid w:val="00021FD6"/>
    <w:rPr>
      <w:rFonts w:ascii="Arial" w:hAnsi="Arial"/>
      <w:i/>
      <w:sz w:val="24"/>
      <w:lang w:val="el-GR"/>
    </w:rPr>
  </w:style>
  <w:style w:type="character" w:customStyle="1" w:styleId="Heading9Char">
    <w:name w:val="Heading 9 Char"/>
    <w:basedOn w:val="DefaultParagraphFont"/>
    <w:link w:val="Heading9"/>
    <w:semiHidden/>
    <w:rsid w:val="00021FD6"/>
    <w:rPr>
      <w:rFonts w:ascii="Arial" w:hAnsi="Arial"/>
      <w:b/>
      <w:i/>
      <w:sz w:val="18"/>
      <w:lang w:val="el-GR"/>
    </w:rPr>
  </w:style>
  <w:style w:type="paragraph" w:styleId="TOCHeading">
    <w:name w:val="TOC Heading"/>
    <w:basedOn w:val="Normal"/>
    <w:next w:val="Normal"/>
    <w:unhideWhenUsed/>
    <w:qFormat/>
    <w:rsid w:val="00021FD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21FD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21FD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21FD6"/>
    <w:pPr>
      <w:spacing w:after="120"/>
    </w:pPr>
  </w:style>
  <w:style w:type="paragraph" w:customStyle="1" w:styleId="PageHeading">
    <w:name w:val="PageHeading"/>
    <w:basedOn w:val="Normal"/>
    <w:rsid w:val="00021FD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021FD6"/>
    <w:rPr>
      <w:b/>
    </w:rPr>
  </w:style>
  <w:style w:type="paragraph" w:customStyle="1" w:styleId="NormalBold12a">
    <w:name w:val="NormalBold12a"/>
    <w:basedOn w:val="Normal"/>
    <w:rsid w:val="00021FD6"/>
    <w:pPr>
      <w:spacing w:after="240"/>
    </w:pPr>
    <w:rPr>
      <w:b/>
    </w:rPr>
  </w:style>
  <w:style w:type="paragraph" w:customStyle="1" w:styleId="AmJustText">
    <w:name w:val="AmJustText"/>
    <w:basedOn w:val="Normal"/>
    <w:rsid w:val="00021FD6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rsid w:val="00021FD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21FD6"/>
    <w:pPr>
      <w:spacing w:after="480"/>
      <w:ind w:left="1417"/>
    </w:pPr>
  </w:style>
  <w:style w:type="paragraph" w:customStyle="1" w:styleId="CoverNormal">
    <w:name w:val="CoverNormal"/>
    <w:basedOn w:val="Normal"/>
    <w:rsid w:val="00021FD6"/>
    <w:pPr>
      <w:ind w:left="1418"/>
    </w:pPr>
  </w:style>
  <w:style w:type="paragraph" w:customStyle="1" w:styleId="AmCrossRef">
    <w:name w:val="AmCrossRef"/>
    <w:basedOn w:val="Normal"/>
    <w:rsid w:val="00021FD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21FD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21FD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21FD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21FD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21FD6"/>
    <w:pPr>
      <w:spacing w:before="240" w:after="1200"/>
    </w:pPr>
  </w:style>
  <w:style w:type="paragraph" w:styleId="Header">
    <w:name w:val="header"/>
    <w:basedOn w:val="Normal"/>
    <w:link w:val="HeaderChar"/>
    <w:rsid w:val="00021F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21FD6"/>
    <w:rPr>
      <w:sz w:val="24"/>
      <w:lang w:val="el-GR"/>
    </w:rPr>
  </w:style>
  <w:style w:type="paragraph" w:customStyle="1" w:styleId="AmOrLang">
    <w:name w:val="AmOrLang"/>
    <w:basedOn w:val="Normal"/>
    <w:rsid w:val="00021FD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21FD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21FD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21FD6"/>
    <w:pPr>
      <w:spacing w:before="240"/>
    </w:pPr>
    <w:rPr>
      <w:b/>
    </w:rPr>
  </w:style>
  <w:style w:type="paragraph" w:customStyle="1" w:styleId="EPBody">
    <w:name w:val="EPBody"/>
    <w:basedOn w:val="Normal"/>
    <w:rsid w:val="00021FD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21FD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21FD6"/>
    <w:pPr>
      <w:spacing w:before="480" w:after="240"/>
    </w:pPr>
  </w:style>
  <w:style w:type="paragraph" w:customStyle="1" w:styleId="Lgendesigne">
    <w:name w:val="Légende signe"/>
    <w:basedOn w:val="Normal"/>
    <w:rsid w:val="00021FD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21FD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21FD6"/>
    <w:rPr>
      <w:sz w:val="18"/>
    </w:rPr>
  </w:style>
  <w:style w:type="paragraph" w:customStyle="1" w:styleId="msonormal0">
    <w:name w:val="msonormal"/>
    <w:basedOn w:val="Normal"/>
    <w:rsid w:val="00021FD6"/>
    <w:pPr>
      <w:widowControl/>
      <w:spacing w:before="100" w:beforeAutospacing="1" w:after="100" w:afterAutospacing="1"/>
    </w:pPr>
    <w:rPr>
      <w:szCs w:val="24"/>
    </w:rPr>
  </w:style>
  <w:style w:type="paragraph" w:styleId="CommentText">
    <w:name w:val="annotation text"/>
    <w:basedOn w:val="Normal"/>
    <w:link w:val="CommentTextChar"/>
    <w:unhideWhenUsed/>
    <w:rsid w:val="00021FD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21FD6"/>
    <w:rPr>
      <w:lang w:val="el-GR"/>
    </w:rPr>
  </w:style>
  <w:style w:type="paragraph" w:styleId="Footer">
    <w:name w:val="footer"/>
    <w:basedOn w:val="Normal"/>
    <w:link w:val="FooterChar"/>
    <w:unhideWhenUsed/>
    <w:rsid w:val="00021F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21FD6"/>
    <w:rPr>
      <w:sz w:val="24"/>
      <w:lang w:val="el-G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21F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1FD6"/>
    <w:rPr>
      <w:b/>
      <w:bCs/>
      <w:lang w:val="el-GR"/>
    </w:rPr>
  </w:style>
  <w:style w:type="paragraph" w:styleId="BalloonText">
    <w:name w:val="Balloon Text"/>
    <w:basedOn w:val="Normal"/>
    <w:link w:val="BalloonTextChar"/>
    <w:unhideWhenUsed/>
    <w:rsid w:val="00021F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21FD6"/>
    <w:rPr>
      <w:rFonts w:ascii="Segoe UI" w:hAnsi="Segoe UI" w:cs="Segoe UI"/>
      <w:sz w:val="18"/>
      <w:szCs w:val="18"/>
      <w:lang w:val="el-GR"/>
    </w:rPr>
  </w:style>
  <w:style w:type="paragraph" w:customStyle="1" w:styleId="Normal24a">
    <w:name w:val="Normal24a"/>
    <w:basedOn w:val="Normal"/>
    <w:rsid w:val="00021FD6"/>
    <w:pPr>
      <w:spacing w:after="480"/>
    </w:pPr>
  </w:style>
  <w:style w:type="paragraph" w:customStyle="1" w:styleId="NormalBoldCenter">
    <w:name w:val="NormalBoldCenter"/>
    <w:basedOn w:val="Normal"/>
    <w:rsid w:val="00021FD6"/>
    <w:pPr>
      <w:jc w:val="center"/>
    </w:pPr>
    <w:rPr>
      <w:b/>
    </w:rPr>
  </w:style>
  <w:style w:type="paragraph" w:customStyle="1" w:styleId="Normal12a">
    <w:name w:val="Normal12a"/>
    <w:basedOn w:val="Normal"/>
    <w:rsid w:val="00021FD6"/>
    <w:pPr>
      <w:spacing w:after="240"/>
    </w:pPr>
  </w:style>
  <w:style w:type="paragraph" w:customStyle="1" w:styleId="RollCallVotes">
    <w:name w:val="RollCallVotes"/>
    <w:basedOn w:val="Normal"/>
    <w:rsid w:val="00021FD6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s">
    <w:name w:val="RollCallTabs"/>
    <w:basedOn w:val="Normal"/>
    <w:qFormat/>
    <w:rsid w:val="00021FD6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Symbols14pt">
    <w:name w:val="RollCallSymbols14pt"/>
    <w:basedOn w:val="Normal"/>
    <w:rsid w:val="00021FD6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le">
    <w:name w:val="RollCallTable"/>
    <w:basedOn w:val="Normal"/>
    <w:rsid w:val="00021FD6"/>
    <w:pPr>
      <w:snapToGrid w:val="0"/>
      <w:spacing w:before="120" w:after="120"/>
    </w:pPr>
    <w:rPr>
      <w:sz w:val="16"/>
      <w:lang w:eastAsia="en-US"/>
    </w:rPr>
  </w:style>
  <w:style w:type="character" w:styleId="CommentReference">
    <w:name w:val="annotation reference"/>
    <w:basedOn w:val="DefaultParagraphFont"/>
    <w:unhideWhenUsed/>
    <w:rsid w:val="00021FD6"/>
    <w:rPr>
      <w:sz w:val="16"/>
      <w:szCs w:val="16"/>
    </w:rPr>
  </w:style>
  <w:style w:type="paragraph" w:styleId="Revision">
    <w:name w:val="Revision"/>
    <w:hidden/>
    <w:uiPriority w:val="99"/>
    <w:semiHidden/>
    <w:rsid w:val="00BF565A"/>
    <w:rPr>
      <w:sz w:val="24"/>
      <w:lang w:val="el-GR"/>
    </w:rPr>
  </w:style>
  <w:style w:type="character" w:customStyle="1" w:styleId="Hyperlink1">
    <w:name w:val="Hyperlink1"/>
    <w:basedOn w:val="DefaultParagraphFont"/>
    <w:uiPriority w:val="99"/>
    <w:unhideWhenUsed/>
    <w:rsid w:val="009F19BD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9F19BD"/>
    <w:rPr>
      <w:sz w:val="24"/>
      <w:lang w:val="el-GR"/>
    </w:rPr>
  </w:style>
  <w:style w:type="character" w:styleId="Hyperlink">
    <w:name w:val="Hyperlink"/>
    <w:basedOn w:val="DefaultParagraphFont"/>
    <w:rsid w:val="00304E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4E7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304E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62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6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382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RELFINALE Amalia</cp:lastModifiedBy>
  <cp:revision>2</cp:revision>
  <cp:lastPrinted>2004-11-19T15:42:00Z</cp:lastPrinted>
  <dcterms:created xsi:type="dcterms:W3CDTF">2025-12-15T09:54:00Z</dcterms:created>
  <dcterms:modified xsi:type="dcterms:W3CDTF">2025-12-15T09:54:00Z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P10_TA(2025)0226_</vt:lpwstr>
  </property>
  <property fmtid="{D5CDD505-2E9C-101B-9397-08002B2CF9AE}" pid="4" name="&lt;Type&gt;">
    <vt:lpwstr>RR</vt:lpwstr>
  </property>
</Properties>
</file>