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0144" w14:paraId="477AA984" w14:textId="77777777" w:rsidTr="0010095E">
        <w:trPr>
          <w:trHeight w:hRule="exact" w:val="1418"/>
        </w:trPr>
        <w:tc>
          <w:tcPr>
            <w:tcW w:w="6804" w:type="dxa"/>
            <w:shd w:val="clear" w:color="auto" w:fill="auto"/>
            <w:vAlign w:val="center"/>
          </w:tcPr>
          <w:p w14:paraId="6EAAF431" w14:textId="77777777" w:rsidR="00751A4A" w:rsidRPr="00E20144" w:rsidRDefault="00B66D85" w:rsidP="0010095E">
            <w:pPr>
              <w:pStyle w:val="EPName"/>
            </w:pPr>
            <w:r w:rsidRPr="00E20144">
              <w:t>Europos Parlamentas</w:t>
            </w:r>
          </w:p>
          <w:p w14:paraId="2F66E407" w14:textId="77777777" w:rsidR="00751A4A" w:rsidRPr="00E20144" w:rsidRDefault="005F1B17" w:rsidP="005F1B17">
            <w:pPr>
              <w:pStyle w:val="EPTerm"/>
              <w:rPr>
                <w:rStyle w:val="HideTWBExt"/>
                <w:noProof w:val="0"/>
                <w:vanish w:val="0"/>
                <w:color w:val="auto"/>
              </w:rPr>
            </w:pPr>
            <w:r w:rsidRPr="00E20144">
              <w:t>2024</w:t>
            </w:r>
            <w:r w:rsidR="00817416" w:rsidRPr="00E20144">
              <w:t>-202</w:t>
            </w:r>
            <w:r w:rsidRPr="00E20144">
              <w:t>9</w:t>
            </w:r>
          </w:p>
        </w:tc>
        <w:tc>
          <w:tcPr>
            <w:tcW w:w="2268" w:type="dxa"/>
            <w:shd w:val="clear" w:color="auto" w:fill="auto"/>
          </w:tcPr>
          <w:p w14:paraId="1946AD7F" w14:textId="77777777" w:rsidR="00751A4A" w:rsidRPr="00E20144" w:rsidRDefault="00187494" w:rsidP="0010095E">
            <w:pPr>
              <w:pStyle w:val="EPLogo"/>
            </w:pPr>
            <w:r w:rsidRPr="00E20144">
              <w:rPr>
                <w:noProof/>
                <w:lang w:eastAsia="ja-JP"/>
              </w:rPr>
              <w:drawing>
                <wp:inline distT="0" distB="0" distL="0" distR="0" wp14:anchorId="61A5EC45" wp14:editId="3565EF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C618A0" w14:textId="77777777" w:rsidR="00D058B8" w:rsidRPr="00E20144" w:rsidRDefault="00D058B8" w:rsidP="004C5D52">
      <w:pPr>
        <w:pStyle w:val="LineTop"/>
      </w:pPr>
    </w:p>
    <w:p w14:paraId="15AB8CA4" w14:textId="77777777" w:rsidR="00680577" w:rsidRPr="00E20144" w:rsidRDefault="00B66D85" w:rsidP="00680577">
      <w:pPr>
        <w:pStyle w:val="EPBodyTA1"/>
      </w:pPr>
      <w:r w:rsidRPr="00E20144">
        <w:t>PRIIMTI TEKSTAI</w:t>
      </w:r>
    </w:p>
    <w:p w14:paraId="713F333C" w14:textId="77777777" w:rsidR="00D058B8" w:rsidRPr="00E20144" w:rsidRDefault="00D058B8" w:rsidP="00D058B8">
      <w:pPr>
        <w:pStyle w:val="LineBottom"/>
      </w:pPr>
    </w:p>
    <w:p w14:paraId="209D85D3" w14:textId="190A6D03" w:rsidR="00B66D85" w:rsidRPr="00E20144" w:rsidRDefault="00B66D85" w:rsidP="00B66D85">
      <w:pPr>
        <w:pStyle w:val="ATHeading1"/>
      </w:pPr>
      <w:bookmarkStart w:id="0" w:name="TANumber"/>
      <w:r w:rsidRPr="00E20144">
        <w:t>P10_TA(2025)0</w:t>
      </w:r>
      <w:r w:rsidR="0035195B">
        <w:t>226</w:t>
      </w:r>
      <w:bookmarkEnd w:id="0"/>
    </w:p>
    <w:p w14:paraId="5623C166" w14:textId="728C50D2" w:rsidR="00B66D85" w:rsidRPr="00E20144" w:rsidRDefault="00B66D85" w:rsidP="00B66D85">
      <w:pPr>
        <w:pStyle w:val="ATHeading2"/>
      </w:pPr>
      <w:bookmarkStart w:id="1" w:name="title"/>
      <w:r w:rsidRPr="00E20144">
        <w:t xml:space="preserve">Europos darbo tarybų steigimas </w:t>
      </w:r>
      <w:r w:rsidR="009916F8">
        <w:t>ir</w:t>
      </w:r>
      <w:r w:rsidR="009916F8" w:rsidRPr="00E20144">
        <w:t xml:space="preserve"> </w:t>
      </w:r>
      <w:r w:rsidRPr="00E20144">
        <w:t>veikimas: veiksmingas užtikrinimas</w:t>
      </w:r>
      <w:bookmarkEnd w:id="1"/>
    </w:p>
    <w:p w14:paraId="34BF466A" w14:textId="77777777" w:rsidR="00B66D85" w:rsidRPr="00E20144" w:rsidRDefault="00B66D85" w:rsidP="00B66D85">
      <w:pPr>
        <w:rPr>
          <w:i/>
          <w:vanish/>
        </w:rPr>
      </w:pPr>
      <w:r w:rsidRPr="00E20144">
        <w:rPr>
          <w:i/>
        </w:rPr>
        <w:fldChar w:fldCharType="begin"/>
      </w:r>
      <w:r w:rsidRPr="00E20144">
        <w:rPr>
          <w:i/>
        </w:rPr>
        <w:instrText xml:space="preserve"> TC"(</w:instrText>
      </w:r>
      <w:bookmarkStart w:id="2" w:name="DocNumber"/>
      <w:r w:rsidRPr="00E20144">
        <w:rPr>
          <w:i/>
        </w:rPr>
        <w:instrText>A10-0029/2024</w:instrText>
      </w:r>
      <w:bookmarkEnd w:id="2"/>
      <w:r w:rsidRPr="00E20144">
        <w:rPr>
          <w:i/>
        </w:rPr>
        <w:instrText xml:space="preserve"> - Pranešėjas: Dennis Radtke)"\l3 \n&gt; \* MERGEFORMAT </w:instrText>
      </w:r>
      <w:r w:rsidRPr="00E20144">
        <w:rPr>
          <w:i/>
        </w:rPr>
        <w:fldChar w:fldCharType="end"/>
      </w:r>
    </w:p>
    <w:p w14:paraId="28FD1A9D" w14:textId="77777777" w:rsidR="00B66D85" w:rsidRPr="00E20144" w:rsidRDefault="00B66D85" w:rsidP="00B66D85">
      <w:pPr>
        <w:rPr>
          <w:vanish/>
        </w:rPr>
      </w:pPr>
      <w:bookmarkStart w:id="3" w:name="Commission"/>
      <w:r w:rsidRPr="00E20144">
        <w:rPr>
          <w:vanish/>
        </w:rPr>
        <w:t>Užimtumo ir socialinių reikalų komitetas</w:t>
      </w:r>
      <w:bookmarkEnd w:id="3"/>
    </w:p>
    <w:p w14:paraId="10F2C52A" w14:textId="11FBE53A" w:rsidR="00B66D85" w:rsidRPr="00E20144" w:rsidRDefault="00B66D85" w:rsidP="00B66D85">
      <w:pPr>
        <w:rPr>
          <w:vanish/>
        </w:rPr>
      </w:pPr>
      <w:bookmarkStart w:id="4" w:name="PE"/>
      <w:r w:rsidRPr="00E20144">
        <w:rPr>
          <w:vanish/>
        </w:rPr>
        <w:t>PE7</w:t>
      </w:r>
      <w:r w:rsidR="00226189">
        <w:rPr>
          <w:vanish/>
        </w:rPr>
        <w:t>66</w:t>
      </w:r>
      <w:r w:rsidRPr="00E20144">
        <w:rPr>
          <w:vanish/>
        </w:rPr>
        <w:t>.7</w:t>
      </w:r>
      <w:r w:rsidR="00226189">
        <w:rPr>
          <w:vanish/>
        </w:rPr>
        <w:t>96</w:t>
      </w:r>
      <w:bookmarkEnd w:id="4"/>
    </w:p>
    <w:p w14:paraId="4C82A4B7" w14:textId="3B9F0A6B" w:rsidR="00B66D85" w:rsidRPr="00E20144" w:rsidRDefault="00B66D85" w:rsidP="00B66D85">
      <w:pPr>
        <w:pStyle w:val="ATHeading3"/>
      </w:pPr>
      <w:bookmarkStart w:id="5" w:name="Sujet"/>
      <w:r w:rsidRPr="00E20144">
        <w:t xml:space="preserve">2025 m. spalio </w:t>
      </w:r>
      <w:r w:rsidR="00505408">
        <w:t>9</w:t>
      </w:r>
      <w:r w:rsidRPr="00E20144">
        <w:t xml:space="preserve"> d. Europos Parlamento teisėkūros rezoliucija dėl pasiūlymo dėl Europos Parlamento ir Tarybos direktyvos, kuria dėl Europos darbo tarybų steigimo bei veikimo ir veiksmingo tarpvalstybinio informavimo ir konsultavimosi teisių užtikrinimo iš dalies keičiama Direktyva 2009/38/EB</w:t>
      </w:r>
      <w:bookmarkEnd w:id="5"/>
      <w:r w:rsidRPr="00E20144">
        <w:t xml:space="preserve"> </w:t>
      </w:r>
      <w:bookmarkStart w:id="6" w:name="References"/>
      <w:r w:rsidRPr="00E20144">
        <w:t>(COM(2024)0014 – C9-0012/2024 – 2024/0006(COD))</w:t>
      </w:r>
      <w:bookmarkEnd w:id="6"/>
    </w:p>
    <w:p w14:paraId="12F193A1" w14:textId="77777777" w:rsidR="00E037E2" w:rsidRPr="00E20144" w:rsidRDefault="00E037E2" w:rsidP="00E037E2">
      <w:pPr>
        <w:pStyle w:val="NormalBold"/>
      </w:pPr>
      <w:r w:rsidRPr="00E20144">
        <w:t>(Įprasta teisėkūros procedūra: pirmasis svarstymas)</w:t>
      </w:r>
    </w:p>
    <w:p w14:paraId="58B9418E" w14:textId="77777777" w:rsidR="00E037E2" w:rsidRPr="00E20144" w:rsidRDefault="00E037E2" w:rsidP="00E037E2">
      <w:pPr>
        <w:pStyle w:val="EPComma"/>
      </w:pPr>
      <w:r w:rsidRPr="00E20144">
        <w:rPr>
          <w:i/>
        </w:rPr>
        <w:t>Europos Parlamentas</w:t>
      </w:r>
      <w:r w:rsidRPr="00E20144">
        <w:t>,</w:t>
      </w:r>
    </w:p>
    <w:p w14:paraId="5614DC05" w14:textId="77777777" w:rsidR="00E037E2" w:rsidRPr="00E20144" w:rsidRDefault="00E037E2" w:rsidP="00E037E2">
      <w:pPr>
        <w:pStyle w:val="NormalHanging12a"/>
      </w:pPr>
      <w:r w:rsidRPr="00E20144">
        <w:t>–</w:t>
      </w:r>
      <w:r w:rsidRPr="00E20144">
        <w:tab/>
        <w:t>atsižvelgdamas į Komisijos pasiūlymą Europos Parlamentui ir Tarybai (COM(2024)0014),</w:t>
      </w:r>
    </w:p>
    <w:p w14:paraId="79499A2F" w14:textId="79B67160" w:rsidR="00E037E2" w:rsidRPr="00E20144" w:rsidRDefault="00E037E2" w:rsidP="00E037E2">
      <w:pPr>
        <w:pStyle w:val="NormalHanging12a"/>
      </w:pPr>
      <w:r w:rsidRPr="00E20144">
        <w:t>–</w:t>
      </w:r>
      <w:r w:rsidRPr="00E20144">
        <w:tab/>
        <w:t xml:space="preserve">atsižvelgdamas į Sutarties dėl Europos Sąjungos veikimo 294 straipsnio 2 dalį ir </w:t>
      </w:r>
      <w:r w:rsidR="009916F8">
        <w:t xml:space="preserve">į </w:t>
      </w:r>
      <w:r w:rsidRPr="00E20144">
        <w:t>153 straipsnio 1 dalies e punktą kartu su 153 straipsnio 2 dalies b punktu, pagal kuriuos Komisija pateikė pasiūlymą Parlamentui (C9</w:t>
      </w:r>
      <w:r w:rsidRPr="00E20144">
        <w:noBreakHyphen/>
        <w:t>0012/2024),</w:t>
      </w:r>
    </w:p>
    <w:p w14:paraId="17ACEC45" w14:textId="77777777" w:rsidR="00E037E2" w:rsidRPr="00E20144" w:rsidRDefault="00E037E2" w:rsidP="00E037E2">
      <w:pPr>
        <w:pStyle w:val="NormalHanging12a"/>
      </w:pPr>
      <w:r w:rsidRPr="00E20144">
        <w:t>–</w:t>
      </w:r>
      <w:r w:rsidRPr="00E20144">
        <w:tab/>
        <w:t>atsižvelgdamas į Sutarties dėl Europos Sąjungos veikimo 294 straipsnio 3 dalį,</w:t>
      </w:r>
    </w:p>
    <w:p w14:paraId="5FF0DBD2" w14:textId="77777777" w:rsidR="00E037E2" w:rsidRPr="00E20144" w:rsidRDefault="00E037E2" w:rsidP="00E037E2">
      <w:pPr>
        <w:pStyle w:val="NormalHanging12a"/>
      </w:pPr>
      <w:r w:rsidRPr="00E20144">
        <w:t>–</w:t>
      </w:r>
      <w:r w:rsidRPr="00E20144">
        <w:tab/>
        <w:t>atsižvelgdamas į 2024 m. gegužės 30 d. Europos ekonomikos ir socialinių reikalų komiteto nuomonę</w:t>
      </w:r>
      <w:r w:rsidRPr="00E20144">
        <w:rPr>
          <w:rStyle w:val="FootnoteReference"/>
        </w:rPr>
        <w:footnoteReference w:id="1"/>
      </w:r>
      <w:r w:rsidRPr="00E20144">
        <w:t>,</w:t>
      </w:r>
    </w:p>
    <w:p w14:paraId="362DEF71" w14:textId="77777777" w:rsidR="00E037E2" w:rsidRDefault="00E037E2" w:rsidP="00E037E2">
      <w:pPr>
        <w:pStyle w:val="NormalHanging12a"/>
      </w:pPr>
      <w:r w:rsidRPr="00E20144">
        <w:t>–</w:t>
      </w:r>
      <w:r w:rsidRPr="00E20144">
        <w:tab/>
        <w:t>pasikonsultavęs su Regionų komitetu,</w:t>
      </w:r>
    </w:p>
    <w:p w14:paraId="6B89481E" w14:textId="7F64DC12" w:rsidR="00226189" w:rsidRPr="00E20144" w:rsidRDefault="00226189" w:rsidP="00E037E2">
      <w:pPr>
        <w:pStyle w:val="NormalHanging12a"/>
      </w:pPr>
      <w:r w:rsidRPr="00E20144">
        <w:t>–</w:t>
      </w:r>
      <w:r w:rsidRPr="00E20144">
        <w:tab/>
      </w:r>
      <w:r>
        <w:t>atsižvelgdamas į preliminarų susitarimą, kurį atsakingas komitetas patvirtino pagal Darbo tvarkos taisyklių 75 straipsnio 4 dalį, ir į 2025 m. gegužės 28 d. laišku Tarybos atstovo prisiimtą įsipareigojimą pritarti Parlamento pozicijai pagal Sutarties dėl Europos Sąjungos veikimo 294 straipsnio 4 dalį,</w:t>
      </w:r>
    </w:p>
    <w:p w14:paraId="1B4787F6" w14:textId="77777777" w:rsidR="00E037E2" w:rsidRPr="00E20144" w:rsidRDefault="00E037E2" w:rsidP="00E037E2">
      <w:pPr>
        <w:pStyle w:val="NormalHanging12a"/>
      </w:pPr>
      <w:r w:rsidRPr="00E20144">
        <w:t>–</w:t>
      </w:r>
      <w:r w:rsidRPr="00E20144">
        <w:tab/>
        <w:t>atsižvelgdamas į Darbo tvarkos taisyklių 60 straipsnį,</w:t>
      </w:r>
    </w:p>
    <w:p w14:paraId="2237ADE7" w14:textId="77777777" w:rsidR="00E037E2" w:rsidRPr="00E20144" w:rsidRDefault="00E037E2" w:rsidP="00E037E2">
      <w:pPr>
        <w:pStyle w:val="NormalHanging12a"/>
      </w:pPr>
      <w:r w:rsidRPr="00E20144">
        <w:t>–</w:t>
      </w:r>
      <w:r w:rsidRPr="00E20144">
        <w:tab/>
        <w:t>atsižvelgdamas į Užimtumo ir socialinių reikalų komiteto pranešimą (A10-0029/2024),</w:t>
      </w:r>
    </w:p>
    <w:p w14:paraId="4D173FF9" w14:textId="77777777" w:rsidR="00E037E2" w:rsidRPr="00E20144" w:rsidRDefault="00E037E2" w:rsidP="00E037E2">
      <w:pPr>
        <w:pStyle w:val="NormalHanging12a"/>
      </w:pPr>
      <w:r w:rsidRPr="00E20144">
        <w:lastRenderedPageBreak/>
        <w:t>1.</w:t>
      </w:r>
      <w:r w:rsidRPr="00E20144">
        <w:tab/>
        <w:t>priima per pirmąjį svarstymą toliau pateiktą poziciją;</w:t>
      </w:r>
    </w:p>
    <w:p w14:paraId="34A58DB7" w14:textId="50BFF26B" w:rsidR="00D6074F" w:rsidRDefault="00E037E2" w:rsidP="00E037E2">
      <w:pPr>
        <w:pStyle w:val="NormalHanging12a"/>
      </w:pPr>
      <w:r w:rsidRPr="00E20144">
        <w:t>2.</w:t>
      </w:r>
      <w:r w:rsidR="00D6074F">
        <w:tab/>
      </w:r>
      <w:r w:rsidR="00892FC3">
        <w:t>ragina Komisiją dar kartą perduoti klausimą svarstyti Parlamentui, jei ji savo pasiūlymą pakeičia nauju tekstu, jį keičia iš esmės arba ketina jį keisti iš esmės;</w:t>
      </w:r>
    </w:p>
    <w:p w14:paraId="7956D0A8" w14:textId="74B4802A" w:rsidR="00226189" w:rsidRDefault="00D6074F" w:rsidP="00E037E2">
      <w:pPr>
        <w:pStyle w:val="NormalHanging12a"/>
        <w:sectPr w:rsidR="00226189" w:rsidSect="00E201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t>3.</w:t>
      </w:r>
      <w:r w:rsidR="00E037E2" w:rsidRPr="00E20144">
        <w:tab/>
        <w:t>paveda Pirmininkei perduoti Parlamento poziciją Tarybai, Komisijai ir nacionaliniams parlamentams.</w:t>
      </w:r>
    </w:p>
    <w:p w14:paraId="57FDA0DE" w14:textId="77777777" w:rsidR="00D47BF2" w:rsidRPr="0072335C" w:rsidRDefault="00D47BF2" w:rsidP="00D47BF2">
      <w:pPr>
        <w:autoSpaceDE w:val="0"/>
        <w:autoSpaceDN w:val="0"/>
        <w:adjustRightInd w:val="0"/>
        <w:spacing w:after="240"/>
        <w:rPr>
          <w:b/>
          <w:bCs/>
          <w:color w:val="000000"/>
        </w:rPr>
      </w:pPr>
      <w:r w:rsidRPr="0072335C">
        <w:rPr>
          <w:b/>
          <w:bCs/>
          <w:color w:val="000000"/>
        </w:rPr>
        <w:lastRenderedPageBreak/>
        <w:t>P10_TC1-COD(2024)0006</w:t>
      </w:r>
    </w:p>
    <w:p w14:paraId="5DE072C6" w14:textId="743E834C" w:rsidR="00892FC3" w:rsidRPr="00892FC3" w:rsidRDefault="00D47BF2" w:rsidP="00892FC3">
      <w:pPr>
        <w:rPr>
          <w:rFonts w:eastAsia="Calibri"/>
          <w:b/>
          <w:szCs w:val="22"/>
          <w:lang w:eastAsia="en-US"/>
        </w:rPr>
      </w:pPr>
      <w:r w:rsidRPr="00062C0F">
        <w:rPr>
          <w:b/>
          <w:szCs w:val="24"/>
        </w:rPr>
        <w:t xml:space="preserve">Europos </w:t>
      </w:r>
      <w:r w:rsidRPr="00062C0F">
        <w:rPr>
          <w:b/>
          <w:bCs/>
          <w:szCs w:val="24"/>
        </w:rPr>
        <w:t>Parlamento</w:t>
      </w:r>
      <w:r w:rsidRPr="00062C0F">
        <w:rPr>
          <w:b/>
          <w:szCs w:val="24"/>
        </w:rPr>
        <w:t xml:space="preserve"> pozicija, priimta 2025 m. </w:t>
      </w:r>
      <w:r>
        <w:rPr>
          <w:b/>
        </w:rPr>
        <w:t>spalio</w:t>
      </w:r>
      <w:r w:rsidRPr="00062C0F">
        <w:rPr>
          <w:b/>
          <w:szCs w:val="24"/>
        </w:rPr>
        <w:t xml:space="preserve"> </w:t>
      </w:r>
      <w:r w:rsidR="00892FC3">
        <w:rPr>
          <w:b/>
          <w:szCs w:val="24"/>
        </w:rPr>
        <w:t>9</w:t>
      </w:r>
      <w:r w:rsidRPr="00062C0F">
        <w:rPr>
          <w:b/>
          <w:szCs w:val="24"/>
        </w:rPr>
        <w:t xml:space="preserve"> d. per pirmąjį svarstymą, siekiant priimti Europos Parlamento ir Tarybos </w:t>
      </w:r>
      <w:r w:rsidR="00892FC3">
        <w:rPr>
          <w:b/>
          <w:szCs w:val="24"/>
        </w:rPr>
        <w:t>direktyv</w:t>
      </w:r>
      <w:r>
        <w:rPr>
          <w:b/>
        </w:rPr>
        <w:t>ą</w:t>
      </w:r>
      <w:r w:rsidRPr="00062C0F">
        <w:rPr>
          <w:rFonts w:eastAsia="Calibri"/>
          <w:b/>
          <w:noProof/>
          <w:szCs w:val="22"/>
          <w:lang w:eastAsia="en-US"/>
        </w:rPr>
        <w:t xml:space="preserve"> (ES) 2025/..., </w:t>
      </w:r>
      <w:r w:rsidR="00892FC3" w:rsidRPr="00892FC3">
        <w:rPr>
          <w:rFonts w:eastAsia="Calibri"/>
          <w:b/>
          <w:szCs w:val="22"/>
          <w:lang w:eastAsia="en-US"/>
        </w:rPr>
        <w:t xml:space="preserve">kuria iš dalies keičiama Direktyva 2009/38/EB, kiek tai susiję su Europos darbo tarybų steigimu bei </w:t>
      </w:r>
      <w:r w:rsidR="00892FC3" w:rsidRPr="00892FC3">
        <w:rPr>
          <w:rFonts w:eastAsia="Calibri"/>
          <w:b/>
          <w:i/>
          <w:szCs w:val="22"/>
          <w:lang w:eastAsia="en-US"/>
        </w:rPr>
        <w:t>veikimu</w:t>
      </w:r>
      <w:r w:rsidR="00892FC3" w:rsidRPr="00892FC3">
        <w:rPr>
          <w:rFonts w:eastAsia="Calibri"/>
          <w:b/>
          <w:szCs w:val="22"/>
          <w:lang w:eastAsia="en-US"/>
        </w:rPr>
        <w:t xml:space="preserve"> ir veiksmingu tarpvalstybinio informavimo ir konsultavimosi teisių užtikrinimu</w:t>
      </w:r>
    </w:p>
    <w:p w14:paraId="6A250288" w14:textId="1D3FF365" w:rsidR="007C7E28" w:rsidRDefault="000A58D7" w:rsidP="004C044F">
      <w:pPr>
        <w:spacing w:before="240"/>
        <w:rPr>
          <w:rFonts w:eastAsia="Calibri"/>
          <w:szCs w:val="22"/>
          <w:lang w:eastAsia="en-US"/>
        </w:rPr>
      </w:pPr>
      <w:r>
        <w:rPr>
          <w:i/>
          <w:iCs/>
          <w:color w:val="000000"/>
          <w:szCs w:val="24"/>
        </w:rPr>
        <w:t>(Kadangi Parlamentas ir Taryba pasiekė susitarimą, Parlamento pozicija atitinka galutinį teisės aktą, Direktyvą (ES) 2025/2450.)</w:t>
      </w:r>
    </w:p>
    <w:sectPr w:rsidR="007C7E28" w:rsidSect="00E2014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030C5" w14:textId="77777777" w:rsidR="00B66D85" w:rsidRPr="00E20144" w:rsidRDefault="00B66D85">
      <w:r w:rsidRPr="00E20144">
        <w:separator/>
      </w:r>
    </w:p>
  </w:endnote>
  <w:endnote w:type="continuationSeparator" w:id="0">
    <w:p w14:paraId="157A9ECD" w14:textId="77777777" w:rsidR="00B66D85" w:rsidRPr="00E20144" w:rsidRDefault="00B66D85">
      <w:r w:rsidRPr="00E201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346B2" w14:textId="77777777" w:rsidR="00064002" w:rsidRPr="00E201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F714" w14:textId="77777777" w:rsidR="00064002" w:rsidRPr="00E201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AB2A8" w14:textId="77777777" w:rsidR="00064002" w:rsidRPr="00E201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E8EE0" w14:textId="77777777" w:rsidR="00B66D85" w:rsidRPr="00E20144" w:rsidRDefault="00B66D85">
      <w:r w:rsidRPr="00E20144">
        <w:separator/>
      </w:r>
    </w:p>
  </w:footnote>
  <w:footnote w:type="continuationSeparator" w:id="0">
    <w:p w14:paraId="07BC0821" w14:textId="77777777" w:rsidR="00B66D85" w:rsidRPr="00E20144" w:rsidRDefault="00B66D85">
      <w:r w:rsidRPr="00E20144">
        <w:continuationSeparator/>
      </w:r>
    </w:p>
  </w:footnote>
  <w:footnote w:id="1">
    <w:p w14:paraId="13E6E550" w14:textId="45C7755B" w:rsidR="00E037E2" w:rsidRPr="00EC519D" w:rsidRDefault="00E037E2" w:rsidP="00E20144">
      <w:pPr>
        <w:pStyle w:val="FootnoteText"/>
        <w:ind w:left="567" w:hanging="567"/>
        <w:rPr>
          <w:sz w:val="24"/>
          <w:lang w:val="lt-LT"/>
        </w:rPr>
      </w:pPr>
      <w:r w:rsidRPr="00EC519D">
        <w:rPr>
          <w:rStyle w:val="FootnoteReference"/>
          <w:sz w:val="24"/>
          <w:lang w:val="lt-LT"/>
        </w:rPr>
        <w:footnoteRef/>
      </w:r>
      <w:r w:rsidR="00E20144" w:rsidRPr="00EC519D">
        <w:rPr>
          <w:sz w:val="24"/>
          <w:lang w:val="lt-LT"/>
        </w:rPr>
        <w:t xml:space="preserve"> </w:t>
      </w:r>
      <w:r w:rsidR="00E20144" w:rsidRPr="00EC519D">
        <w:rPr>
          <w:sz w:val="24"/>
          <w:lang w:val="lt-LT"/>
        </w:rPr>
        <w:tab/>
      </w:r>
      <w:r w:rsidR="002D64BA" w:rsidRPr="002D64BA">
        <w:rPr>
          <w:sz w:val="24"/>
          <w:lang w:val="lt-LT"/>
        </w:rPr>
        <w:t>O</w:t>
      </w:r>
      <w:r w:rsidR="002D64BA">
        <w:rPr>
          <w:sz w:val="24"/>
          <w:lang w:val="lt-LT"/>
        </w:rPr>
        <w:t>L</w:t>
      </w:r>
      <w:r w:rsidR="002D64BA" w:rsidRPr="002D64BA">
        <w:rPr>
          <w:lang w:val="fi-FI"/>
        </w:rPr>
        <w:t> </w:t>
      </w:r>
      <w:r w:rsidR="002D64BA" w:rsidRPr="002D64BA">
        <w:rPr>
          <w:sz w:val="24"/>
          <w:lang w:val="lt-LT"/>
        </w:rPr>
        <w:t>C, C/2024/4664,</w:t>
      </w:r>
      <w:r w:rsidR="002D64BA">
        <w:rPr>
          <w:sz w:val="24"/>
          <w:lang w:val="lt-LT"/>
        </w:rPr>
        <w:t xml:space="preserve"> 2024</w:t>
      </w:r>
      <w:r w:rsidR="002D64BA" w:rsidRPr="002D64BA">
        <w:rPr>
          <w:lang w:val="fi-FI"/>
        </w:rPr>
        <w:t> </w:t>
      </w:r>
      <w:r w:rsidR="002D64BA">
        <w:rPr>
          <w:sz w:val="24"/>
          <w:lang w:val="lt-LT"/>
        </w:rPr>
        <w:t>8</w:t>
      </w:r>
      <w:r w:rsidR="002D64BA" w:rsidRPr="002D64BA">
        <w:rPr>
          <w:lang w:val="fi-FI"/>
        </w:rPr>
        <w:t> </w:t>
      </w:r>
      <w:r w:rsidR="002D64BA" w:rsidRPr="002D64BA">
        <w:rPr>
          <w:sz w:val="24"/>
          <w:lang w:val="lt-LT"/>
        </w:rPr>
        <w:t>9, ELI:</w:t>
      </w:r>
      <w:r w:rsidR="002D64BA" w:rsidRPr="00E20144">
        <w:t> </w:t>
      </w:r>
      <w:hyperlink r:id="rId1" w:history="1">
        <w:r w:rsidR="002D64BA" w:rsidRPr="002D64BA">
          <w:rPr>
            <w:rStyle w:val="Hyperlink"/>
            <w:sz w:val="24"/>
            <w:lang w:val="lt-LT"/>
          </w:rPr>
          <w:t>http://data.europa.eu/eli/C/2024/4664/oj</w:t>
        </w:r>
      </w:hyperlink>
      <w:r w:rsidRPr="00EC519D">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97E1" w14:textId="77777777" w:rsidR="00064002" w:rsidRPr="00E201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B881C" w14:textId="77777777" w:rsidR="00064002" w:rsidRPr="00E201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66673" w14:textId="77777777" w:rsidR="00064002" w:rsidRPr="00E201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8C6164A"/>
    <w:multiLevelType w:val="hybridMultilevel"/>
    <w:tmpl w:val="5CF483D0"/>
    <w:lvl w:ilvl="0" w:tplc="743EF400">
      <w:start w:val="1"/>
      <w:numFmt w:val="decimal"/>
      <w:lvlText w:val="%1."/>
      <w:lvlJc w:val="left"/>
      <w:pPr>
        <w:ind w:left="1405" w:hanging="555"/>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3" w15:restartNumberingAfterBreak="0">
    <w:nsid w:val="70D84F04"/>
    <w:multiLevelType w:val="hybridMultilevel"/>
    <w:tmpl w:val="72D2698C"/>
    <w:lvl w:ilvl="0" w:tplc="65C8177E">
      <w:start w:val="2"/>
      <w:numFmt w:val="bullet"/>
      <w:lvlText w:val="—"/>
      <w:lvlJc w:val="left"/>
      <w:pPr>
        <w:ind w:left="720" w:hanging="360"/>
      </w:pPr>
      <w:rPr>
        <w:rFonts w:ascii="Times New Roman" w:eastAsia="Times New Roman" w:hAnsi="Times New Roman" w:cs="Times New Roman" w:hint="default"/>
      </w:rPr>
    </w:lvl>
    <w:lvl w:ilvl="1" w:tplc="9F1457B6" w:tentative="1">
      <w:start w:val="1"/>
      <w:numFmt w:val="bullet"/>
      <w:lvlText w:val="o"/>
      <w:lvlJc w:val="left"/>
      <w:pPr>
        <w:ind w:left="1440" w:hanging="360"/>
      </w:pPr>
      <w:rPr>
        <w:rFonts w:ascii="Courier New" w:hAnsi="Courier New" w:cs="Courier New" w:hint="default"/>
      </w:rPr>
    </w:lvl>
    <w:lvl w:ilvl="2" w:tplc="538EE4A4" w:tentative="1">
      <w:start w:val="1"/>
      <w:numFmt w:val="bullet"/>
      <w:lvlText w:val=""/>
      <w:lvlJc w:val="left"/>
      <w:pPr>
        <w:ind w:left="2160" w:hanging="360"/>
      </w:pPr>
      <w:rPr>
        <w:rFonts w:ascii="Wingdings" w:hAnsi="Wingdings" w:hint="default"/>
      </w:rPr>
    </w:lvl>
    <w:lvl w:ilvl="3" w:tplc="EF2CF9D6" w:tentative="1">
      <w:start w:val="1"/>
      <w:numFmt w:val="bullet"/>
      <w:lvlText w:val=""/>
      <w:lvlJc w:val="left"/>
      <w:pPr>
        <w:ind w:left="2880" w:hanging="360"/>
      </w:pPr>
      <w:rPr>
        <w:rFonts w:ascii="Symbol" w:hAnsi="Symbol" w:hint="default"/>
      </w:rPr>
    </w:lvl>
    <w:lvl w:ilvl="4" w:tplc="1D78C4E0" w:tentative="1">
      <w:start w:val="1"/>
      <w:numFmt w:val="bullet"/>
      <w:lvlText w:val="o"/>
      <w:lvlJc w:val="left"/>
      <w:pPr>
        <w:ind w:left="3600" w:hanging="360"/>
      </w:pPr>
      <w:rPr>
        <w:rFonts w:ascii="Courier New" w:hAnsi="Courier New" w:cs="Courier New" w:hint="default"/>
      </w:rPr>
    </w:lvl>
    <w:lvl w:ilvl="5" w:tplc="36DCE36C" w:tentative="1">
      <w:start w:val="1"/>
      <w:numFmt w:val="bullet"/>
      <w:lvlText w:val=""/>
      <w:lvlJc w:val="left"/>
      <w:pPr>
        <w:ind w:left="4320" w:hanging="360"/>
      </w:pPr>
      <w:rPr>
        <w:rFonts w:ascii="Wingdings" w:hAnsi="Wingdings" w:hint="default"/>
      </w:rPr>
    </w:lvl>
    <w:lvl w:ilvl="6" w:tplc="495A6256" w:tentative="1">
      <w:start w:val="1"/>
      <w:numFmt w:val="bullet"/>
      <w:lvlText w:val=""/>
      <w:lvlJc w:val="left"/>
      <w:pPr>
        <w:ind w:left="5040" w:hanging="360"/>
      </w:pPr>
      <w:rPr>
        <w:rFonts w:ascii="Symbol" w:hAnsi="Symbol" w:hint="default"/>
      </w:rPr>
    </w:lvl>
    <w:lvl w:ilvl="7" w:tplc="D91A4E0E" w:tentative="1">
      <w:start w:val="1"/>
      <w:numFmt w:val="bullet"/>
      <w:lvlText w:val="o"/>
      <w:lvlJc w:val="left"/>
      <w:pPr>
        <w:ind w:left="5760" w:hanging="360"/>
      </w:pPr>
      <w:rPr>
        <w:rFonts w:ascii="Courier New" w:hAnsi="Courier New" w:cs="Courier New" w:hint="default"/>
      </w:rPr>
    </w:lvl>
    <w:lvl w:ilvl="8" w:tplc="EA242CF2" w:tentative="1">
      <w:start w:val="1"/>
      <w:numFmt w:val="bullet"/>
      <w:lvlText w:val=""/>
      <w:lvlJc w:val="left"/>
      <w:pPr>
        <w:ind w:left="6480" w:hanging="360"/>
      </w:pPr>
      <w:rPr>
        <w:rFonts w:ascii="Wingdings" w:hAnsi="Wingdings" w:hint="default"/>
      </w:rPr>
    </w:lvl>
  </w:abstractNum>
  <w:num w:numId="1" w16cid:durableId="744839599">
    <w:abstractNumId w:val="9"/>
  </w:num>
  <w:num w:numId="2" w16cid:durableId="62141453">
    <w:abstractNumId w:val="9"/>
  </w:num>
  <w:num w:numId="3" w16cid:durableId="1343121819">
    <w:abstractNumId w:val="7"/>
  </w:num>
  <w:num w:numId="4" w16cid:durableId="781614482">
    <w:abstractNumId w:val="7"/>
  </w:num>
  <w:num w:numId="5" w16cid:durableId="169176126">
    <w:abstractNumId w:val="6"/>
  </w:num>
  <w:num w:numId="6" w16cid:durableId="10492878">
    <w:abstractNumId w:val="6"/>
  </w:num>
  <w:num w:numId="7" w16cid:durableId="1534418420">
    <w:abstractNumId w:val="5"/>
  </w:num>
  <w:num w:numId="8" w16cid:durableId="334498241">
    <w:abstractNumId w:val="5"/>
  </w:num>
  <w:num w:numId="9" w16cid:durableId="1493835858">
    <w:abstractNumId w:val="4"/>
  </w:num>
  <w:num w:numId="10" w16cid:durableId="17433519">
    <w:abstractNumId w:val="4"/>
  </w:num>
  <w:num w:numId="11" w16cid:durableId="35207497">
    <w:abstractNumId w:val="8"/>
  </w:num>
  <w:num w:numId="12" w16cid:durableId="406848683">
    <w:abstractNumId w:val="8"/>
  </w:num>
  <w:num w:numId="13" w16cid:durableId="260840443">
    <w:abstractNumId w:val="3"/>
  </w:num>
  <w:num w:numId="14" w16cid:durableId="617757623">
    <w:abstractNumId w:val="3"/>
  </w:num>
  <w:num w:numId="15" w16cid:durableId="1005400442">
    <w:abstractNumId w:val="2"/>
  </w:num>
  <w:num w:numId="16" w16cid:durableId="48000520">
    <w:abstractNumId w:val="2"/>
  </w:num>
  <w:num w:numId="17" w16cid:durableId="965741661">
    <w:abstractNumId w:val="1"/>
  </w:num>
  <w:num w:numId="18" w16cid:durableId="1541472832">
    <w:abstractNumId w:val="1"/>
  </w:num>
  <w:num w:numId="19" w16cid:durableId="1654870095">
    <w:abstractNumId w:val="0"/>
  </w:num>
  <w:num w:numId="20" w16cid:durableId="1462379193">
    <w:abstractNumId w:val="0"/>
  </w:num>
  <w:num w:numId="21" w16cid:durableId="2123305978">
    <w:abstractNumId w:val="9"/>
  </w:num>
  <w:num w:numId="22" w16cid:durableId="627127190">
    <w:abstractNumId w:val="7"/>
  </w:num>
  <w:num w:numId="23" w16cid:durableId="1649941397">
    <w:abstractNumId w:val="6"/>
  </w:num>
  <w:num w:numId="24" w16cid:durableId="1308583526">
    <w:abstractNumId w:val="5"/>
  </w:num>
  <w:num w:numId="25" w16cid:durableId="981543401">
    <w:abstractNumId w:val="4"/>
  </w:num>
  <w:num w:numId="26" w16cid:durableId="269357336">
    <w:abstractNumId w:val="8"/>
  </w:num>
  <w:num w:numId="27" w16cid:durableId="1039356423">
    <w:abstractNumId w:val="3"/>
  </w:num>
  <w:num w:numId="28" w16cid:durableId="317803978">
    <w:abstractNumId w:val="2"/>
  </w:num>
  <w:num w:numId="29" w16cid:durableId="128328064">
    <w:abstractNumId w:val="1"/>
  </w:num>
  <w:num w:numId="30" w16cid:durableId="935288300">
    <w:abstractNumId w:val="0"/>
  </w:num>
  <w:num w:numId="31" w16cid:durableId="1582787338">
    <w:abstractNumId w:val="9"/>
  </w:num>
  <w:num w:numId="32" w16cid:durableId="1872961682">
    <w:abstractNumId w:val="7"/>
  </w:num>
  <w:num w:numId="33" w16cid:durableId="2066297211">
    <w:abstractNumId w:val="6"/>
  </w:num>
  <w:num w:numId="34" w16cid:durableId="422146204">
    <w:abstractNumId w:val="5"/>
  </w:num>
  <w:num w:numId="35" w16cid:durableId="1117335674">
    <w:abstractNumId w:val="4"/>
  </w:num>
  <w:num w:numId="36" w16cid:durableId="2006128632">
    <w:abstractNumId w:val="8"/>
  </w:num>
  <w:num w:numId="37" w16cid:durableId="581644129">
    <w:abstractNumId w:val="3"/>
  </w:num>
  <w:num w:numId="38" w16cid:durableId="1877425855">
    <w:abstractNumId w:val="2"/>
  </w:num>
  <w:num w:numId="39" w16cid:durableId="495809145">
    <w:abstractNumId w:val="1"/>
  </w:num>
  <w:num w:numId="40" w16cid:durableId="2134907188">
    <w:abstractNumId w:val="0"/>
  </w:num>
  <w:num w:numId="41" w16cid:durableId="332490343">
    <w:abstractNumId w:val="10"/>
  </w:num>
  <w:num w:numId="42" w16cid:durableId="122118607">
    <w:abstractNumId w:val="10"/>
  </w:num>
  <w:num w:numId="43" w16cid:durableId="1494373791">
    <w:abstractNumId w:val="10"/>
  </w:num>
  <w:num w:numId="44" w16cid:durableId="203251381">
    <w:abstractNumId w:val="11"/>
  </w:num>
  <w:num w:numId="45" w16cid:durableId="937063053">
    <w:abstractNumId w:val="13"/>
  </w:num>
  <w:num w:numId="46" w16cid:durableId="14914105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9/2024"/>
    <w:docVar w:name="dvlangue" w:val="LT"/>
    <w:docVar w:name="dvnumam" w:val="78"/>
    <w:docVar w:name="dvpe" w:val="758.777"/>
    <w:docVar w:name="dvrapporteur" w:val="Pranešėjas: "/>
    <w:docVar w:name="dvstar" w:val="***I"/>
    <w:docVar w:name="dvtitre" w:val="2025 m. spalio XX d. Europos Parlamento teisėkūros rezoliucija dėl pasiūlymo dėl Europos Parlamento ir Tarybos direktyvos, kuria dėl Europos darbo tarybų steigimo bei veikimo ir veiksmingo tarpvalstybinio informavimo ir konsultavimosi teisių užtikrinimo iš dalies keičiama Direktyva 2009/38/EB(COM(2024)0014 – C9-0012/2024 – 2024/0006(COD))"/>
  </w:docVars>
  <w:rsids>
    <w:rsidRoot w:val="00B66D85"/>
    <w:rsid w:val="00002272"/>
    <w:rsid w:val="00064002"/>
    <w:rsid w:val="000677B9"/>
    <w:rsid w:val="000831BA"/>
    <w:rsid w:val="000A42CC"/>
    <w:rsid w:val="000A58D7"/>
    <w:rsid w:val="000E7DD9"/>
    <w:rsid w:val="0010095E"/>
    <w:rsid w:val="00125B37"/>
    <w:rsid w:val="00187494"/>
    <w:rsid w:val="001F32AE"/>
    <w:rsid w:val="00226189"/>
    <w:rsid w:val="002767FF"/>
    <w:rsid w:val="0029141C"/>
    <w:rsid w:val="002B18FE"/>
    <w:rsid w:val="002B5493"/>
    <w:rsid w:val="002D3B47"/>
    <w:rsid w:val="002D64BA"/>
    <w:rsid w:val="00343214"/>
    <w:rsid w:val="0035195B"/>
    <w:rsid w:val="00361C00"/>
    <w:rsid w:val="00395FA1"/>
    <w:rsid w:val="003A46E8"/>
    <w:rsid w:val="003B7CDB"/>
    <w:rsid w:val="003E15D4"/>
    <w:rsid w:val="00402BD5"/>
    <w:rsid w:val="00411CCE"/>
    <w:rsid w:val="0041666E"/>
    <w:rsid w:val="00421060"/>
    <w:rsid w:val="00421F2C"/>
    <w:rsid w:val="00471C19"/>
    <w:rsid w:val="004867E3"/>
    <w:rsid w:val="00494A28"/>
    <w:rsid w:val="004C0004"/>
    <w:rsid w:val="004C044F"/>
    <w:rsid w:val="004C5D52"/>
    <w:rsid w:val="0050519A"/>
    <w:rsid w:val="00505408"/>
    <w:rsid w:val="005072A1"/>
    <w:rsid w:val="00514517"/>
    <w:rsid w:val="00545827"/>
    <w:rsid w:val="00560270"/>
    <w:rsid w:val="005C2568"/>
    <w:rsid w:val="005F1B17"/>
    <w:rsid w:val="006037C0"/>
    <w:rsid w:val="006362F4"/>
    <w:rsid w:val="006631B6"/>
    <w:rsid w:val="00680577"/>
    <w:rsid w:val="006F74FA"/>
    <w:rsid w:val="00731ADD"/>
    <w:rsid w:val="00734777"/>
    <w:rsid w:val="00747932"/>
    <w:rsid w:val="00751A4A"/>
    <w:rsid w:val="00756632"/>
    <w:rsid w:val="00762C74"/>
    <w:rsid w:val="00786EC0"/>
    <w:rsid w:val="007C7E28"/>
    <w:rsid w:val="007D1690"/>
    <w:rsid w:val="007E22AD"/>
    <w:rsid w:val="00817416"/>
    <w:rsid w:val="00842779"/>
    <w:rsid w:val="00865F67"/>
    <w:rsid w:val="00881A7B"/>
    <w:rsid w:val="008840E5"/>
    <w:rsid w:val="00887B3E"/>
    <w:rsid w:val="00892FC3"/>
    <w:rsid w:val="008C2AC6"/>
    <w:rsid w:val="00930C23"/>
    <w:rsid w:val="0093193B"/>
    <w:rsid w:val="009509D8"/>
    <w:rsid w:val="00950B64"/>
    <w:rsid w:val="00981893"/>
    <w:rsid w:val="009916F8"/>
    <w:rsid w:val="00A1687D"/>
    <w:rsid w:val="00A43E52"/>
    <w:rsid w:val="00A4678D"/>
    <w:rsid w:val="00A778C7"/>
    <w:rsid w:val="00AB441E"/>
    <w:rsid w:val="00AB6293"/>
    <w:rsid w:val="00AE0928"/>
    <w:rsid w:val="00AF3B82"/>
    <w:rsid w:val="00B12E95"/>
    <w:rsid w:val="00B22876"/>
    <w:rsid w:val="00B558F0"/>
    <w:rsid w:val="00B66D85"/>
    <w:rsid w:val="00BD48FE"/>
    <w:rsid w:val="00BD7BD8"/>
    <w:rsid w:val="00BE6ADC"/>
    <w:rsid w:val="00C05BFE"/>
    <w:rsid w:val="00C23CD4"/>
    <w:rsid w:val="00C61C0C"/>
    <w:rsid w:val="00C941CB"/>
    <w:rsid w:val="00CC2357"/>
    <w:rsid w:val="00CF071A"/>
    <w:rsid w:val="00D058B8"/>
    <w:rsid w:val="00D47BF2"/>
    <w:rsid w:val="00D56C11"/>
    <w:rsid w:val="00D6074F"/>
    <w:rsid w:val="00D834A0"/>
    <w:rsid w:val="00D872DF"/>
    <w:rsid w:val="00D91E21"/>
    <w:rsid w:val="00DA7FCD"/>
    <w:rsid w:val="00DD660E"/>
    <w:rsid w:val="00E037E2"/>
    <w:rsid w:val="00E20144"/>
    <w:rsid w:val="00E365E1"/>
    <w:rsid w:val="00E820A4"/>
    <w:rsid w:val="00EB006A"/>
    <w:rsid w:val="00EB4772"/>
    <w:rsid w:val="00EC4339"/>
    <w:rsid w:val="00EC519D"/>
    <w:rsid w:val="00ED169E"/>
    <w:rsid w:val="00ED4235"/>
    <w:rsid w:val="00F04346"/>
    <w:rsid w:val="00F075DC"/>
    <w:rsid w:val="00F149E9"/>
    <w:rsid w:val="00F5134D"/>
    <w:rsid w:val="00F74202"/>
    <w:rsid w:val="00F74A47"/>
    <w:rsid w:val="00F87713"/>
    <w:rsid w:val="00FA41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1AA56"/>
  <w15:chartTrackingRefBased/>
  <w15:docId w15:val="{DEDFB477-D7D7-44D5-A0F7-442F12FC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037E2"/>
    <w:rPr>
      <w:b/>
      <w:kern w:val="28"/>
      <w:sz w:val="28"/>
      <w:lang w:val="fr-FR" w:eastAsia="fr-FR"/>
    </w:rPr>
  </w:style>
  <w:style w:type="character" w:customStyle="1" w:styleId="Heading2Char">
    <w:name w:val="Heading 2 Char"/>
    <w:basedOn w:val="DefaultParagraphFont"/>
    <w:link w:val="Heading2"/>
    <w:semiHidden/>
    <w:rsid w:val="00E037E2"/>
    <w:rPr>
      <w:sz w:val="24"/>
      <w:lang w:val="fr-FR" w:eastAsia="fr-FR"/>
    </w:rPr>
  </w:style>
  <w:style w:type="character" w:customStyle="1" w:styleId="Heading3Char">
    <w:name w:val="Heading 3 Char"/>
    <w:basedOn w:val="DefaultParagraphFont"/>
    <w:link w:val="Heading3"/>
    <w:semiHidden/>
    <w:rsid w:val="00E037E2"/>
    <w:rPr>
      <w:rFonts w:ascii="Arial" w:hAnsi="Arial"/>
      <w:sz w:val="24"/>
      <w:lang w:val="fr-FR" w:eastAsia="fr-FR"/>
    </w:rPr>
  </w:style>
  <w:style w:type="character" w:customStyle="1" w:styleId="Heading4Char">
    <w:name w:val="Heading 4 Char"/>
    <w:basedOn w:val="DefaultParagraphFont"/>
    <w:link w:val="Heading4"/>
    <w:semiHidden/>
    <w:rsid w:val="00E037E2"/>
    <w:rPr>
      <w:sz w:val="24"/>
      <w:lang w:val="en-US" w:eastAsia="fr-FR"/>
    </w:rPr>
  </w:style>
  <w:style w:type="character" w:customStyle="1" w:styleId="Heading5Char">
    <w:name w:val="Heading 5 Char"/>
    <w:basedOn w:val="DefaultParagraphFont"/>
    <w:link w:val="Heading5"/>
    <w:semiHidden/>
    <w:rsid w:val="00E037E2"/>
    <w:rPr>
      <w:sz w:val="24"/>
      <w:lang w:val="en-US" w:eastAsia="fr-FR"/>
    </w:rPr>
  </w:style>
  <w:style w:type="character" w:customStyle="1" w:styleId="Heading6Char">
    <w:name w:val="Heading 6 Char"/>
    <w:basedOn w:val="DefaultParagraphFont"/>
    <w:link w:val="Heading6"/>
    <w:semiHidden/>
    <w:rsid w:val="00E037E2"/>
    <w:rPr>
      <w:i/>
      <w:sz w:val="22"/>
      <w:lang w:val="lt-LT"/>
    </w:rPr>
  </w:style>
  <w:style w:type="character" w:customStyle="1" w:styleId="Heading7Char">
    <w:name w:val="Heading 7 Char"/>
    <w:basedOn w:val="DefaultParagraphFont"/>
    <w:link w:val="Heading7"/>
    <w:semiHidden/>
    <w:rsid w:val="00E037E2"/>
    <w:rPr>
      <w:rFonts w:ascii="Arial" w:hAnsi="Arial"/>
      <w:sz w:val="24"/>
      <w:lang w:val="lt-LT"/>
    </w:rPr>
  </w:style>
  <w:style w:type="character" w:customStyle="1" w:styleId="Heading8Char">
    <w:name w:val="Heading 8 Char"/>
    <w:basedOn w:val="DefaultParagraphFont"/>
    <w:link w:val="Heading8"/>
    <w:semiHidden/>
    <w:rsid w:val="00E037E2"/>
    <w:rPr>
      <w:rFonts w:ascii="Arial" w:hAnsi="Arial"/>
      <w:i/>
      <w:sz w:val="24"/>
      <w:lang w:val="lt-LT"/>
    </w:rPr>
  </w:style>
  <w:style w:type="character" w:customStyle="1" w:styleId="Heading9Char">
    <w:name w:val="Heading 9 Char"/>
    <w:basedOn w:val="DefaultParagraphFont"/>
    <w:link w:val="Heading9"/>
    <w:semiHidden/>
    <w:rsid w:val="00E037E2"/>
    <w:rPr>
      <w:rFonts w:ascii="Arial" w:hAnsi="Arial"/>
      <w:b/>
      <w:i/>
      <w:sz w:val="18"/>
      <w:lang w:val="lt-LT"/>
    </w:rPr>
  </w:style>
  <w:style w:type="paragraph" w:styleId="TOCHeading">
    <w:name w:val="TOC Heading"/>
    <w:basedOn w:val="Normal"/>
    <w:next w:val="Normal"/>
    <w:unhideWhenUsed/>
    <w:qFormat/>
    <w:rsid w:val="00E037E2"/>
    <w:pPr>
      <w:widowControl/>
      <w:spacing w:after="240"/>
    </w:pPr>
    <w:rPr>
      <w:lang w:val="en-GB"/>
    </w:rPr>
  </w:style>
  <w:style w:type="paragraph" w:customStyle="1" w:styleId="EPFooter2">
    <w:name w:val="EPFooter2"/>
    <w:basedOn w:val="Normal"/>
    <w:next w:val="Normal"/>
    <w:rsid w:val="00E037E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037E2"/>
    <w:pPr>
      <w:keepNext/>
      <w:spacing w:after="240"/>
      <w:jc w:val="right"/>
    </w:pPr>
    <w:rPr>
      <w:rFonts w:ascii="Arial" w:hAnsi="Arial"/>
      <w:b/>
    </w:rPr>
  </w:style>
  <w:style w:type="paragraph" w:customStyle="1" w:styleId="Normal6a">
    <w:name w:val="Normal6a"/>
    <w:basedOn w:val="Normal"/>
    <w:rsid w:val="00E037E2"/>
    <w:pPr>
      <w:spacing w:after="120"/>
    </w:pPr>
  </w:style>
  <w:style w:type="paragraph" w:customStyle="1" w:styleId="PageHeading">
    <w:name w:val="PageHeading"/>
    <w:basedOn w:val="Normal"/>
    <w:rsid w:val="00E037E2"/>
    <w:pPr>
      <w:keepNext/>
      <w:spacing w:after="480"/>
      <w:jc w:val="center"/>
    </w:pPr>
    <w:rPr>
      <w:rFonts w:ascii="Arial" w:hAnsi="Arial" w:cs="Arial"/>
      <w:b/>
    </w:rPr>
  </w:style>
  <w:style w:type="paragraph" w:customStyle="1" w:styleId="NormalBold">
    <w:name w:val="NormalBold"/>
    <w:basedOn w:val="Normal"/>
    <w:rsid w:val="00E037E2"/>
    <w:rPr>
      <w:b/>
    </w:rPr>
  </w:style>
  <w:style w:type="paragraph" w:customStyle="1" w:styleId="NormalBold12a">
    <w:name w:val="NormalBold12a"/>
    <w:basedOn w:val="Normal"/>
    <w:rsid w:val="00E037E2"/>
    <w:pPr>
      <w:spacing w:after="240"/>
    </w:pPr>
    <w:rPr>
      <w:b/>
    </w:rPr>
  </w:style>
  <w:style w:type="paragraph" w:customStyle="1" w:styleId="AmJustText">
    <w:name w:val="AmJustText"/>
    <w:basedOn w:val="Normal"/>
    <w:rsid w:val="00E037E2"/>
    <w:pPr>
      <w:spacing w:after="240"/>
    </w:pPr>
    <w:rPr>
      <w:i/>
    </w:rPr>
  </w:style>
  <w:style w:type="paragraph" w:customStyle="1" w:styleId="NormalHanging12a">
    <w:name w:val="NormalHanging12a"/>
    <w:basedOn w:val="Normal"/>
    <w:rsid w:val="00E037E2"/>
    <w:pPr>
      <w:spacing w:after="240"/>
      <w:ind w:left="567" w:hanging="567"/>
    </w:pPr>
  </w:style>
  <w:style w:type="paragraph" w:customStyle="1" w:styleId="CoverNormal24a">
    <w:name w:val="CoverNormal24a"/>
    <w:basedOn w:val="Normal"/>
    <w:rsid w:val="00E037E2"/>
    <w:pPr>
      <w:spacing w:after="480"/>
      <w:ind w:left="1417"/>
    </w:pPr>
  </w:style>
  <w:style w:type="paragraph" w:customStyle="1" w:styleId="CoverNormal">
    <w:name w:val="CoverNormal"/>
    <w:basedOn w:val="Normal"/>
    <w:rsid w:val="00E037E2"/>
    <w:pPr>
      <w:ind w:left="1418"/>
    </w:pPr>
  </w:style>
  <w:style w:type="paragraph" w:customStyle="1" w:styleId="AmCrossRef">
    <w:name w:val="AmCrossRef"/>
    <w:basedOn w:val="Normal"/>
    <w:rsid w:val="00E037E2"/>
    <w:pPr>
      <w:spacing w:before="240" w:after="240"/>
      <w:jc w:val="center"/>
    </w:pPr>
    <w:rPr>
      <w:i/>
    </w:rPr>
  </w:style>
  <w:style w:type="paragraph" w:customStyle="1" w:styleId="AmJustTitle">
    <w:name w:val="AmJustTitle"/>
    <w:basedOn w:val="Normal"/>
    <w:next w:val="AmJustText"/>
    <w:rsid w:val="00E037E2"/>
    <w:pPr>
      <w:keepNext/>
      <w:spacing w:before="240" w:after="240"/>
      <w:jc w:val="center"/>
    </w:pPr>
    <w:rPr>
      <w:i/>
    </w:rPr>
  </w:style>
  <w:style w:type="paragraph" w:customStyle="1" w:styleId="CoverReference">
    <w:name w:val="CoverReference"/>
    <w:basedOn w:val="Normal"/>
    <w:rsid w:val="00E037E2"/>
    <w:pPr>
      <w:spacing w:before="1080"/>
      <w:jc w:val="right"/>
    </w:pPr>
    <w:rPr>
      <w:rFonts w:ascii="Arial" w:hAnsi="Arial" w:cs="Arial"/>
      <w:b/>
    </w:rPr>
  </w:style>
  <w:style w:type="paragraph" w:customStyle="1" w:styleId="CoverDocType">
    <w:name w:val="CoverDocType"/>
    <w:basedOn w:val="Normal"/>
    <w:rsid w:val="00E037E2"/>
    <w:pPr>
      <w:ind w:left="1418"/>
    </w:pPr>
    <w:rPr>
      <w:rFonts w:ascii="Arial" w:hAnsi="Arial"/>
      <w:b/>
      <w:sz w:val="48"/>
    </w:rPr>
  </w:style>
  <w:style w:type="paragraph" w:customStyle="1" w:styleId="CoverDocType24a">
    <w:name w:val="CoverDocType24a"/>
    <w:basedOn w:val="Normal"/>
    <w:rsid w:val="00E037E2"/>
    <w:pPr>
      <w:spacing w:after="480"/>
      <w:ind w:left="1418"/>
    </w:pPr>
    <w:rPr>
      <w:rFonts w:ascii="Arial" w:hAnsi="Arial"/>
      <w:b/>
      <w:sz w:val="48"/>
    </w:rPr>
  </w:style>
  <w:style w:type="paragraph" w:customStyle="1" w:styleId="CoverDate">
    <w:name w:val="CoverDate"/>
    <w:basedOn w:val="Normal"/>
    <w:rsid w:val="00E037E2"/>
    <w:pPr>
      <w:spacing w:before="240" w:after="1200"/>
    </w:pPr>
  </w:style>
  <w:style w:type="paragraph" w:styleId="Header">
    <w:name w:val="header"/>
    <w:basedOn w:val="Normal"/>
    <w:link w:val="HeaderChar"/>
    <w:rsid w:val="00E037E2"/>
    <w:pPr>
      <w:tabs>
        <w:tab w:val="center" w:pos="4513"/>
        <w:tab w:val="right" w:pos="9026"/>
      </w:tabs>
    </w:pPr>
  </w:style>
  <w:style w:type="character" w:customStyle="1" w:styleId="HeaderChar">
    <w:name w:val="Header Char"/>
    <w:basedOn w:val="DefaultParagraphFont"/>
    <w:link w:val="Header"/>
    <w:rsid w:val="00E037E2"/>
    <w:rPr>
      <w:sz w:val="24"/>
      <w:lang w:val="lt-LT"/>
    </w:rPr>
  </w:style>
  <w:style w:type="paragraph" w:customStyle="1" w:styleId="AmOrLang">
    <w:name w:val="AmOrLang"/>
    <w:basedOn w:val="Normal"/>
    <w:rsid w:val="00E037E2"/>
    <w:pPr>
      <w:spacing w:before="240" w:after="240"/>
      <w:jc w:val="right"/>
    </w:pPr>
  </w:style>
  <w:style w:type="paragraph" w:customStyle="1" w:styleId="AmColumnHeading">
    <w:name w:val="AmColumnHeading"/>
    <w:basedOn w:val="Normal"/>
    <w:rsid w:val="00E037E2"/>
    <w:pPr>
      <w:spacing w:after="240"/>
      <w:jc w:val="center"/>
    </w:pPr>
    <w:rPr>
      <w:i/>
    </w:rPr>
  </w:style>
  <w:style w:type="paragraph" w:customStyle="1" w:styleId="AmNumberTabs">
    <w:name w:val="AmNumberTabs"/>
    <w:basedOn w:val="Normal"/>
    <w:rsid w:val="00E037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037E2"/>
    <w:pPr>
      <w:spacing w:before="240"/>
    </w:pPr>
    <w:rPr>
      <w:b/>
    </w:rPr>
  </w:style>
  <w:style w:type="paragraph" w:customStyle="1" w:styleId="EPBody">
    <w:name w:val="EPBody"/>
    <w:basedOn w:val="Normal"/>
    <w:rsid w:val="00E037E2"/>
    <w:pPr>
      <w:jc w:val="center"/>
    </w:pPr>
    <w:rPr>
      <w:rFonts w:ascii="Arial" w:hAnsi="Arial" w:cs="Arial"/>
      <w:i/>
      <w:sz w:val="22"/>
      <w:szCs w:val="22"/>
    </w:rPr>
  </w:style>
  <w:style w:type="paragraph" w:customStyle="1" w:styleId="EPFooter">
    <w:name w:val="EPFooter"/>
    <w:basedOn w:val="Normal"/>
    <w:rsid w:val="00E037E2"/>
    <w:pPr>
      <w:tabs>
        <w:tab w:val="center" w:pos="4535"/>
        <w:tab w:val="right" w:pos="9071"/>
      </w:tabs>
      <w:spacing w:before="240" w:after="240"/>
    </w:pPr>
    <w:rPr>
      <w:color w:val="010000"/>
      <w:sz w:val="22"/>
    </w:rPr>
  </w:style>
  <w:style w:type="paragraph" w:customStyle="1" w:styleId="EPComma">
    <w:name w:val="EPComma"/>
    <w:basedOn w:val="Normal"/>
    <w:rsid w:val="00E037E2"/>
    <w:pPr>
      <w:spacing w:before="480" w:after="240"/>
    </w:pPr>
  </w:style>
  <w:style w:type="paragraph" w:customStyle="1" w:styleId="Lgendesigne">
    <w:name w:val="Légende signe"/>
    <w:basedOn w:val="Normal"/>
    <w:rsid w:val="00E037E2"/>
    <w:pPr>
      <w:tabs>
        <w:tab w:val="right" w:pos="454"/>
        <w:tab w:val="left" w:pos="737"/>
      </w:tabs>
      <w:ind w:left="737" w:hanging="737"/>
    </w:pPr>
    <w:rPr>
      <w:snapToGrid w:val="0"/>
      <w:sz w:val="18"/>
      <w:lang w:eastAsia="en-US"/>
    </w:rPr>
  </w:style>
  <w:style w:type="paragraph" w:customStyle="1" w:styleId="Lgendetitre">
    <w:name w:val="Légende titre"/>
    <w:basedOn w:val="Normal"/>
    <w:rsid w:val="00E037E2"/>
    <w:pPr>
      <w:spacing w:before="240" w:after="240"/>
    </w:pPr>
    <w:rPr>
      <w:b/>
      <w:i/>
      <w:snapToGrid w:val="0"/>
      <w:lang w:eastAsia="en-US"/>
    </w:rPr>
  </w:style>
  <w:style w:type="paragraph" w:customStyle="1" w:styleId="Lgendestandard">
    <w:name w:val="Légende standard"/>
    <w:basedOn w:val="Normal"/>
    <w:rsid w:val="00E037E2"/>
    <w:rPr>
      <w:sz w:val="18"/>
    </w:rPr>
  </w:style>
  <w:style w:type="paragraph" w:customStyle="1" w:styleId="Normal24a">
    <w:name w:val="Normal24a"/>
    <w:basedOn w:val="Normal"/>
    <w:rsid w:val="00E037E2"/>
    <w:pPr>
      <w:spacing w:after="480"/>
    </w:pPr>
  </w:style>
  <w:style w:type="paragraph" w:customStyle="1" w:styleId="NormalBoldCenter">
    <w:name w:val="NormalBoldCenter"/>
    <w:basedOn w:val="Normal"/>
    <w:rsid w:val="00E037E2"/>
    <w:pPr>
      <w:jc w:val="center"/>
    </w:pPr>
    <w:rPr>
      <w:b/>
    </w:rPr>
  </w:style>
  <w:style w:type="paragraph" w:styleId="Footer">
    <w:name w:val="footer"/>
    <w:basedOn w:val="Normal"/>
    <w:link w:val="FooterChar"/>
    <w:rsid w:val="00E037E2"/>
    <w:pPr>
      <w:tabs>
        <w:tab w:val="center" w:pos="4513"/>
        <w:tab w:val="right" w:pos="9026"/>
      </w:tabs>
    </w:pPr>
  </w:style>
  <w:style w:type="character" w:customStyle="1" w:styleId="FooterChar">
    <w:name w:val="Footer Char"/>
    <w:basedOn w:val="DefaultParagraphFont"/>
    <w:link w:val="Footer"/>
    <w:rsid w:val="00E037E2"/>
    <w:rPr>
      <w:sz w:val="24"/>
      <w:lang w:val="lt-LT"/>
    </w:rPr>
  </w:style>
  <w:style w:type="paragraph" w:styleId="BalloonText">
    <w:name w:val="Balloon Text"/>
    <w:basedOn w:val="Normal"/>
    <w:link w:val="BalloonTextChar"/>
    <w:unhideWhenUsed/>
    <w:rsid w:val="00E037E2"/>
    <w:rPr>
      <w:rFonts w:ascii="Segoe UI" w:hAnsi="Segoe UI" w:cs="Segoe UI"/>
      <w:sz w:val="18"/>
      <w:szCs w:val="18"/>
    </w:rPr>
  </w:style>
  <w:style w:type="character" w:customStyle="1" w:styleId="BalloonTextChar">
    <w:name w:val="Balloon Text Char"/>
    <w:basedOn w:val="DefaultParagraphFont"/>
    <w:link w:val="BalloonText"/>
    <w:rsid w:val="00E037E2"/>
    <w:rPr>
      <w:rFonts w:ascii="Segoe UI" w:hAnsi="Segoe UI" w:cs="Segoe UI"/>
      <w:sz w:val="18"/>
      <w:szCs w:val="18"/>
      <w:lang w:val="lt-LT"/>
    </w:rPr>
  </w:style>
  <w:style w:type="character" w:styleId="CommentReference">
    <w:name w:val="annotation reference"/>
    <w:basedOn w:val="DefaultParagraphFont"/>
    <w:rsid w:val="00E037E2"/>
    <w:rPr>
      <w:sz w:val="16"/>
      <w:szCs w:val="16"/>
    </w:rPr>
  </w:style>
  <w:style w:type="paragraph" w:styleId="CommentText">
    <w:name w:val="annotation text"/>
    <w:basedOn w:val="Normal"/>
    <w:link w:val="CommentTextChar"/>
    <w:rsid w:val="00E037E2"/>
    <w:rPr>
      <w:sz w:val="20"/>
    </w:rPr>
  </w:style>
  <w:style w:type="character" w:customStyle="1" w:styleId="CommentTextChar">
    <w:name w:val="Comment Text Char"/>
    <w:basedOn w:val="DefaultParagraphFont"/>
    <w:link w:val="CommentText"/>
    <w:rsid w:val="00E037E2"/>
    <w:rPr>
      <w:lang w:val="lt-LT"/>
    </w:rPr>
  </w:style>
  <w:style w:type="paragraph" w:styleId="CommentSubject">
    <w:name w:val="annotation subject"/>
    <w:basedOn w:val="CommentText"/>
    <w:next w:val="CommentText"/>
    <w:link w:val="CommentSubjectChar"/>
    <w:unhideWhenUsed/>
    <w:rsid w:val="00E037E2"/>
    <w:rPr>
      <w:b/>
      <w:bCs/>
    </w:rPr>
  </w:style>
  <w:style w:type="character" w:customStyle="1" w:styleId="CommentSubjectChar">
    <w:name w:val="Comment Subject Char"/>
    <w:basedOn w:val="CommentTextChar"/>
    <w:link w:val="CommentSubject"/>
    <w:rsid w:val="00E037E2"/>
    <w:rPr>
      <w:b/>
      <w:bCs/>
      <w:lang w:val="lt-LT"/>
    </w:rPr>
  </w:style>
  <w:style w:type="paragraph" w:customStyle="1" w:styleId="msonormal0">
    <w:name w:val="msonormal"/>
    <w:basedOn w:val="Normal"/>
    <w:rsid w:val="00E037E2"/>
    <w:pPr>
      <w:widowControl/>
      <w:spacing w:before="100" w:beforeAutospacing="1" w:after="100" w:afterAutospacing="1"/>
    </w:pPr>
    <w:rPr>
      <w:szCs w:val="24"/>
    </w:rPr>
  </w:style>
  <w:style w:type="paragraph" w:customStyle="1" w:styleId="Normal12a">
    <w:name w:val="Normal12a"/>
    <w:basedOn w:val="Normal"/>
    <w:rsid w:val="00E037E2"/>
    <w:pPr>
      <w:spacing w:after="240"/>
    </w:pPr>
  </w:style>
  <w:style w:type="paragraph" w:customStyle="1" w:styleId="RollCallVotes">
    <w:name w:val="RollCallVotes"/>
    <w:basedOn w:val="Normal"/>
    <w:rsid w:val="00E037E2"/>
    <w:pPr>
      <w:snapToGrid w:val="0"/>
      <w:spacing w:before="120" w:after="120"/>
      <w:jc w:val="center"/>
    </w:pPr>
    <w:rPr>
      <w:b/>
      <w:bCs/>
      <w:sz w:val="16"/>
      <w:lang w:eastAsia="en-US"/>
    </w:rPr>
  </w:style>
  <w:style w:type="paragraph" w:customStyle="1" w:styleId="RollCallTabs">
    <w:name w:val="RollCallTabs"/>
    <w:basedOn w:val="Normal"/>
    <w:qFormat/>
    <w:rsid w:val="00E037E2"/>
    <w:pPr>
      <w:tabs>
        <w:tab w:val="center" w:pos="284"/>
        <w:tab w:val="left" w:pos="426"/>
      </w:tabs>
      <w:snapToGrid w:val="0"/>
    </w:pPr>
    <w:rPr>
      <w:lang w:eastAsia="en-US"/>
    </w:rPr>
  </w:style>
  <w:style w:type="paragraph" w:customStyle="1" w:styleId="RollCallSymbols14pt">
    <w:name w:val="RollCallSymbols14pt"/>
    <w:basedOn w:val="Normal"/>
    <w:rsid w:val="00E037E2"/>
    <w:pPr>
      <w:snapToGrid w:val="0"/>
      <w:spacing w:before="120" w:after="120"/>
      <w:jc w:val="center"/>
    </w:pPr>
    <w:rPr>
      <w:rFonts w:ascii="Arial" w:hAnsi="Arial"/>
      <w:b/>
      <w:bCs/>
      <w:sz w:val="28"/>
      <w:lang w:eastAsia="en-US"/>
    </w:rPr>
  </w:style>
  <w:style w:type="paragraph" w:customStyle="1" w:styleId="RollCallTable">
    <w:name w:val="RollCallTable"/>
    <w:basedOn w:val="Normal"/>
    <w:rsid w:val="00E037E2"/>
    <w:pPr>
      <w:snapToGrid w:val="0"/>
      <w:spacing w:before="120" w:after="120"/>
    </w:pPr>
    <w:rPr>
      <w:sz w:val="16"/>
      <w:lang w:eastAsia="en-US"/>
    </w:rPr>
  </w:style>
  <w:style w:type="paragraph" w:styleId="Revision">
    <w:name w:val="Revision"/>
    <w:hidden/>
    <w:uiPriority w:val="99"/>
    <w:semiHidden/>
    <w:rsid w:val="00226189"/>
    <w:rPr>
      <w:sz w:val="24"/>
      <w:lang w:val="lt-LT"/>
    </w:rPr>
  </w:style>
  <w:style w:type="character" w:customStyle="1" w:styleId="Hyperlink1">
    <w:name w:val="Hyperlink1"/>
    <w:basedOn w:val="DefaultParagraphFont"/>
    <w:uiPriority w:val="99"/>
    <w:unhideWhenUsed/>
    <w:rsid w:val="00892FC3"/>
    <w:rPr>
      <w:color w:val="0000FF"/>
      <w:u w:val="single"/>
    </w:rPr>
  </w:style>
  <w:style w:type="character" w:styleId="Hyperlink">
    <w:name w:val="Hyperlink"/>
    <w:basedOn w:val="DefaultParagraphFont"/>
    <w:rsid w:val="002D64BA"/>
    <w:rPr>
      <w:color w:val="0563C1" w:themeColor="hyperlink"/>
      <w:u w:val="single"/>
    </w:rPr>
  </w:style>
  <w:style w:type="character" w:styleId="UnresolvedMention">
    <w:name w:val="Unresolved Mention"/>
    <w:basedOn w:val="DefaultParagraphFont"/>
    <w:uiPriority w:val="99"/>
    <w:semiHidden/>
    <w:unhideWhenUsed/>
    <w:rsid w:val="002D6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241502">
      <w:bodyDiv w:val="1"/>
      <w:marLeft w:val="0"/>
      <w:marRight w:val="0"/>
      <w:marTop w:val="0"/>
      <w:marBottom w:val="0"/>
      <w:divBdr>
        <w:top w:val="none" w:sz="0" w:space="0" w:color="auto"/>
        <w:left w:val="none" w:sz="0" w:space="0" w:color="auto"/>
        <w:bottom w:val="none" w:sz="0" w:space="0" w:color="auto"/>
        <w:right w:val="none" w:sz="0" w:space="0" w:color="auto"/>
      </w:divBdr>
    </w:div>
    <w:div w:id="1034890307">
      <w:bodyDiv w:val="1"/>
      <w:marLeft w:val="0"/>
      <w:marRight w:val="0"/>
      <w:marTop w:val="0"/>
      <w:marBottom w:val="0"/>
      <w:divBdr>
        <w:top w:val="none" w:sz="0" w:space="0" w:color="auto"/>
        <w:left w:val="none" w:sz="0" w:space="0" w:color="auto"/>
        <w:bottom w:val="none" w:sz="0" w:space="0" w:color="auto"/>
        <w:right w:val="none" w:sz="0" w:space="0" w:color="auto"/>
      </w:divBdr>
    </w:div>
    <w:div w:id="166030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6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298</Words>
  <Characters>2180</Characters>
  <Application>Microsoft Office Word</Application>
  <DocSecurity>4</DocSecurity>
  <Lines>18</Lines>
  <Paragraphs>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Europos darbo tarybų steigimas bei veikimas: veiksmingas užtikrinimas</vt:lpstr>
      <vt:lpstr>        2025 m. spalio XX d. Europos Parlamento teisėkūros rezoliucija dėl pasiūlymo dėl</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2</cp:revision>
  <cp:lastPrinted>2004-11-19T15:42:00Z</cp:lastPrinted>
  <dcterms:created xsi:type="dcterms:W3CDTF">2026-01-14T15:14:00Z</dcterms:created>
  <dcterms:modified xsi:type="dcterms:W3CDTF">2026-01-14T15:14:00Z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P10_TA(2025)0226_</vt:lpwstr>
  </property>
  <property fmtid="{D5CDD505-2E9C-101B-9397-08002B2CF9AE}" pid="4" name="&lt;Type&gt;">
    <vt:lpwstr>RR</vt:lpwstr>
  </property>
</Properties>
</file>