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B4A25" w14:paraId="236D577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ACA1DAC" w14:textId="77777777" w:rsidR="00751A4A" w:rsidRPr="004B4A25" w:rsidRDefault="00EB665F" w:rsidP="0010095E">
            <w:pPr>
              <w:pStyle w:val="EPName"/>
            </w:pPr>
            <w:r w:rsidRPr="004B4A25">
              <w:t>Parlament Ewropew</w:t>
            </w:r>
          </w:p>
          <w:p w14:paraId="16E129B3" w14:textId="77777777" w:rsidR="00751A4A" w:rsidRPr="004B4A2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B4A25">
              <w:t>2024</w:t>
            </w:r>
            <w:r w:rsidR="00817416" w:rsidRPr="004B4A25">
              <w:t>-202</w:t>
            </w:r>
            <w:r w:rsidRPr="004B4A25">
              <w:t>9</w:t>
            </w:r>
          </w:p>
        </w:tc>
        <w:tc>
          <w:tcPr>
            <w:tcW w:w="2268" w:type="dxa"/>
            <w:shd w:val="clear" w:color="auto" w:fill="auto"/>
          </w:tcPr>
          <w:p w14:paraId="5709862D" w14:textId="77777777" w:rsidR="00751A4A" w:rsidRPr="004B4A25" w:rsidRDefault="00187494" w:rsidP="0010095E">
            <w:pPr>
              <w:pStyle w:val="EPLogo"/>
            </w:pPr>
            <w:r w:rsidRPr="004B4A25">
              <w:rPr>
                <w:noProof/>
                <w:lang w:eastAsia="ja-JP"/>
              </w:rPr>
              <w:drawing>
                <wp:inline distT="0" distB="0" distL="0" distR="0" wp14:anchorId="3BFBE62F" wp14:editId="49BA79B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C2733C" w14:textId="77777777" w:rsidR="00D058B8" w:rsidRPr="004B4A25" w:rsidRDefault="00D058B8" w:rsidP="004C5D52">
      <w:pPr>
        <w:pStyle w:val="LineTop"/>
      </w:pPr>
    </w:p>
    <w:p w14:paraId="22CBA54E" w14:textId="77777777" w:rsidR="00680577" w:rsidRPr="004B4A25" w:rsidRDefault="00EB665F" w:rsidP="00680577">
      <w:pPr>
        <w:pStyle w:val="EPBodyTA1"/>
      </w:pPr>
      <w:r w:rsidRPr="004B4A25">
        <w:t>TESTI ADOTTATI</w:t>
      </w:r>
    </w:p>
    <w:p w14:paraId="79917960" w14:textId="77777777" w:rsidR="00D058B8" w:rsidRPr="004B4A25" w:rsidRDefault="00D058B8" w:rsidP="00D058B8">
      <w:pPr>
        <w:pStyle w:val="LineBottom"/>
      </w:pPr>
    </w:p>
    <w:p w14:paraId="5CEA421F" w14:textId="38B1C2AE" w:rsidR="00EB665F" w:rsidRPr="004B4A25" w:rsidRDefault="00EB665F" w:rsidP="00EB665F">
      <w:pPr>
        <w:pStyle w:val="ATHeading1"/>
      </w:pPr>
      <w:bookmarkStart w:id="0" w:name="TANumber"/>
      <w:r w:rsidRPr="004B4A25">
        <w:t>P10_TA(2025)0</w:t>
      </w:r>
      <w:r w:rsidR="00484A96">
        <w:t>226</w:t>
      </w:r>
      <w:bookmarkEnd w:id="0"/>
    </w:p>
    <w:p w14:paraId="21F78EFB" w14:textId="551B5113" w:rsidR="00EB665F" w:rsidRPr="004B4A25" w:rsidRDefault="00B129CC" w:rsidP="00EB665F">
      <w:pPr>
        <w:pStyle w:val="ATHeading2"/>
      </w:pPr>
      <w:r w:rsidRPr="00B129CC">
        <w:t>L-istabbiliment u l-funzjonament tal-Kunsilli Ewropej tax-Xogħlijiet - infurzar effettiv</w:t>
      </w:r>
    </w:p>
    <w:p w14:paraId="3135065B" w14:textId="77777777" w:rsidR="00EB665F" w:rsidRPr="004B4A25" w:rsidRDefault="00EB665F" w:rsidP="00EB665F">
      <w:pPr>
        <w:rPr>
          <w:i/>
          <w:vanish/>
        </w:rPr>
      </w:pPr>
      <w:r w:rsidRPr="004B4A25">
        <w:rPr>
          <w:i/>
        </w:rPr>
        <w:fldChar w:fldCharType="begin"/>
      </w:r>
      <w:r w:rsidRPr="004B4A25">
        <w:rPr>
          <w:i/>
        </w:rPr>
        <w:instrText xml:space="preserve"> TC"(</w:instrText>
      </w:r>
      <w:bookmarkStart w:id="1" w:name="DocNumber"/>
      <w:r w:rsidRPr="004B4A25">
        <w:rPr>
          <w:i/>
        </w:rPr>
        <w:instrText>A10-0029/2024</w:instrText>
      </w:r>
      <w:bookmarkEnd w:id="1"/>
      <w:r w:rsidRPr="004B4A25">
        <w:rPr>
          <w:i/>
        </w:rPr>
        <w:instrText xml:space="preserve"> - Rapporteur: Dennis Radtke)"\l3 \n&gt; \* MERGEFORMAT </w:instrText>
      </w:r>
      <w:r w:rsidRPr="004B4A25">
        <w:rPr>
          <w:i/>
        </w:rPr>
        <w:fldChar w:fldCharType="end"/>
      </w:r>
    </w:p>
    <w:p w14:paraId="5A419C5C" w14:textId="77777777" w:rsidR="00EB665F" w:rsidRPr="004B4A25" w:rsidRDefault="00EB665F" w:rsidP="00EB665F">
      <w:pPr>
        <w:rPr>
          <w:vanish/>
        </w:rPr>
      </w:pPr>
      <w:bookmarkStart w:id="2" w:name="Commission"/>
      <w:r w:rsidRPr="004B4A25">
        <w:rPr>
          <w:vanish/>
        </w:rPr>
        <w:t>Kumitat għall-Impjiegi u l-Affarijiet Soċjali</w:t>
      </w:r>
      <w:bookmarkEnd w:id="2"/>
    </w:p>
    <w:p w14:paraId="22186451" w14:textId="235323BB" w:rsidR="00EB665F" w:rsidRPr="004B4A25" w:rsidRDefault="00EB665F" w:rsidP="00EB665F">
      <w:pPr>
        <w:rPr>
          <w:vanish/>
        </w:rPr>
      </w:pPr>
      <w:bookmarkStart w:id="3" w:name="PE"/>
      <w:r w:rsidRPr="004B4A25">
        <w:rPr>
          <w:vanish/>
        </w:rPr>
        <w:t>PE7</w:t>
      </w:r>
      <w:r w:rsidR="00C86DF8">
        <w:rPr>
          <w:vanish/>
        </w:rPr>
        <w:t>66</w:t>
      </w:r>
      <w:r w:rsidRPr="004B4A25">
        <w:rPr>
          <w:vanish/>
        </w:rPr>
        <w:t>.7</w:t>
      </w:r>
      <w:r w:rsidR="00C86DF8">
        <w:rPr>
          <w:vanish/>
        </w:rPr>
        <w:t>96</w:t>
      </w:r>
      <w:bookmarkEnd w:id="3"/>
    </w:p>
    <w:p w14:paraId="1CCD4AAC" w14:textId="22739F0B" w:rsidR="00EB665F" w:rsidRPr="004B4A25" w:rsidRDefault="00EB665F" w:rsidP="00EB665F">
      <w:pPr>
        <w:pStyle w:val="ATHeading3"/>
      </w:pPr>
      <w:bookmarkStart w:id="4" w:name="Sujet"/>
      <w:r w:rsidRPr="004B4A25">
        <w:t>Riżoluzzjoni leġiżlattiva tal-Parlament Ewropew ta</w:t>
      </w:r>
      <w:r w:rsidR="009E7B70">
        <w:t>d</w:t>
      </w:r>
      <w:r w:rsidRPr="004B4A25">
        <w:t>-</w:t>
      </w:r>
      <w:r w:rsidR="009E7B70">
        <w:t>9</w:t>
      </w:r>
      <w:r w:rsidRPr="004B4A25">
        <w:t xml:space="preserve"> ta' Ottubru 2025 dwar il-proposta għal direttiva tal-Parlament Ewropew u tal-Kunsill li temenda d-Direttiva 2009/38/KE fir-rigward tal-istabbiliment u l-funzjonament tal-Kunsilli Ewropej tax-Xogħlijiet u l-infurzar effettiv tad-drittijiet </w:t>
      </w:r>
      <w:proofErr w:type="spellStart"/>
      <w:r w:rsidRPr="004B4A25">
        <w:t>tranżnazzjonali</w:t>
      </w:r>
      <w:proofErr w:type="spellEnd"/>
      <w:r w:rsidRPr="004B4A25">
        <w:t xml:space="preserve"> tal-informazzjoni u l-konsultazzjoni</w:t>
      </w:r>
      <w:bookmarkEnd w:id="4"/>
      <w:r w:rsidRPr="004B4A25">
        <w:t xml:space="preserve"> </w:t>
      </w:r>
      <w:bookmarkStart w:id="5" w:name="References"/>
      <w:r w:rsidRPr="004B4A25">
        <w:t>(COM(2024)0014 – C9-0012/2024 – 2024/0006(COD))</w:t>
      </w:r>
      <w:bookmarkEnd w:id="5"/>
    </w:p>
    <w:p w14:paraId="6DFC3B56" w14:textId="77777777" w:rsidR="007C19DD" w:rsidRPr="004B4A25" w:rsidRDefault="007C19DD" w:rsidP="007C19DD">
      <w:pPr>
        <w:pStyle w:val="NormalBold"/>
      </w:pPr>
      <w:r w:rsidRPr="004B4A25">
        <w:t>(Proċedura leġiżlattiva ordinarja: l-ewwel qari)</w:t>
      </w:r>
    </w:p>
    <w:p w14:paraId="007D4064" w14:textId="77777777" w:rsidR="007C19DD" w:rsidRPr="004B4A25" w:rsidRDefault="007C19DD" w:rsidP="007C19DD">
      <w:pPr>
        <w:pStyle w:val="EPComma"/>
      </w:pPr>
      <w:r w:rsidRPr="004B4A25">
        <w:rPr>
          <w:i/>
        </w:rPr>
        <w:t>Il-Parlament Ewropew</w:t>
      </w:r>
      <w:r w:rsidRPr="004B4A25">
        <w:t>,</w:t>
      </w:r>
    </w:p>
    <w:p w14:paraId="601BF067" w14:textId="77777777" w:rsidR="007C19DD" w:rsidRPr="004B4A25" w:rsidRDefault="007C19DD" w:rsidP="007C19DD">
      <w:pPr>
        <w:pStyle w:val="NormalHanging12a"/>
      </w:pPr>
      <w:r w:rsidRPr="004B4A25">
        <w:t>–</w:t>
      </w:r>
      <w:r w:rsidRPr="004B4A25">
        <w:tab/>
        <w:t>wara li kkunsidra l-proposta tal-Kummissjoni lill-Parlament Ewropew u lill-Kunsill (COM(2024)0014),</w:t>
      </w:r>
    </w:p>
    <w:p w14:paraId="2AE2827A" w14:textId="01D68ECC" w:rsidR="007C19DD" w:rsidRPr="004B4A25" w:rsidRDefault="007C19DD" w:rsidP="007C19DD">
      <w:pPr>
        <w:pStyle w:val="NormalHanging12a"/>
      </w:pPr>
      <w:r w:rsidRPr="004B4A25">
        <w:t>–</w:t>
      </w:r>
      <w:r w:rsidRPr="004B4A25">
        <w:tab/>
        <w:t xml:space="preserve">wara li kkunsidra l-Artikolu 294(2) u l-Artikoli 153(1)(e) </w:t>
      </w:r>
      <w:r w:rsidR="00096AE9">
        <w:t>flimkien mal-Artikolu</w:t>
      </w:r>
      <w:r w:rsidRPr="004B4A25">
        <w:t>153(2)(b) tat-Trattat dwar il-Funzjonament tal-Unjoni Ewropea, skont liema artikoli l-Kummissjoni ppreżentat il-proposta lill-Parlament (C9</w:t>
      </w:r>
      <w:r w:rsidRPr="004B4A25">
        <w:noBreakHyphen/>
        <w:t>0012/2024),</w:t>
      </w:r>
    </w:p>
    <w:p w14:paraId="4EB44634" w14:textId="77777777" w:rsidR="007C19DD" w:rsidRPr="004B4A25" w:rsidRDefault="007C19DD" w:rsidP="007C19DD">
      <w:pPr>
        <w:pStyle w:val="NormalHanging12a"/>
      </w:pPr>
      <w:r w:rsidRPr="004B4A25">
        <w:t>–</w:t>
      </w:r>
      <w:r w:rsidRPr="004B4A25">
        <w:tab/>
        <w:t>wara li kkunsidra l-Artikolu 294(3) tat-Trattat dwar il-Funzjonament tal-Unjoni Ewropea,</w:t>
      </w:r>
    </w:p>
    <w:p w14:paraId="74F62875" w14:textId="77777777" w:rsidR="007C19DD" w:rsidRPr="004B4A25" w:rsidRDefault="007C19DD" w:rsidP="007C19DD">
      <w:pPr>
        <w:pStyle w:val="NormalHanging12a"/>
      </w:pPr>
      <w:r w:rsidRPr="004B4A25">
        <w:t>–</w:t>
      </w:r>
      <w:r w:rsidRPr="004B4A25">
        <w:tab/>
        <w:t>wara li kkunsidra l-opinjoni tal-Kumitat Ekonomiku u Soċjali Ewropew tat-30 ta’ Mejju 2024</w:t>
      </w:r>
      <w:r w:rsidRPr="004B4A25">
        <w:rPr>
          <w:rStyle w:val="FootnoteReference"/>
        </w:rPr>
        <w:footnoteReference w:id="1"/>
      </w:r>
      <w:r w:rsidRPr="004B4A25">
        <w:t>,</w:t>
      </w:r>
    </w:p>
    <w:p w14:paraId="227AFC1A" w14:textId="08A2A6B6" w:rsidR="007C19DD" w:rsidRDefault="007C19DD" w:rsidP="007C19DD">
      <w:pPr>
        <w:pStyle w:val="NormalHanging12a"/>
      </w:pPr>
      <w:r w:rsidRPr="004B4A25">
        <w:t>–</w:t>
      </w:r>
      <w:r w:rsidRPr="004B4A25">
        <w:tab/>
        <w:t xml:space="preserve">wara li kkonsulta </w:t>
      </w:r>
      <w:r w:rsidR="00096AE9">
        <w:t>mal</w:t>
      </w:r>
      <w:r w:rsidRPr="004B4A25">
        <w:t>-Kumitat tar-Reġjuni,</w:t>
      </w:r>
    </w:p>
    <w:p w14:paraId="52315B5E" w14:textId="2D354679" w:rsidR="00A86B36" w:rsidRPr="004B4A25" w:rsidRDefault="00A86B36" w:rsidP="007C19DD">
      <w:pPr>
        <w:pStyle w:val="NormalHanging12a"/>
      </w:pPr>
      <w:r w:rsidRPr="004B4A25">
        <w:t>–</w:t>
      </w:r>
      <w:r w:rsidRPr="004B4A25">
        <w:tab/>
      </w:r>
      <w:r w:rsidRPr="00A86B36">
        <w:t>wara li kkunsidra l-ftehim proviżorju approvat mill-kumitat responsabbli fis-sens tal-Artikolu 75(4) tar-Regoli ta' Proċedura tiegħu</w:t>
      </w:r>
      <w:r w:rsidR="00461885">
        <w:t>,</w:t>
      </w:r>
      <w:r w:rsidRPr="00A86B36">
        <w:t xml:space="preserve"> u l-impenn meħud mir-rappreżentant tal-Kunsill, permezz tal-ittra tat-2</w:t>
      </w:r>
      <w:r>
        <w:t>8</w:t>
      </w:r>
      <w:r w:rsidRPr="00A86B36">
        <w:t xml:space="preserve"> ta' </w:t>
      </w:r>
      <w:r>
        <w:t>Mejju</w:t>
      </w:r>
      <w:r w:rsidRPr="00A86B36">
        <w:t xml:space="preserve"> 2025, li japprova l-pożizzjoni tal-Parlament, skont l-Artikolu 294(4) tat-Trattat dwar il-Funzjonament tal-Unjoni Ewropea,</w:t>
      </w:r>
    </w:p>
    <w:p w14:paraId="632644FD" w14:textId="77777777" w:rsidR="007C19DD" w:rsidRPr="004B4A25" w:rsidRDefault="007C19DD" w:rsidP="007C19DD">
      <w:pPr>
        <w:pStyle w:val="NormalHanging12a"/>
      </w:pPr>
      <w:r w:rsidRPr="004B4A25">
        <w:t>–</w:t>
      </w:r>
      <w:r w:rsidRPr="004B4A25">
        <w:tab/>
        <w:t>wara li kkunsidra l-Artikolu 60 tar-Regoli ta’ Proċedura tiegħu,</w:t>
      </w:r>
    </w:p>
    <w:p w14:paraId="4E318C0E" w14:textId="77777777" w:rsidR="007C19DD" w:rsidRPr="004B4A25" w:rsidRDefault="007C19DD" w:rsidP="007C19DD">
      <w:pPr>
        <w:pStyle w:val="NormalHanging12a"/>
      </w:pPr>
      <w:r w:rsidRPr="004B4A25">
        <w:t>–</w:t>
      </w:r>
      <w:r w:rsidRPr="004B4A25">
        <w:tab/>
        <w:t>wara li kkunsidra r-rapport tal-Kumitat għall-Impjiegi u l-Affarijiet Soċjali (A10-0029/2024),</w:t>
      </w:r>
    </w:p>
    <w:p w14:paraId="5DD6CF5F" w14:textId="77777777" w:rsidR="007C19DD" w:rsidRDefault="007C19DD" w:rsidP="007C19DD">
      <w:pPr>
        <w:pStyle w:val="NormalHanging12a"/>
      </w:pPr>
      <w:r w:rsidRPr="004B4A25">
        <w:t>1.</w:t>
      </w:r>
      <w:r w:rsidRPr="004B4A25">
        <w:tab/>
        <w:t>Jadotta l-pożizzjoni fl-ewwel qari li tidher hawn taħt;</w:t>
      </w:r>
    </w:p>
    <w:p w14:paraId="3CFE31A8" w14:textId="4497200C" w:rsidR="00C07D65" w:rsidRPr="004B4A25" w:rsidRDefault="00C07D65" w:rsidP="007C19DD">
      <w:pPr>
        <w:pStyle w:val="NormalHanging12a"/>
      </w:pPr>
      <w:r>
        <w:t>2.</w:t>
      </w:r>
      <w:r>
        <w:tab/>
      </w:r>
      <w:r w:rsidRPr="00C07D65">
        <w:t xml:space="preserve">Jitlob lill-Kummissjoni terġa’ tirreferi l-kwistjoni lill-Parlament jekk tibdel il-proposta tagħha, </w:t>
      </w:r>
      <w:proofErr w:type="spellStart"/>
      <w:r w:rsidRPr="00C07D65">
        <w:t>temendaha</w:t>
      </w:r>
      <w:proofErr w:type="spellEnd"/>
      <w:r w:rsidRPr="00C07D65">
        <w:t xml:space="preserve"> b’mod sustanzjali jew ikollha l-ħsieb li </w:t>
      </w:r>
      <w:proofErr w:type="spellStart"/>
      <w:r w:rsidRPr="00C07D65">
        <w:t>temendaha</w:t>
      </w:r>
      <w:proofErr w:type="spellEnd"/>
      <w:r w:rsidRPr="00C07D65">
        <w:t xml:space="preserve"> b’mod sustanzjali;</w:t>
      </w:r>
    </w:p>
    <w:p w14:paraId="0C27A8F3" w14:textId="1D408221" w:rsidR="009E7B70" w:rsidRDefault="00C07D65" w:rsidP="009E7B70">
      <w:pPr>
        <w:pStyle w:val="NormalHanging12a"/>
      </w:pPr>
      <w:r>
        <w:lastRenderedPageBreak/>
        <w:t>3</w:t>
      </w:r>
      <w:r w:rsidR="007C19DD" w:rsidRPr="004B4A25">
        <w:t>.</w:t>
      </w:r>
      <w:r w:rsidR="007C19DD" w:rsidRPr="004B4A25">
        <w:tab/>
        <w:t>Jagħti istruzzjonijiet lill-President tiegħu biex tgħaddi l-pożizzjoni tal-Parlament lill-Kunsill u lill-Kummissjoni kif ukoll lill-parlamenti nazzjonali.</w:t>
      </w:r>
    </w:p>
    <w:p w14:paraId="0781D6BC" w14:textId="77777777" w:rsidR="00F511AB" w:rsidRDefault="00F511AB" w:rsidP="009E7B70">
      <w:pPr>
        <w:pStyle w:val="NormalHanging12a"/>
      </w:pPr>
    </w:p>
    <w:p w14:paraId="4ADA8D6A" w14:textId="4B7B47C0" w:rsidR="00F511AB" w:rsidRDefault="00F511AB" w:rsidP="009E7B70">
      <w:pPr>
        <w:pStyle w:val="NormalHanging12a"/>
        <w:sectPr w:rsidR="00F511AB" w:rsidSect="009E7B70">
          <w:footnotePr>
            <w:numRestart w:val="eachSect"/>
          </w:footnotePr>
          <w:pgSz w:w="11907" w:h="16840" w:code="9"/>
          <w:pgMar w:top="1134" w:right="1134" w:bottom="1134" w:left="1134" w:header="567" w:footer="567" w:gutter="0"/>
          <w:cols w:space="720"/>
          <w:docGrid w:linePitch="360"/>
        </w:sectPr>
      </w:pPr>
    </w:p>
    <w:p w14:paraId="13A1E503" w14:textId="0BEA8015" w:rsidR="009E7B70" w:rsidRPr="009E7B70" w:rsidRDefault="009E7B70" w:rsidP="009E7B70">
      <w:pPr>
        <w:pStyle w:val="NormalHanging12a"/>
        <w:ind w:left="0" w:firstLine="0"/>
      </w:pPr>
      <w:r w:rsidRPr="0072335C">
        <w:rPr>
          <w:b/>
          <w:bCs/>
          <w:color w:val="000000"/>
        </w:rPr>
        <w:lastRenderedPageBreak/>
        <w:t>P10_TC1-COD(2024)0006</w:t>
      </w:r>
    </w:p>
    <w:p w14:paraId="495CF441" w14:textId="6399F80F" w:rsidR="009E7B70" w:rsidRPr="00925A45" w:rsidRDefault="009E7B70" w:rsidP="009E7B70">
      <w:pPr>
        <w:autoSpaceDE w:val="0"/>
        <w:autoSpaceDN w:val="0"/>
        <w:adjustRightInd w:val="0"/>
        <w:spacing w:before="120" w:after="120"/>
        <w:rPr>
          <w:rFonts w:eastAsia="Calibri"/>
          <w:b/>
          <w:szCs w:val="22"/>
          <w:lang w:eastAsia="en-US"/>
        </w:rPr>
      </w:pPr>
      <w:bookmarkStart w:id="6" w:name="_DV_M1"/>
      <w:bookmarkStart w:id="7" w:name="_DV_M2"/>
      <w:bookmarkEnd w:id="6"/>
      <w:bookmarkEnd w:id="7"/>
      <w:r w:rsidRPr="009E7B70">
        <w:rPr>
          <w:b/>
          <w:bCs/>
        </w:rPr>
        <w:t>Pożizzjoni tal-Parlament Ewropew adottata fl-ewwel qari fid-9 ta' Ottubru 2025 bil-ħsieb tal-adozzjoni tad-Direttiva (UE) 2025/… tal-Parlament Ewropew u tal-Kunsill</w:t>
      </w:r>
      <w:r>
        <w:rPr>
          <w:b/>
          <w:bCs/>
        </w:rPr>
        <w:t xml:space="preserve"> </w:t>
      </w:r>
      <w:r w:rsidRPr="00925A45">
        <w:rPr>
          <w:rFonts w:eastAsia="Calibri"/>
          <w:b/>
          <w:szCs w:val="22"/>
          <w:lang w:eastAsia="en-US"/>
        </w:rPr>
        <w:t>li temenda d-Direttiva 2009/38/KE fir-rigward tal-istabbiliment u l-</w:t>
      </w:r>
      <w:r w:rsidRPr="00925A45">
        <w:rPr>
          <w:rFonts w:eastAsia="Calibri"/>
          <w:b/>
          <w:i/>
          <w:szCs w:val="22"/>
          <w:lang w:eastAsia="en-US"/>
        </w:rPr>
        <w:t>ħidma</w:t>
      </w:r>
      <w:r w:rsidRPr="00925A45">
        <w:rPr>
          <w:rFonts w:eastAsia="Calibri"/>
          <w:b/>
          <w:szCs w:val="22"/>
          <w:lang w:eastAsia="en-US"/>
        </w:rPr>
        <w:t xml:space="preserve"> tal-Kunsilli Ewropej tax-Xogħlijiet u l-infurzar effettiv tad-drittijiet </w:t>
      </w:r>
      <w:proofErr w:type="spellStart"/>
      <w:r w:rsidRPr="00925A45">
        <w:rPr>
          <w:rFonts w:eastAsia="Calibri"/>
          <w:b/>
          <w:szCs w:val="22"/>
          <w:lang w:eastAsia="en-US"/>
        </w:rPr>
        <w:t>tranżnazzjonali</w:t>
      </w:r>
      <w:proofErr w:type="spellEnd"/>
      <w:r w:rsidRPr="00925A45">
        <w:rPr>
          <w:rFonts w:eastAsia="Calibri"/>
          <w:b/>
          <w:szCs w:val="22"/>
          <w:lang w:eastAsia="en-US"/>
        </w:rPr>
        <w:t xml:space="preserve"> ta’ informazzjoni u konsultazzjoni</w:t>
      </w:r>
    </w:p>
    <w:p w14:paraId="56F34E76" w14:textId="4008D6D8" w:rsidR="009E7B70" w:rsidRPr="00C97166" w:rsidRDefault="00C97166" w:rsidP="00C97166">
      <w:pPr>
        <w:rPr>
          <w:i/>
          <w:lang w:val="it-IT"/>
        </w:rPr>
      </w:pPr>
      <w:r w:rsidRPr="007B314C">
        <w:rPr>
          <w:i/>
          <w:lang w:val="it-IT"/>
        </w:rPr>
        <w:t>(</w:t>
      </w:r>
      <w:proofErr w:type="spellStart"/>
      <w:r w:rsidRPr="007B314C">
        <w:rPr>
          <w:i/>
          <w:lang w:val="it-IT"/>
        </w:rPr>
        <w:t>Peress</w:t>
      </w:r>
      <w:proofErr w:type="spellEnd"/>
      <w:r w:rsidRPr="007B314C">
        <w:rPr>
          <w:i/>
          <w:lang w:val="it-IT"/>
        </w:rPr>
        <w:t xml:space="preserve"> li </w:t>
      </w:r>
      <w:proofErr w:type="spellStart"/>
      <w:r w:rsidRPr="007B314C">
        <w:rPr>
          <w:i/>
          <w:lang w:val="it-IT"/>
        </w:rPr>
        <w:t>ntlaħaq</w:t>
      </w:r>
      <w:proofErr w:type="spellEnd"/>
      <w:r w:rsidRPr="007B314C">
        <w:rPr>
          <w:i/>
          <w:lang w:val="it-IT"/>
        </w:rPr>
        <w:t xml:space="preserve"> </w:t>
      </w:r>
      <w:proofErr w:type="spellStart"/>
      <w:r w:rsidRPr="007B314C">
        <w:rPr>
          <w:i/>
          <w:lang w:val="it-IT"/>
        </w:rPr>
        <w:t>ftehim</w:t>
      </w:r>
      <w:proofErr w:type="spellEnd"/>
      <w:r w:rsidRPr="007B314C">
        <w:rPr>
          <w:i/>
          <w:lang w:val="it-IT"/>
        </w:rPr>
        <w:t xml:space="preserve"> bejn il-Parlament u l-</w:t>
      </w:r>
      <w:proofErr w:type="spellStart"/>
      <w:r w:rsidRPr="007B314C">
        <w:rPr>
          <w:i/>
          <w:lang w:val="it-IT"/>
        </w:rPr>
        <w:t>Kunsill</w:t>
      </w:r>
      <w:proofErr w:type="spellEnd"/>
      <w:r w:rsidRPr="007B314C">
        <w:rPr>
          <w:i/>
          <w:lang w:val="it-IT"/>
        </w:rPr>
        <w:t xml:space="preserve">, il-pożizzjoni tal-Parlament </w:t>
      </w:r>
      <w:proofErr w:type="spellStart"/>
      <w:r w:rsidRPr="007B314C">
        <w:rPr>
          <w:i/>
          <w:lang w:val="it-IT"/>
        </w:rPr>
        <w:t>taqbel</w:t>
      </w:r>
      <w:proofErr w:type="spellEnd"/>
      <w:r w:rsidRPr="007B314C">
        <w:rPr>
          <w:i/>
          <w:lang w:val="it-IT"/>
        </w:rPr>
        <w:t xml:space="preserve"> mal-</w:t>
      </w:r>
      <w:proofErr w:type="spellStart"/>
      <w:r w:rsidRPr="007B314C">
        <w:rPr>
          <w:i/>
          <w:lang w:val="it-IT"/>
        </w:rPr>
        <w:t>att</w:t>
      </w:r>
      <w:proofErr w:type="spellEnd"/>
      <w:r w:rsidRPr="007B314C">
        <w:rPr>
          <w:i/>
          <w:lang w:val="it-IT"/>
        </w:rPr>
        <w:t xml:space="preserve"> </w:t>
      </w:r>
      <w:r w:rsidRPr="00C97166">
        <w:rPr>
          <w:i/>
          <w:lang w:val="it-IT"/>
        </w:rPr>
        <w:t xml:space="preserve">leġiżlattiv finali, id-Direttiva (UE) </w:t>
      </w:r>
      <w:r w:rsidRPr="00C97166">
        <w:rPr>
          <w:i/>
          <w:lang w:val="it-IT"/>
        </w:rPr>
        <w:t>2025/2450</w:t>
      </w:r>
      <w:r w:rsidRPr="00C97166">
        <w:rPr>
          <w:i/>
          <w:lang w:val="it-IT"/>
        </w:rPr>
        <w:t>.)</w:t>
      </w:r>
    </w:p>
    <w:sectPr w:rsidR="009E7B70" w:rsidRPr="00C97166" w:rsidSect="004B4A2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58AF3A" w14:textId="77777777" w:rsidR="00EB665F" w:rsidRPr="004B4A25" w:rsidRDefault="00EB665F">
      <w:r w:rsidRPr="004B4A25">
        <w:separator/>
      </w:r>
    </w:p>
  </w:endnote>
  <w:endnote w:type="continuationSeparator" w:id="0">
    <w:p w14:paraId="7DE89314" w14:textId="77777777" w:rsidR="00EB665F" w:rsidRPr="004B4A25" w:rsidRDefault="00EB665F">
      <w:r w:rsidRPr="004B4A2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4756B" w14:textId="77777777" w:rsidR="00064002" w:rsidRPr="004B4A2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666CA" w14:textId="77777777" w:rsidR="00064002" w:rsidRPr="004B4A2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3C202" w14:textId="77777777" w:rsidR="00064002" w:rsidRPr="004B4A2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AD2CA6" w14:textId="77777777" w:rsidR="00EB665F" w:rsidRPr="004B4A25" w:rsidRDefault="00EB665F">
      <w:r w:rsidRPr="004B4A25">
        <w:separator/>
      </w:r>
    </w:p>
  </w:footnote>
  <w:footnote w:type="continuationSeparator" w:id="0">
    <w:p w14:paraId="7334D450" w14:textId="77777777" w:rsidR="00EB665F" w:rsidRPr="004B4A25" w:rsidRDefault="00EB665F">
      <w:r w:rsidRPr="004B4A25">
        <w:continuationSeparator/>
      </w:r>
    </w:p>
  </w:footnote>
  <w:footnote w:id="1">
    <w:p w14:paraId="003BBC7C" w14:textId="38DA60F0" w:rsidR="007C19DD" w:rsidRPr="004B4A25" w:rsidRDefault="007C19DD" w:rsidP="004B4A25">
      <w:pPr>
        <w:pStyle w:val="FootnoteText"/>
        <w:ind w:left="567" w:hanging="567"/>
        <w:rPr>
          <w:sz w:val="24"/>
          <w:lang w:val="mt-MT"/>
        </w:rPr>
      </w:pPr>
      <w:r w:rsidRPr="004B4A25">
        <w:rPr>
          <w:rStyle w:val="FootnoteReference"/>
          <w:sz w:val="24"/>
          <w:lang w:val="mt-MT"/>
        </w:rPr>
        <w:footnoteRef/>
      </w:r>
      <w:r w:rsidR="004B4A25" w:rsidRPr="004B4A25">
        <w:rPr>
          <w:sz w:val="24"/>
          <w:lang w:val="mt-MT"/>
        </w:rPr>
        <w:t xml:space="preserve"> </w:t>
      </w:r>
      <w:r w:rsidR="004B4A25" w:rsidRPr="004B4A25">
        <w:rPr>
          <w:sz w:val="24"/>
          <w:lang w:val="mt-MT"/>
        </w:rPr>
        <w:tab/>
      </w:r>
      <w:r w:rsidR="001B402A" w:rsidRPr="001B402A">
        <w:rPr>
          <w:sz w:val="24"/>
          <w:lang w:val="mt-MT"/>
        </w:rPr>
        <w:t xml:space="preserve">ĠU C, C/2024/4664, 9.8.2024, ELI: </w:t>
      </w:r>
      <w:hyperlink r:id="rId1" w:history="1">
        <w:r w:rsidR="001B402A" w:rsidRPr="001B402A">
          <w:rPr>
            <w:rStyle w:val="Hyperlink"/>
            <w:sz w:val="24"/>
            <w:lang w:val="mt-MT"/>
          </w:rPr>
          <w:t>http://data.europa.eu/eli/C/2024/4664/oj</w:t>
        </w:r>
      </w:hyperlink>
      <w:r w:rsidRPr="004B4A25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205E5" w14:textId="77777777" w:rsidR="00064002" w:rsidRPr="004B4A2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76F4E" w14:textId="77777777" w:rsidR="00064002" w:rsidRPr="004B4A2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0B65C" w14:textId="77777777" w:rsidR="00064002" w:rsidRPr="004B4A2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8C6164A"/>
    <w:multiLevelType w:val="hybridMultilevel"/>
    <w:tmpl w:val="5CF483D0"/>
    <w:lvl w:ilvl="0" w:tplc="743EF400">
      <w:start w:val="1"/>
      <w:numFmt w:val="decimal"/>
      <w:lvlText w:val="%1."/>
      <w:lvlJc w:val="left"/>
      <w:pPr>
        <w:ind w:left="1405" w:hanging="555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930" w:hanging="360"/>
      </w:pPr>
    </w:lvl>
    <w:lvl w:ilvl="2" w:tplc="080C001B" w:tentative="1">
      <w:start w:val="1"/>
      <w:numFmt w:val="lowerRoman"/>
      <w:lvlText w:val="%3."/>
      <w:lvlJc w:val="right"/>
      <w:pPr>
        <w:ind w:left="2650" w:hanging="180"/>
      </w:pPr>
    </w:lvl>
    <w:lvl w:ilvl="3" w:tplc="080C000F" w:tentative="1">
      <w:start w:val="1"/>
      <w:numFmt w:val="decimal"/>
      <w:lvlText w:val="%4."/>
      <w:lvlJc w:val="left"/>
      <w:pPr>
        <w:ind w:left="3370" w:hanging="360"/>
      </w:pPr>
    </w:lvl>
    <w:lvl w:ilvl="4" w:tplc="080C0019" w:tentative="1">
      <w:start w:val="1"/>
      <w:numFmt w:val="lowerLetter"/>
      <w:lvlText w:val="%5."/>
      <w:lvlJc w:val="left"/>
      <w:pPr>
        <w:ind w:left="4090" w:hanging="360"/>
      </w:pPr>
    </w:lvl>
    <w:lvl w:ilvl="5" w:tplc="080C001B" w:tentative="1">
      <w:start w:val="1"/>
      <w:numFmt w:val="lowerRoman"/>
      <w:lvlText w:val="%6."/>
      <w:lvlJc w:val="right"/>
      <w:pPr>
        <w:ind w:left="4810" w:hanging="180"/>
      </w:pPr>
    </w:lvl>
    <w:lvl w:ilvl="6" w:tplc="080C000F" w:tentative="1">
      <w:start w:val="1"/>
      <w:numFmt w:val="decimal"/>
      <w:lvlText w:val="%7."/>
      <w:lvlJc w:val="left"/>
      <w:pPr>
        <w:ind w:left="5530" w:hanging="360"/>
      </w:pPr>
    </w:lvl>
    <w:lvl w:ilvl="7" w:tplc="080C0019" w:tentative="1">
      <w:start w:val="1"/>
      <w:numFmt w:val="lowerLetter"/>
      <w:lvlText w:val="%8."/>
      <w:lvlJc w:val="left"/>
      <w:pPr>
        <w:ind w:left="6250" w:hanging="360"/>
      </w:pPr>
    </w:lvl>
    <w:lvl w:ilvl="8" w:tplc="080C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3" w15:restartNumberingAfterBreak="0">
    <w:nsid w:val="70D84F04"/>
    <w:multiLevelType w:val="hybridMultilevel"/>
    <w:tmpl w:val="72D2698C"/>
    <w:lvl w:ilvl="0" w:tplc="FFC4C720">
      <w:start w:val="2"/>
      <w:numFmt w:val="bullet"/>
      <w:lvlText w:val="—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CCB8235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19EBEF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5AE0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C8A82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37C1A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4E832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7AD3E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FB4AC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3751361">
    <w:abstractNumId w:val="9"/>
  </w:num>
  <w:num w:numId="2" w16cid:durableId="1795252055">
    <w:abstractNumId w:val="9"/>
  </w:num>
  <w:num w:numId="3" w16cid:durableId="451367080">
    <w:abstractNumId w:val="7"/>
  </w:num>
  <w:num w:numId="4" w16cid:durableId="555816659">
    <w:abstractNumId w:val="7"/>
  </w:num>
  <w:num w:numId="5" w16cid:durableId="1096248811">
    <w:abstractNumId w:val="6"/>
  </w:num>
  <w:num w:numId="6" w16cid:durableId="1920405940">
    <w:abstractNumId w:val="6"/>
  </w:num>
  <w:num w:numId="7" w16cid:durableId="1605378209">
    <w:abstractNumId w:val="5"/>
  </w:num>
  <w:num w:numId="8" w16cid:durableId="971788188">
    <w:abstractNumId w:val="5"/>
  </w:num>
  <w:num w:numId="9" w16cid:durableId="411319432">
    <w:abstractNumId w:val="4"/>
  </w:num>
  <w:num w:numId="10" w16cid:durableId="1318221963">
    <w:abstractNumId w:val="4"/>
  </w:num>
  <w:num w:numId="11" w16cid:durableId="1285572897">
    <w:abstractNumId w:val="8"/>
  </w:num>
  <w:num w:numId="12" w16cid:durableId="1952197820">
    <w:abstractNumId w:val="8"/>
  </w:num>
  <w:num w:numId="13" w16cid:durableId="528571485">
    <w:abstractNumId w:val="3"/>
  </w:num>
  <w:num w:numId="14" w16cid:durableId="2146386180">
    <w:abstractNumId w:val="3"/>
  </w:num>
  <w:num w:numId="15" w16cid:durableId="333339568">
    <w:abstractNumId w:val="2"/>
  </w:num>
  <w:num w:numId="16" w16cid:durableId="499152703">
    <w:abstractNumId w:val="2"/>
  </w:num>
  <w:num w:numId="17" w16cid:durableId="2045056256">
    <w:abstractNumId w:val="1"/>
  </w:num>
  <w:num w:numId="18" w16cid:durableId="1770269897">
    <w:abstractNumId w:val="1"/>
  </w:num>
  <w:num w:numId="19" w16cid:durableId="1691952354">
    <w:abstractNumId w:val="0"/>
  </w:num>
  <w:num w:numId="20" w16cid:durableId="1469782680">
    <w:abstractNumId w:val="0"/>
  </w:num>
  <w:num w:numId="21" w16cid:durableId="223493160">
    <w:abstractNumId w:val="9"/>
  </w:num>
  <w:num w:numId="22" w16cid:durableId="450977497">
    <w:abstractNumId w:val="7"/>
  </w:num>
  <w:num w:numId="23" w16cid:durableId="1119765233">
    <w:abstractNumId w:val="6"/>
  </w:num>
  <w:num w:numId="24" w16cid:durableId="1946186315">
    <w:abstractNumId w:val="5"/>
  </w:num>
  <w:num w:numId="25" w16cid:durableId="1672835032">
    <w:abstractNumId w:val="4"/>
  </w:num>
  <w:num w:numId="26" w16cid:durableId="1221407652">
    <w:abstractNumId w:val="8"/>
  </w:num>
  <w:num w:numId="27" w16cid:durableId="696466738">
    <w:abstractNumId w:val="3"/>
  </w:num>
  <w:num w:numId="28" w16cid:durableId="1405759415">
    <w:abstractNumId w:val="2"/>
  </w:num>
  <w:num w:numId="29" w16cid:durableId="1089813553">
    <w:abstractNumId w:val="1"/>
  </w:num>
  <w:num w:numId="30" w16cid:durableId="723023223">
    <w:abstractNumId w:val="0"/>
  </w:num>
  <w:num w:numId="31" w16cid:durableId="1280574731">
    <w:abstractNumId w:val="9"/>
  </w:num>
  <w:num w:numId="32" w16cid:durableId="1296184270">
    <w:abstractNumId w:val="7"/>
  </w:num>
  <w:num w:numId="33" w16cid:durableId="1772359212">
    <w:abstractNumId w:val="6"/>
  </w:num>
  <w:num w:numId="34" w16cid:durableId="1331787651">
    <w:abstractNumId w:val="5"/>
  </w:num>
  <w:num w:numId="35" w16cid:durableId="1385982051">
    <w:abstractNumId w:val="4"/>
  </w:num>
  <w:num w:numId="36" w16cid:durableId="199246206">
    <w:abstractNumId w:val="8"/>
  </w:num>
  <w:num w:numId="37" w16cid:durableId="1441221576">
    <w:abstractNumId w:val="3"/>
  </w:num>
  <w:num w:numId="38" w16cid:durableId="276646100">
    <w:abstractNumId w:val="2"/>
  </w:num>
  <w:num w:numId="39" w16cid:durableId="1187989263">
    <w:abstractNumId w:val="1"/>
  </w:num>
  <w:num w:numId="40" w16cid:durableId="1188563681">
    <w:abstractNumId w:val="0"/>
  </w:num>
  <w:num w:numId="41" w16cid:durableId="399987789">
    <w:abstractNumId w:val="10"/>
  </w:num>
  <w:num w:numId="42" w16cid:durableId="1047754993">
    <w:abstractNumId w:val="10"/>
  </w:num>
  <w:num w:numId="43" w16cid:durableId="370109596">
    <w:abstractNumId w:val="10"/>
  </w:num>
  <w:num w:numId="44" w16cid:durableId="59325771">
    <w:abstractNumId w:val="11"/>
  </w:num>
  <w:num w:numId="45" w16cid:durableId="343676663">
    <w:abstractNumId w:val="13"/>
  </w:num>
  <w:num w:numId="46" w16cid:durableId="11547643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29/2024"/>
    <w:docVar w:name="dvlangue" w:val="MT"/>
    <w:docVar w:name="dvnumam" w:val="0"/>
    <w:docVar w:name="dvpe" w:val="758.777"/>
    <w:docVar w:name="dvrapporteur" w:val="Rapporteur: "/>
    <w:docVar w:name="dvstar" w:val="***I"/>
    <w:docVar w:name="dvtitre" w:val="Riżoluzzjoni leġiżlattiva tal-Parlament Ewropew tal-xx ta' Ottubru 2025 dwar il-proposta għal direttiva tal-Parlament Ewropew u tal-Kunsill li temenda d-Direttiva 2009/38/KE fir-rigward tal-istabbiliment u l-funzjonament tal-Kunsilli Ewropej tax-Xogħlijiet u l-infurzar effettiv tad-drittijiet tranżnazzjonali tal-informazzjoni u l-konsultazzjoni(COM(2024)0014 – C9-0012/2024 – 2024/0006(COD))"/>
  </w:docVars>
  <w:rsids>
    <w:rsidRoot w:val="00EB665F"/>
    <w:rsid w:val="00002272"/>
    <w:rsid w:val="00045C8C"/>
    <w:rsid w:val="00060785"/>
    <w:rsid w:val="00064002"/>
    <w:rsid w:val="000677B9"/>
    <w:rsid w:val="000831BA"/>
    <w:rsid w:val="00096AE9"/>
    <w:rsid w:val="000A42CC"/>
    <w:rsid w:val="000E7DD9"/>
    <w:rsid w:val="0010095E"/>
    <w:rsid w:val="00125B37"/>
    <w:rsid w:val="00187494"/>
    <w:rsid w:val="001B402A"/>
    <w:rsid w:val="001F32AE"/>
    <w:rsid w:val="00243273"/>
    <w:rsid w:val="002767FF"/>
    <w:rsid w:val="002B18FE"/>
    <w:rsid w:val="002B5493"/>
    <w:rsid w:val="00300B3D"/>
    <w:rsid w:val="00343214"/>
    <w:rsid w:val="00361C00"/>
    <w:rsid w:val="00395FA1"/>
    <w:rsid w:val="003D40E9"/>
    <w:rsid w:val="003E15D4"/>
    <w:rsid w:val="00411CCE"/>
    <w:rsid w:val="0041666E"/>
    <w:rsid w:val="00421060"/>
    <w:rsid w:val="00461885"/>
    <w:rsid w:val="00471C19"/>
    <w:rsid w:val="00484A96"/>
    <w:rsid w:val="004867E3"/>
    <w:rsid w:val="00494A28"/>
    <w:rsid w:val="004B4A25"/>
    <w:rsid w:val="004C0004"/>
    <w:rsid w:val="004C5D52"/>
    <w:rsid w:val="004F18D9"/>
    <w:rsid w:val="0050519A"/>
    <w:rsid w:val="005072A1"/>
    <w:rsid w:val="00514517"/>
    <w:rsid w:val="00545827"/>
    <w:rsid w:val="00560270"/>
    <w:rsid w:val="005A5DB9"/>
    <w:rsid w:val="005C2568"/>
    <w:rsid w:val="005F1B17"/>
    <w:rsid w:val="006037C0"/>
    <w:rsid w:val="00644154"/>
    <w:rsid w:val="006631B6"/>
    <w:rsid w:val="00680577"/>
    <w:rsid w:val="006D5E71"/>
    <w:rsid w:val="006F74FA"/>
    <w:rsid w:val="00731ADD"/>
    <w:rsid w:val="00734777"/>
    <w:rsid w:val="00747932"/>
    <w:rsid w:val="00751A4A"/>
    <w:rsid w:val="00756632"/>
    <w:rsid w:val="00762C74"/>
    <w:rsid w:val="00786EC0"/>
    <w:rsid w:val="007C19DD"/>
    <w:rsid w:val="007D1690"/>
    <w:rsid w:val="007E22AD"/>
    <w:rsid w:val="007F4644"/>
    <w:rsid w:val="007F7DFB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750"/>
    <w:rsid w:val="009509D8"/>
    <w:rsid w:val="00950B64"/>
    <w:rsid w:val="00981893"/>
    <w:rsid w:val="009D4E30"/>
    <w:rsid w:val="009D4E43"/>
    <w:rsid w:val="009E7B70"/>
    <w:rsid w:val="00A1687D"/>
    <w:rsid w:val="00A43E52"/>
    <w:rsid w:val="00A4678D"/>
    <w:rsid w:val="00A778C7"/>
    <w:rsid w:val="00A86B36"/>
    <w:rsid w:val="00AB441E"/>
    <w:rsid w:val="00AB6293"/>
    <w:rsid w:val="00AE0928"/>
    <w:rsid w:val="00AF2423"/>
    <w:rsid w:val="00AF3B82"/>
    <w:rsid w:val="00B129CC"/>
    <w:rsid w:val="00B12E95"/>
    <w:rsid w:val="00B22876"/>
    <w:rsid w:val="00B558F0"/>
    <w:rsid w:val="00B91DA0"/>
    <w:rsid w:val="00BD48FE"/>
    <w:rsid w:val="00BD7BD8"/>
    <w:rsid w:val="00BE6ADC"/>
    <w:rsid w:val="00C05BFE"/>
    <w:rsid w:val="00C07D65"/>
    <w:rsid w:val="00C12D01"/>
    <w:rsid w:val="00C23CD4"/>
    <w:rsid w:val="00C61C0C"/>
    <w:rsid w:val="00C80951"/>
    <w:rsid w:val="00C86DF8"/>
    <w:rsid w:val="00C941CB"/>
    <w:rsid w:val="00C97166"/>
    <w:rsid w:val="00CC2357"/>
    <w:rsid w:val="00CF071A"/>
    <w:rsid w:val="00D058B8"/>
    <w:rsid w:val="00D56C11"/>
    <w:rsid w:val="00D6187E"/>
    <w:rsid w:val="00D834A0"/>
    <w:rsid w:val="00D872DF"/>
    <w:rsid w:val="00D91E21"/>
    <w:rsid w:val="00DA7FCD"/>
    <w:rsid w:val="00E365E1"/>
    <w:rsid w:val="00E820A4"/>
    <w:rsid w:val="00EB006A"/>
    <w:rsid w:val="00EB4772"/>
    <w:rsid w:val="00EB665F"/>
    <w:rsid w:val="00ED169E"/>
    <w:rsid w:val="00ED4235"/>
    <w:rsid w:val="00F04346"/>
    <w:rsid w:val="00F075DC"/>
    <w:rsid w:val="00F149E9"/>
    <w:rsid w:val="00F40257"/>
    <w:rsid w:val="00F511AB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C966E7"/>
  <w15:chartTrackingRefBased/>
  <w15:docId w15:val="{B81600D3-F5CB-474E-8F34-18503BC14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7C19DD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7C19DD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7C19DD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7C19DD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7C19DD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7C19DD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semiHidden/>
    <w:rsid w:val="007C19DD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7C19DD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7C19DD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nhideWhenUsed/>
    <w:qFormat/>
    <w:rsid w:val="007C19DD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7C19D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7C19DD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7C19DD"/>
    <w:pPr>
      <w:spacing w:after="120"/>
    </w:pPr>
  </w:style>
  <w:style w:type="paragraph" w:customStyle="1" w:styleId="PageHeading">
    <w:name w:val="PageHeading"/>
    <w:basedOn w:val="Normal"/>
    <w:rsid w:val="007C19D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7C19DD"/>
    <w:rPr>
      <w:b/>
    </w:rPr>
  </w:style>
  <w:style w:type="paragraph" w:customStyle="1" w:styleId="NormalBold12a">
    <w:name w:val="NormalBold12a"/>
    <w:basedOn w:val="Normal"/>
    <w:rsid w:val="007C19DD"/>
    <w:pPr>
      <w:spacing w:after="240"/>
    </w:pPr>
    <w:rPr>
      <w:b/>
    </w:rPr>
  </w:style>
  <w:style w:type="paragraph" w:customStyle="1" w:styleId="AmJustText">
    <w:name w:val="AmJustText"/>
    <w:basedOn w:val="Normal"/>
    <w:rsid w:val="007C19DD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7C19DD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C19DD"/>
    <w:pPr>
      <w:spacing w:after="480"/>
      <w:ind w:left="1417"/>
    </w:pPr>
  </w:style>
  <w:style w:type="paragraph" w:customStyle="1" w:styleId="CoverNormal">
    <w:name w:val="CoverNormal"/>
    <w:basedOn w:val="Normal"/>
    <w:rsid w:val="007C19DD"/>
    <w:pPr>
      <w:ind w:left="1418"/>
    </w:pPr>
  </w:style>
  <w:style w:type="paragraph" w:customStyle="1" w:styleId="AmCrossRef">
    <w:name w:val="AmCrossRef"/>
    <w:basedOn w:val="Normal"/>
    <w:rsid w:val="007C19DD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7C19DD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7C19D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C19DD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C19DD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C19DD"/>
    <w:pPr>
      <w:spacing w:before="240" w:after="1200"/>
    </w:pPr>
  </w:style>
  <w:style w:type="paragraph" w:styleId="Header">
    <w:name w:val="header"/>
    <w:basedOn w:val="Normal"/>
    <w:link w:val="HeaderChar"/>
    <w:rsid w:val="007C19D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C19DD"/>
    <w:rPr>
      <w:sz w:val="24"/>
      <w:lang w:val="mt-MT"/>
    </w:rPr>
  </w:style>
  <w:style w:type="paragraph" w:customStyle="1" w:styleId="AmOrLang">
    <w:name w:val="AmOrLang"/>
    <w:basedOn w:val="Normal"/>
    <w:rsid w:val="007C19DD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7C19D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C19D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7C19DD"/>
    <w:pPr>
      <w:spacing w:before="240"/>
    </w:pPr>
    <w:rPr>
      <w:b/>
    </w:rPr>
  </w:style>
  <w:style w:type="paragraph" w:customStyle="1" w:styleId="EPBody">
    <w:name w:val="EPBody"/>
    <w:basedOn w:val="Normal"/>
    <w:rsid w:val="007C19D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C19D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C19DD"/>
    <w:pPr>
      <w:spacing w:before="480" w:after="240"/>
    </w:pPr>
  </w:style>
  <w:style w:type="paragraph" w:customStyle="1" w:styleId="Lgendesigne">
    <w:name w:val="Légende signe"/>
    <w:basedOn w:val="Normal"/>
    <w:rsid w:val="007C19DD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C19DD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C19DD"/>
    <w:rPr>
      <w:sz w:val="18"/>
    </w:rPr>
  </w:style>
  <w:style w:type="paragraph" w:customStyle="1" w:styleId="Normal24a">
    <w:name w:val="Normal24a"/>
    <w:basedOn w:val="Normal"/>
    <w:rsid w:val="007C19DD"/>
    <w:pPr>
      <w:spacing w:after="480"/>
    </w:pPr>
  </w:style>
  <w:style w:type="paragraph" w:customStyle="1" w:styleId="NormalBoldCenter">
    <w:name w:val="NormalBoldCenter"/>
    <w:basedOn w:val="Normal"/>
    <w:rsid w:val="007C19DD"/>
    <w:pPr>
      <w:jc w:val="center"/>
    </w:pPr>
    <w:rPr>
      <w:b/>
    </w:rPr>
  </w:style>
  <w:style w:type="paragraph" w:styleId="Footer">
    <w:name w:val="footer"/>
    <w:basedOn w:val="Normal"/>
    <w:link w:val="FooterChar"/>
    <w:rsid w:val="007C19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C19DD"/>
    <w:rPr>
      <w:sz w:val="24"/>
      <w:lang w:val="mt-MT"/>
    </w:rPr>
  </w:style>
  <w:style w:type="paragraph" w:styleId="BalloonText">
    <w:name w:val="Balloon Text"/>
    <w:basedOn w:val="Normal"/>
    <w:link w:val="BalloonTextChar"/>
    <w:unhideWhenUsed/>
    <w:rsid w:val="007C19D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C19DD"/>
    <w:rPr>
      <w:rFonts w:ascii="Segoe UI" w:hAnsi="Segoe UI" w:cs="Segoe UI"/>
      <w:sz w:val="18"/>
      <w:szCs w:val="18"/>
      <w:lang w:val="mt-MT"/>
    </w:rPr>
  </w:style>
  <w:style w:type="character" w:styleId="CommentReference">
    <w:name w:val="annotation reference"/>
    <w:basedOn w:val="DefaultParagraphFont"/>
    <w:rsid w:val="007C19DD"/>
    <w:rPr>
      <w:sz w:val="16"/>
      <w:szCs w:val="16"/>
    </w:rPr>
  </w:style>
  <w:style w:type="paragraph" w:styleId="CommentText">
    <w:name w:val="annotation text"/>
    <w:basedOn w:val="Normal"/>
    <w:link w:val="CommentTextChar"/>
    <w:rsid w:val="007C19D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C19DD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7C19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C19DD"/>
    <w:rPr>
      <w:b/>
      <w:bCs/>
      <w:lang w:val="mt-MT"/>
    </w:rPr>
  </w:style>
  <w:style w:type="paragraph" w:customStyle="1" w:styleId="msonormal0">
    <w:name w:val="msonormal"/>
    <w:basedOn w:val="Normal"/>
    <w:rsid w:val="007C19DD"/>
    <w:pPr>
      <w:widowControl/>
      <w:spacing w:before="100" w:beforeAutospacing="1" w:after="100" w:afterAutospacing="1"/>
    </w:pPr>
    <w:rPr>
      <w:szCs w:val="24"/>
    </w:rPr>
  </w:style>
  <w:style w:type="paragraph" w:customStyle="1" w:styleId="Normal12a">
    <w:name w:val="Normal12a"/>
    <w:basedOn w:val="Normal"/>
    <w:rsid w:val="007C19DD"/>
    <w:pPr>
      <w:spacing w:after="240"/>
    </w:pPr>
  </w:style>
  <w:style w:type="paragraph" w:customStyle="1" w:styleId="RollCallVotes">
    <w:name w:val="RollCallVotes"/>
    <w:basedOn w:val="Normal"/>
    <w:rsid w:val="007C19DD"/>
    <w:pPr>
      <w:snapToGrid w:val="0"/>
      <w:spacing w:before="120" w:after="120"/>
      <w:jc w:val="center"/>
    </w:pPr>
    <w:rPr>
      <w:b/>
      <w:bCs/>
      <w:sz w:val="16"/>
      <w:lang w:eastAsia="en-US"/>
    </w:rPr>
  </w:style>
  <w:style w:type="paragraph" w:customStyle="1" w:styleId="RollCallTabs">
    <w:name w:val="RollCallTabs"/>
    <w:basedOn w:val="Normal"/>
    <w:qFormat/>
    <w:rsid w:val="007C19DD"/>
    <w:pPr>
      <w:tabs>
        <w:tab w:val="center" w:pos="284"/>
        <w:tab w:val="left" w:pos="426"/>
      </w:tabs>
      <w:snapToGrid w:val="0"/>
    </w:pPr>
    <w:rPr>
      <w:lang w:eastAsia="en-US"/>
    </w:rPr>
  </w:style>
  <w:style w:type="paragraph" w:customStyle="1" w:styleId="RollCallSymbols14pt">
    <w:name w:val="RollCallSymbols14pt"/>
    <w:basedOn w:val="Normal"/>
    <w:rsid w:val="007C19DD"/>
    <w:pPr>
      <w:snapToGrid w:val="0"/>
      <w:spacing w:before="120" w:after="120"/>
      <w:jc w:val="center"/>
    </w:pPr>
    <w:rPr>
      <w:rFonts w:ascii="Arial" w:hAnsi="Arial"/>
      <w:b/>
      <w:bCs/>
      <w:sz w:val="28"/>
      <w:lang w:eastAsia="en-US"/>
    </w:rPr>
  </w:style>
  <w:style w:type="paragraph" w:customStyle="1" w:styleId="RollCallTable">
    <w:name w:val="RollCallTable"/>
    <w:basedOn w:val="Normal"/>
    <w:rsid w:val="007C19DD"/>
    <w:pPr>
      <w:snapToGrid w:val="0"/>
      <w:spacing w:before="120" w:after="120"/>
    </w:pPr>
    <w:rPr>
      <w:sz w:val="16"/>
      <w:lang w:eastAsia="en-US"/>
    </w:rPr>
  </w:style>
  <w:style w:type="paragraph" w:styleId="Revision">
    <w:name w:val="Revision"/>
    <w:hidden/>
    <w:uiPriority w:val="99"/>
    <w:semiHidden/>
    <w:rsid w:val="00A86B36"/>
    <w:rPr>
      <w:sz w:val="24"/>
      <w:lang w:val="mt-MT"/>
    </w:rPr>
  </w:style>
  <w:style w:type="paragraph" w:customStyle="1" w:styleId="NormalCenter12a">
    <w:name w:val="NormalCenter12a"/>
    <w:basedOn w:val="Normal"/>
    <w:rsid w:val="009E7B70"/>
    <w:pPr>
      <w:spacing w:after="240"/>
      <w:jc w:val="center"/>
    </w:pPr>
  </w:style>
  <w:style w:type="character" w:styleId="Hyperlink">
    <w:name w:val="Hyperlink"/>
    <w:basedOn w:val="DefaultParagraphFont"/>
    <w:uiPriority w:val="99"/>
    <w:rsid w:val="009E7B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18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66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282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CAMILLERI Denise</cp:lastModifiedBy>
  <cp:revision>2</cp:revision>
  <cp:lastPrinted>2004-11-19T15:42:00Z</cp:lastPrinted>
  <dcterms:created xsi:type="dcterms:W3CDTF">2025-12-15T09:41:00Z</dcterms:created>
  <dcterms:modified xsi:type="dcterms:W3CDTF">2025-12-15T09:41:00Z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P10_TA(2025)0226_</vt:lpwstr>
  </property>
  <property fmtid="{D5CDD505-2E9C-101B-9397-08002B2CF9AE}" pid="4" name="&lt;Type&gt;">
    <vt:lpwstr>RR</vt:lpwstr>
  </property>
</Properties>
</file>