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23ED" w14:paraId="56DD4B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A72D08" w14:textId="32654237" w:rsidR="00751A4A" w:rsidRPr="004823ED" w:rsidRDefault="004E4AD7" w:rsidP="0010095E">
            <w:pPr>
              <w:pStyle w:val="EPName"/>
            </w:pPr>
            <w:r w:rsidRPr="004823ED">
              <w:t>Evropský parlament</w:t>
            </w:r>
          </w:p>
          <w:p w14:paraId="13777E2D" w14:textId="77777777" w:rsidR="00751A4A" w:rsidRPr="004823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23ED">
              <w:t>2024</w:t>
            </w:r>
            <w:r w:rsidR="00817416" w:rsidRPr="004823ED">
              <w:t>-202</w:t>
            </w:r>
            <w:r w:rsidRPr="004823ED">
              <w:t>9</w:t>
            </w:r>
          </w:p>
        </w:tc>
        <w:tc>
          <w:tcPr>
            <w:tcW w:w="2268" w:type="dxa"/>
            <w:shd w:val="clear" w:color="auto" w:fill="auto"/>
          </w:tcPr>
          <w:p w14:paraId="6A3037E5" w14:textId="77777777" w:rsidR="00751A4A" w:rsidRPr="004823ED" w:rsidRDefault="00187494" w:rsidP="0010095E">
            <w:pPr>
              <w:pStyle w:val="EPLogo"/>
            </w:pPr>
            <w:r w:rsidRPr="004823ED">
              <w:rPr>
                <w:noProof/>
                <w:lang w:eastAsia="ja-JP"/>
              </w:rPr>
              <w:drawing>
                <wp:inline distT="0" distB="0" distL="0" distR="0" wp14:anchorId="215D9E16" wp14:editId="1F8678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9A9270" w14:textId="77777777" w:rsidR="00D058B8" w:rsidRPr="004823ED" w:rsidRDefault="00D058B8" w:rsidP="004C5D52">
      <w:pPr>
        <w:pStyle w:val="LineTop"/>
      </w:pPr>
    </w:p>
    <w:p w14:paraId="7EF07AEC" w14:textId="2135FC99" w:rsidR="00680577" w:rsidRPr="004823ED" w:rsidRDefault="004E4AD7" w:rsidP="00680577">
      <w:pPr>
        <w:pStyle w:val="EPBodyTA1"/>
      </w:pPr>
      <w:r w:rsidRPr="004823ED">
        <w:t>PŘIJATÉ TEXTY</w:t>
      </w:r>
    </w:p>
    <w:p w14:paraId="6AA89E54" w14:textId="77777777" w:rsidR="00D058B8" w:rsidRPr="004823ED" w:rsidRDefault="00D058B8" w:rsidP="00D058B8">
      <w:pPr>
        <w:pStyle w:val="LineBottom"/>
      </w:pPr>
    </w:p>
    <w:p w14:paraId="1209F2A9" w14:textId="5713079F" w:rsidR="004E4AD7" w:rsidRPr="004823ED" w:rsidRDefault="004E4AD7" w:rsidP="004E4AD7">
      <w:pPr>
        <w:pStyle w:val="ATHeading1"/>
      </w:pPr>
      <w:bookmarkStart w:id="0" w:name="TANumber"/>
      <w:r w:rsidRPr="004823ED">
        <w:t>P10_TA(2025)0</w:t>
      </w:r>
      <w:r w:rsidR="00F71AB7">
        <w:t>227</w:t>
      </w:r>
      <w:bookmarkEnd w:id="0"/>
    </w:p>
    <w:p w14:paraId="28F823EB" w14:textId="11EC9406" w:rsidR="004E4AD7" w:rsidRPr="004823ED" w:rsidRDefault="003963F9" w:rsidP="004E4AD7">
      <w:pPr>
        <w:pStyle w:val="ATHeading2"/>
      </w:pPr>
      <w:r>
        <w:t xml:space="preserve">Úloha </w:t>
      </w:r>
      <w:r w:rsidRPr="004823ED">
        <w:t>jednoduchých daňových pravidel a daňov</w:t>
      </w:r>
      <w:r w:rsidR="00EB1725">
        <w:t>á</w:t>
      </w:r>
      <w:r w:rsidRPr="004823ED">
        <w:t xml:space="preserve"> roztříštěnost z hlediska evropské konkurenceschopnosti</w:t>
      </w:r>
    </w:p>
    <w:p w14:paraId="06072C22" w14:textId="77777777" w:rsidR="004E4AD7" w:rsidRPr="004823ED" w:rsidRDefault="004E4AD7" w:rsidP="004E4AD7">
      <w:pPr>
        <w:rPr>
          <w:i/>
          <w:vanish/>
        </w:rPr>
      </w:pPr>
      <w:r w:rsidRPr="004823ED">
        <w:rPr>
          <w:i/>
        </w:rPr>
        <w:fldChar w:fldCharType="begin"/>
      </w:r>
      <w:r w:rsidRPr="004823ED">
        <w:rPr>
          <w:i/>
        </w:rPr>
        <w:instrText xml:space="preserve"> TC"(</w:instrText>
      </w:r>
      <w:bookmarkStart w:id="1" w:name="DocNumber"/>
      <w:r w:rsidRPr="004823ED">
        <w:rPr>
          <w:i/>
        </w:rPr>
        <w:instrText>A10-0155/2025</w:instrText>
      </w:r>
      <w:bookmarkEnd w:id="1"/>
      <w:r w:rsidRPr="004823ED">
        <w:rPr>
          <w:i/>
        </w:rPr>
        <w:instrText xml:space="preserve"> - Zpravodaj: Michalis Hadjipantela)"\l3 \n&gt; \* MERGEFORMAT </w:instrText>
      </w:r>
      <w:r w:rsidRPr="004823ED">
        <w:rPr>
          <w:i/>
        </w:rPr>
        <w:fldChar w:fldCharType="end"/>
      </w:r>
    </w:p>
    <w:p w14:paraId="1945ED05" w14:textId="77777777" w:rsidR="004E4AD7" w:rsidRPr="004823ED" w:rsidRDefault="004E4AD7" w:rsidP="004E4AD7">
      <w:pPr>
        <w:rPr>
          <w:vanish/>
        </w:rPr>
      </w:pPr>
      <w:bookmarkStart w:id="2" w:name="Commission"/>
      <w:r w:rsidRPr="004823ED">
        <w:rPr>
          <w:vanish/>
        </w:rPr>
        <w:t>Hospodářský a měnový výbor</w:t>
      </w:r>
      <w:bookmarkEnd w:id="2"/>
    </w:p>
    <w:p w14:paraId="76223109" w14:textId="77777777" w:rsidR="004E4AD7" w:rsidRPr="004823ED" w:rsidRDefault="004E4AD7" w:rsidP="004E4AD7">
      <w:pPr>
        <w:rPr>
          <w:vanish/>
        </w:rPr>
      </w:pPr>
      <w:bookmarkStart w:id="3" w:name="PE"/>
      <w:r w:rsidRPr="004823ED">
        <w:rPr>
          <w:vanish/>
        </w:rPr>
        <w:t>PE770.261</w:t>
      </w:r>
      <w:bookmarkEnd w:id="3"/>
    </w:p>
    <w:p w14:paraId="21E7F632" w14:textId="77777777" w:rsidR="004E4AD7" w:rsidRPr="004823ED" w:rsidRDefault="004E4AD7" w:rsidP="004E4AD7">
      <w:pPr>
        <w:pStyle w:val="ATHeading3"/>
      </w:pPr>
      <w:bookmarkStart w:id="4" w:name="Sujet"/>
      <w:r w:rsidRPr="004823ED">
        <w:t>Usnesení Evropského parlamentu ze dne 9. října 2025 o úloze jednoduchých daňových pravidel a daňové roztříštěnosti z hlediska evropské konkurenceschopnosti</w:t>
      </w:r>
      <w:bookmarkEnd w:id="4"/>
      <w:r w:rsidRPr="004823ED">
        <w:t xml:space="preserve"> </w:t>
      </w:r>
      <w:bookmarkStart w:id="5" w:name="References"/>
      <w:r w:rsidRPr="004823ED">
        <w:t>(2024/2118(INI))</w:t>
      </w:r>
      <w:bookmarkEnd w:id="5"/>
    </w:p>
    <w:p w14:paraId="01FC6F53" w14:textId="77777777" w:rsidR="004836D7" w:rsidRPr="004823ED" w:rsidRDefault="004836D7" w:rsidP="004836D7">
      <w:pPr>
        <w:pStyle w:val="EPComma"/>
      </w:pPr>
      <w:r w:rsidRPr="004823ED">
        <w:rPr>
          <w:rStyle w:val="Italic"/>
        </w:rPr>
        <w:t>Evropský parlament</w:t>
      </w:r>
      <w:r w:rsidRPr="004823ED">
        <w:t>,</w:t>
      </w:r>
    </w:p>
    <w:p w14:paraId="4C47694A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t>–</w:t>
      </w:r>
      <w:r w:rsidRPr="004823ED">
        <w:tab/>
        <w:t xml:space="preserve">s </w:t>
      </w:r>
      <w:r w:rsidRPr="004823ED">
        <w:rPr>
          <w:szCs w:val="24"/>
        </w:rPr>
        <w:t>ohledem na Smlouvu o fungování Evropské unie, zejména na článek 4 a na články 63 až 66 o zásadách vnitřního trhu, volného pohybu zboží, služeb, kapitálu a osob a na články 113, 114 a 115 této smlouvy,</w:t>
      </w:r>
    </w:p>
    <w:p w14:paraId="6A9F272E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směrnici Rady 2003/49/ES ze dne 3. června 2003 o společném systému zdanění úroků a licenčních poplatků mezi přidruženými společnostmi z různých členských států</w:t>
      </w:r>
      <w:r w:rsidRPr="004823ED">
        <w:rPr>
          <w:rStyle w:val="FootnoteReference"/>
          <w:szCs w:val="24"/>
        </w:rPr>
        <w:footnoteReference w:id="1"/>
      </w:r>
      <w:r w:rsidRPr="004823ED">
        <w:rPr>
          <w:szCs w:val="24"/>
        </w:rPr>
        <w:t xml:space="preserve"> („směrnice o zdanění úroků a licenčních poplatků“),</w:t>
      </w:r>
    </w:p>
    <w:p w14:paraId="76AF04BF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směrnici Rady 2011/96/EU ze dne 30. listopadu 2011 o společném systému zdanění mateřských a dceřiných společností z různých členských států</w:t>
      </w:r>
      <w:r w:rsidRPr="004823ED">
        <w:rPr>
          <w:rStyle w:val="FootnoteReference"/>
          <w:szCs w:val="24"/>
        </w:rPr>
        <w:footnoteReference w:id="2"/>
      </w:r>
      <w:r w:rsidRPr="004823ED">
        <w:rPr>
          <w:szCs w:val="24"/>
        </w:rPr>
        <w:t xml:space="preserve"> („směrnice o mateřských a dceřiných společnostech“),</w:t>
      </w:r>
    </w:p>
    <w:p w14:paraId="335608F3" w14:textId="14BD320E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směrnici Rady (EU) 2022/</w:t>
      </w:r>
      <w:r w:rsidR="002B1334" w:rsidRPr="002B1334">
        <w:rPr>
          <w:szCs w:val="24"/>
        </w:rPr>
        <w:t>2523</w:t>
      </w:r>
      <w:r w:rsidRPr="004823ED">
        <w:rPr>
          <w:szCs w:val="24"/>
        </w:rPr>
        <w:t xml:space="preserve"> ze dne 14. prosince 2022 o zajištění globální minimální úrovně zdanění (15 %) nadnárodních skupin podniků a velkých vnitrostátních skupin v Unii</w:t>
      </w:r>
      <w:r w:rsidRPr="004823ED">
        <w:rPr>
          <w:rStyle w:val="FootnoteReference"/>
          <w:szCs w:val="24"/>
        </w:rPr>
        <w:footnoteReference w:id="3"/>
      </w:r>
      <w:r w:rsidRPr="004823ED">
        <w:rPr>
          <w:szCs w:val="24"/>
        </w:rPr>
        <w:t>, která je reakcí Evropské unie na mezinárodní daňovou koordinaci,</w:t>
      </w:r>
    </w:p>
    <w:p w14:paraId="06A22BF8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probíhající vývoj týkající se </w:t>
      </w:r>
      <w:proofErr w:type="spellStart"/>
      <w:r w:rsidRPr="004823ED">
        <w:rPr>
          <w:szCs w:val="24"/>
        </w:rPr>
        <w:t>dvoupilířového</w:t>
      </w:r>
      <w:proofErr w:type="spellEnd"/>
      <w:r w:rsidRPr="004823ED">
        <w:rPr>
          <w:szCs w:val="24"/>
        </w:rPr>
        <w:t xml:space="preserve"> řešení, které EU navrhuje v reakci na výzvy v oblasti zdanění vyplývajících z digitalizace hospodářství,</w:t>
      </w:r>
    </w:p>
    <w:p w14:paraId="167D8CD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závěrečné zprávy Organizace pro hospodářskou spolupráci a rozvoj (OECD) z října 2015 o projektu OECD/G20 v oblasti eroze základu daně a přesouvání zisku (BEPS),</w:t>
      </w:r>
    </w:p>
    <w:p w14:paraId="699082A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zprávy o návrzích prvního a druhého pilíře přijatých inkluzivním rámcem OECD/G20 ze dne 14. října 2020 a na závěry hospodářské analýzy OECD a posouzení </w:t>
      </w:r>
      <w:r w:rsidRPr="004823ED">
        <w:rPr>
          <w:szCs w:val="24"/>
        </w:rPr>
        <w:lastRenderedPageBreak/>
        <w:t>dopadů ze dne 12. října 2020 nazvané „Daňové výzvy vyplývající z digitalizace – posouzení hospodářských dopadů“,</w:t>
      </w:r>
    </w:p>
    <w:p w14:paraId="67F0E7C7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prohlášení inkluzivního rámce OECD/G20 pro BEPS ze dne 8. října 2021 nazvané „</w:t>
      </w:r>
      <w:proofErr w:type="spellStart"/>
      <w:r w:rsidRPr="004823ED">
        <w:rPr>
          <w:szCs w:val="24"/>
        </w:rPr>
        <w:t>Dvoupilířové</w:t>
      </w:r>
      <w:proofErr w:type="spellEnd"/>
      <w:r w:rsidRPr="004823ED">
        <w:rPr>
          <w:szCs w:val="24"/>
        </w:rPr>
        <w:t xml:space="preserve"> řešení výzev v oblasti zdanění vyplývajících z digitalizace ekonomiky“,</w:t>
      </w:r>
    </w:p>
    <w:p w14:paraId="1FF8B674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vzorová pravidla druhého pilíře inkluzivního rámce OECD/G20 pro řešení BEPS ze dne 20. prosince 2021 pro vnitrostátní provádění globální minimální daně ve výše 15 %,</w:t>
      </w:r>
    </w:p>
    <w:p w14:paraId="237C4EF8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a ohledem na zákon Spojených států amerických 117-169 ze dne 16. srpna 2022 nazývaný též zákon o snížení inflace,</w:t>
      </w:r>
    </w:p>
    <w:p w14:paraId="72EE36DD" w14:textId="48D279F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prohlášení vedoucích představitelů skupiny G20 z Ria de </w:t>
      </w:r>
      <w:proofErr w:type="spellStart"/>
      <w:r w:rsidRPr="004823ED">
        <w:rPr>
          <w:szCs w:val="24"/>
        </w:rPr>
        <w:t>Janeiro</w:t>
      </w:r>
      <w:proofErr w:type="spellEnd"/>
      <w:r w:rsidRPr="004823ED">
        <w:rPr>
          <w:szCs w:val="24"/>
        </w:rPr>
        <w:t xml:space="preserve"> ze dne 19. listopadu 2024 a prohlášení ministrů skupiny G20 z Ria de </w:t>
      </w:r>
      <w:proofErr w:type="spellStart"/>
      <w:r w:rsidRPr="004823ED">
        <w:rPr>
          <w:szCs w:val="24"/>
        </w:rPr>
        <w:t>Janeira</w:t>
      </w:r>
      <w:proofErr w:type="spellEnd"/>
      <w:r w:rsidRPr="004823ED">
        <w:rPr>
          <w:szCs w:val="24"/>
        </w:rPr>
        <w:t xml:space="preserve"> </w:t>
      </w:r>
      <w:r w:rsidR="002B1334">
        <w:rPr>
          <w:szCs w:val="24"/>
        </w:rPr>
        <w:t>ze dne 25. července 2024</w:t>
      </w:r>
      <w:r w:rsidR="002B1334">
        <w:rPr>
          <w:szCs w:val="24"/>
        </w:rPr>
        <w:t xml:space="preserve"> </w:t>
      </w:r>
      <w:r w:rsidRPr="004823ED">
        <w:rPr>
          <w:szCs w:val="24"/>
        </w:rPr>
        <w:t>o mezinárodní daňové spolupráci,</w:t>
      </w:r>
    </w:p>
    <w:p w14:paraId="37BBB40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rezoluci Valného shromáždění OSN 79/235 ze dne 24. prosince 2024 o podpoře inkluzivní a účinné mezinárodní spolupráce v oblasti daní v rámci OSN,</w:t>
      </w:r>
    </w:p>
    <w:p w14:paraId="36F607D9" w14:textId="2D97C9C3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 sdělení Komise ze dne 15. července 2020 nazvané „Akční plán pro spravedlivé a jednoduché zdanění podporující strategii oživení“ (</w:t>
      </w:r>
      <w:r w:rsidR="003963F9" w:rsidRPr="002E4D94">
        <w:t>COM(2020)0312</w:t>
      </w:r>
      <w:r w:rsidRPr="004823ED">
        <w:rPr>
          <w:szCs w:val="24"/>
        </w:rPr>
        <w:t>),</w:t>
      </w:r>
    </w:p>
    <w:p w14:paraId="1797D61E" w14:textId="332415E2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sdělení Komise ze dne 18. května 2021 nazvané „Zdanění podniků pro 21. století“ (</w:t>
      </w:r>
      <w:r w:rsidR="003963F9" w:rsidRPr="002E4D94">
        <w:t>COM(2021)0251</w:t>
      </w:r>
      <w:r w:rsidRPr="004823ED">
        <w:rPr>
          <w:szCs w:val="24"/>
        </w:rPr>
        <w:t>),</w:t>
      </w:r>
    </w:p>
    <w:p w14:paraId="36FDFEE9" w14:textId="5CDEAD1D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návrh směrnice Rady o zajištění globální minimální úrovně zdanění nadnárodních skupin v Unii (</w:t>
      </w:r>
      <w:r w:rsidR="003963F9" w:rsidRPr="002E4D94">
        <w:t>COM(2021)0823</w:t>
      </w:r>
      <w:r w:rsidRPr="004823ED">
        <w:rPr>
          <w:szCs w:val="24"/>
        </w:rPr>
        <w:t>), který dne 22. prosince 2021 předložila Komise, jakož i na postoj Parlamentu k tomuto návrhu ze dne 19.</w:t>
      </w:r>
      <w:r w:rsidR="001B59D1" w:rsidRPr="004823ED">
        <w:rPr>
          <w:szCs w:val="24"/>
        </w:rPr>
        <w:t> </w:t>
      </w:r>
      <w:r w:rsidRPr="004823ED">
        <w:rPr>
          <w:szCs w:val="24"/>
        </w:rPr>
        <w:t>května 2022</w:t>
      </w:r>
      <w:r w:rsidRPr="004823ED">
        <w:rPr>
          <w:rStyle w:val="FootnoteReference"/>
          <w:szCs w:val="24"/>
        </w:rPr>
        <w:footnoteReference w:id="4"/>
      </w:r>
      <w:r w:rsidRPr="004823ED">
        <w:rPr>
          <w:szCs w:val="24"/>
        </w:rPr>
        <w:t>,</w:t>
      </w:r>
    </w:p>
    <w:p w14:paraId="49290B75" w14:textId="65A41D21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studii Komise z ledna 2022 </w:t>
      </w:r>
      <w:r w:rsidR="001B59D1">
        <w:rPr>
          <w:szCs w:val="24"/>
        </w:rPr>
        <w:t>nazvanou</w:t>
      </w:r>
      <w:r w:rsidRPr="004823ED">
        <w:rPr>
          <w:szCs w:val="24"/>
        </w:rPr>
        <w:t xml:space="preserve"> „Náklady na dodržování daňových předpisů na MSP: aktualizace a doplnění – závěrečná zpráva“</w:t>
      </w:r>
      <w:r w:rsidRPr="004823ED">
        <w:rPr>
          <w:rStyle w:val="FootnoteReference"/>
          <w:szCs w:val="24"/>
        </w:rPr>
        <w:footnoteReference w:id="5"/>
      </w:r>
      <w:r w:rsidRPr="004823ED">
        <w:rPr>
          <w:szCs w:val="24"/>
        </w:rPr>
        <w:t>,</w:t>
      </w:r>
    </w:p>
    <w:p w14:paraId="46A9670A" w14:textId="63FE74E5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návrh směrnice Rady o stanovení pravidel týkajících se úlevy ke snížení zvýhodnění dluhu oproti vlastnímu kapitálu a o omezení </w:t>
      </w:r>
      <w:proofErr w:type="spellStart"/>
      <w:r w:rsidRPr="004823ED">
        <w:rPr>
          <w:szCs w:val="24"/>
        </w:rPr>
        <w:t>odpočitatelnosti</w:t>
      </w:r>
      <w:proofErr w:type="spellEnd"/>
      <w:r w:rsidRPr="004823ED">
        <w:rPr>
          <w:szCs w:val="24"/>
        </w:rPr>
        <w:t xml:space="preserve"> úroků pro účely daně z příjmu právnických osob (</w:t>
      </w:r>
      <w:r w:rsidR="003963F9" w:rsidRPr="002E4D94">
        <w:t>COM(2022)0216</w:t>
      </w:r>
      <w:r w:rsidRPr="004823ED">
        <w:rPr>
          <w:szCs w:val="24"/>
        </w:rPr>
        <w:t>), který dne 11. května 2022 předložila Komise,</w:t>
      </w:r>
    </w:p>
    <w:p w14:paraId="6BE2B4CF" w14:textId="33D76356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návrh Komise ze dne 8. prosince 2022, kterým se mění směrnice 2006/112/ES, pokud jde o pravidla DPH pro digitální věk (</w:t>
      </w:r>
      <w:r w:rsidR="003963F9" w:rsidRPr="002E4D94">
        <w:t>COM(2022)0701</w:t>
      </w:r>
      <w:r w:rsidRPr="004823ED">
        <w:rPr>
          <w:szCs w:val="24"/>
        </w:rPr>
        <w:t>),</w:t>
      </w:r>
    </w:p>
    <w:p w14:paraId="733F62A8" w14:textId="690AB48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lastRenderedPageBreak/>
        <w:t>–</w:t>
      </w:r>
      <w:r w:rsidRPr="004823ED">
        <w:rPr>
          <w:szCs w:val="24"/>
        </w:rPr>
        <w:tab/>
        <w:t>s ohledem na návrh nařízení Rady, předložený Komisí dne 8. prosince 2022, kterým se mění nařízení (EU) č. 904/2010, pokud jde o ujednání o správní spolupráci v oblasti DPH potřebná pro digitální věk (</w:t>
      </w:r>
      <w:r w:rsidR="003963F9" w:rsidRPr="002E4D94">
        <w:t>COM(2022)0703</w:t>
      </w:r>
      <w:r w:rsidRPr="004823ED">
        <w:rPr>
          <w:szCs w:val="24"/>
        </w:rPr>
        <w:t>),</w:t>
      </w:r>
    </w:p>
    <w:p w14:paraId="61B8B1CD" w14:textId="5ABC9A86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návrh směrnice Rady, předložený Komisí dne 8. července 2024, kterou se mění směrnice 2006/112/ES, pokud jde o elektronické osvědčení o osvobození od daně z přidané hodnoty (</w:t>
      </w:r>
      <w:r w:rsidR="003963F9" w:rsidRPr="002E4D94">
        <w:t>COM(2024)0278</w:t>
      </w:r>
      <w:r w:rsidRPr="004823ED">
        <w:rPr>
          <w:szCs w:val="24"/>
        </w:rPr>
        <w:t>),</w:t>
      </w:r>
    </w:p>
    <w:p w14:paraId="0589FF89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dohodu v Radě o balíčku o DPH pro digitální věk, které bylo dosaženo dne 5. listopadu 2024,</w:t>
      </w:r>
    </w:p>
    <w:p w14:paraId="1A1CDA2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směrnici Rady (EU) 2025/50 ze dne 10. prosince 2024 o rychlejší a spolehlivější úlevě z nadměrných srážkových daní</w:t>
      </w:r>
      <w:r w:rsidRPr="004823ED">
        <w:rPr>
          <w:rStyle w:val="FootnoteReference"/>
          <w:szCs w:val="24"/>
        </w:rPr>
        <w:footnoteReference w:id="6"/>
      </w:r>
      <w:r w:rsidRPr="004823ED">
        <w:rPr>
          <w:szCs w:val="24"/>
        </w:rPr>
        <w:t xml:space="preserve"> (FASTER),</w:t>
      </w:r>
    </w:p>
    <w:p w14:paraId="5FE8CFAB" w14:textId="1080EDB6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návrh směrnice Rady, předložený Komisí dne 12. září 2023, o podnikání v Evropě: rámec pro zdanění příjmů (BEFIT) (</w:t>
      </w:r>
      <w:r w:rsidR="003963F9" w:rsidRPr="002E4D94">
        <w:t>COM(2023)0532</w:t>
      </w:r>
      <w:r w:rsidRPr="004823ED">
        <w:rPr>
          <w:szCs w:val="24"/>
        </w:rPr>
        <w:t>),</w:t>
      </w:r>
    </w:p>
    <w:p w14:paraId="0173CF5B" w14:textId="3D2C093A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návrh směrnice Rady, předložený Komisí dne 12. září 2023, kterou se zavádí daňový systém sídla pro mikropodniky a malé a střední podniky a kterou se mění směrnice 2011/16/EU (</w:t>
      </w:r>
      <w:r w:rsidR="003963F9" w:rsidRPr="002E4D94">
        <w:t>COM(2023)0528</w:t>
      </w:r>
      <w:r w:rsidRPr="004823ED">
        <w:rPr>
          <w:szCs w:val="24"/>
        </w:rPr>
        <w:t>),</w:t>
      </w:r>
    </w:p>
    <w:p w14:paraId="52E68FAD" w14:textId="5D6AD30E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směrnici Rady o stanovování převodních cen, který dne 12. září 2023 předložila Komise (</w:t>
      </w:r>
      <w:r w:rsidR="003963F9" w:rsidRPr="002E4D94">
        <w:t>COM(2023)0529</w:t>
      </w:r>
      <w:r w:rsidRPr="004823ED">
        <w:rPr>
          <w:szCs w:val="24"/>
        </w:rPr>
        <w:t>),</w:t>
      </w:r>
    </w:p>
    <w:p w14:paraId="7222D3D6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závěry ze zasedání Rady ze 17. a 18. dubna 2024 o Nové dohodě pro konkurenceschopnost Evropy,</w:t>
      </w:r>
    </w:p>
    <w:p w14:paraId="3D25A4F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závěry ze zasedání Rady ze dne 24. května 2024 o jednotném trhu ve prospěch všech,</w:t>
      </w:r>
    </w:p>
    <w:p w14:paraId="6835701D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budapešťské prohlášení Evropské rady ze dne 8. listopadu 2024 o Nové dohodě pro konkurenceschopnost Evropy,</w:t>
      </w:r>
    </w:p>
    <w:p w14:paraId="651AFC1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závěry ze zasedání Rady ze dne 11. března 2025 o programu racionalizace a zjednodušení daňových pravidel, který přispívá ke konkurenceschopnosti EU,</w:t>
      </w:r>
    </w:p>
    <w:p w14:paraId="5745423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závěry ze zasedání Evropské rady ze dne 20. března 2025 o konkurenceschopnosti se zaměřením na zjednodušení a snížení regulační a administrativní zátěže,</w:t>
      </w:r>
    </w:p>
    <w:p w14:paraId="17090AC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své usnesení ze dne 16. února 2022 o provádění šesté směrnice o DPH: co chybí pro snížení výpadku příjmů z DPH v EU?</w:t>
      </w:r>
      <w:r w:rsidRPr="004823ED">
        <w:rPr>
          <w:rStyle w:val="FootnoteReference"/>
          <w:szCs w:val="24"/>
        </w:rPr>
        <w:footnoteReference w:id="7"/>
      </w:r>
    </w:p>
    <w:p w14:paraId="50EE1D06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své usnesení ze dne 7. října 2021 o reformě politiky EU v oblasti škodlivých daňových praktik (včetně reformy Skupiny pro kodex chování)</w:t>
      </w:r>
      <w:r w:rsidRPr="004823ED">
        <w:rPr>
          <w:rStyle w:val="FootnoteReference"/>
          <w:szCs w:val="24"/>
        </w:rPr>
        <w:footnoteReference w:id="8"/>
      </w:r>
      <w:r w:rsidRPr="004823ED">
        <w:rPr>
          <w:szCs w:val="24"/>
        </w:rPr>
        <w:t>,</w:t>
      </w:r>
    </w:p>
    <w:p w14:paraId="59DC4EA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lastRenderedPageBreak/>
        <w:t>–</w:t>
      </w:r>
      <w:r w:rsidRPr="004823ED">
        <w:rPr>
          <w:szCs w:val="24"/>
        </w:rPr>
        <w:tab/>
        <w:t>s ohledem na své usnesení ze dne 15. února 2022 o dopadu vnitrostátních daňových reforem na hospodářství EU</w:t>
      </w:r>
      <w:r w:rsidRPr="004823ED">
        <w:rPr>
          <w:rStyle w:val="FootnoteReference"/>
          <w:szCs w:val="24"/>
        </w:rPr>
        <w:footnoteReference w:id="9"/>
      </w:r>
      <w:r w:rsidRPr="004823ED">
        <w:rPr>
          <w:szCs w:val="24"/>
        </w:rPr>
        <w:t>,</w:t>
      </w:r>
    </w:p>
    <w:p w14:paraId="73C1ACC9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své usnesení ze dne 10. března 2022 o evropském rámci pro srážkovou daň</w:t>
      </w:r>
      <w:r w:rsidRPr="004823ED">
        <w:rPr>
          <w:rStyle w:val="FootnoteReference"/>
          <w:szCs w:val="24"/>
        </w:rPr>
        <w:footnoteReference w:id="10"/>
      </w:r>
      <w:r w:rsidRPr="004823ED">
        <w:rPr>
          <w:szCs w:val="24"/>
        </w:rPr>
        <w:t>, které vyzývá k vytvoření standardizovaného rámce pro srážkovou daň,</w:t>
      </w:r>
    </w:p>
    <w:p w14:paraId="680E9899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své usnesení ze dne 4. října 2022 o dopadu nových technologií na zdanění: </w:t>
      </w:r>
      <w:proofErr w:type="spellStart"/>
      <w:r w:rsidRPr="004823ED">
        <w:rPr>
          <w:szCs w:val="24"/>
        </w:rPr>
        <w:t>kryptoaktiva</w:t>
      </w:r>
      <w:proofErr w:type="spellEnd"/>
      <w:r w:rsidRPr="004823ED">
        <w:rPr>
          <w:szCs w:val="24"/>
        </w:rPr>
        <w:t xml:space="preserve"> a technologie blockchain</w:t>
      </w:r>
      <w:r w:rsidRPr="004823ED">
        <w:rPr>
          <w:rStyle w:val="FootnoteReference"/>
          <w:szCs w:val="24"/>
        </w:rPr>
        <w:footnoteReference w:id="11"/>
      </w:r>
      <w:r w:rsidRPr="004823ED">
        <w:rPr>
          <w:szCs w:val="24"/>
        </w:rPr>
        <w:t>,</w:t>
      </w:r>
    </w:p>
    <w:p w14:paraId="13010FE9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své usnesení ze dne 10. března 2022 s doporučeními Komisi o spravedlivém a jednoduchém zdanění podporujícím strategii oživení (kroky EP v návaznosti na červencový akční plán Komise a jejích 25 iniciativ v oblasti DPH, zdanění právnických a fyzických osob)</w:t>
      </w:r>
      <w:r w:rsidRPr="004823ED">
        <w:rPr>
          <w:rStyle w:val="FootnoteReference"/>
          <w:szCs w:val="24"/>
        </w:rPr>
        <w:footnoteReference w:id="12"/>
      </w:r>
      <w:r w:rsidRPr="004823ED">
        <w:rPr>
          <w:szCs w:val="24"/>
        </w:rPr>
        <w:t>,</w:t>
      </w:r>
    </w:p>
    <w:p w14:paraId="2ACC077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své usnesení ze dne 4. května 2022 o opatřeních v návaznosti na Konferenci o budoucnosti Evropy</w:t>
      </w:r>
      <w:r w:rsidRPr="004823ED">
        <w:rPr>
          <w:rStyle w:val="FootnoteReference"/>
          <w:szCs w:val="24"/>
        </w:rPr>
        <w:footnoteReference w:id="13"/>
      </w:r>
      <w:r w:rsidRPr="004823ED">
        <w:rPr>
          <w:szCs w:val="24"/>
        </w:rPr>
        <w:t>,</w:t>
      </w:r>
    </w:p>
    <w:p w14:paraId="7046D49D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studii Společného výzkumného střediska Komise ze dne 19. dubna 2022 nazvanou „Místní daně z hospodářské činnosti v obcích v členských státech EU“,</w:t>
      </w:r>
    </w:p>
    <w:p w14:paraId="68578551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své usnesení ze dne 15. června 2023 o poučení z kauzy Pandora </w:t>
      </w:r>
      <w:proofErr w:type="spellStart"/>
      <w:r w:rsidRPr="004823ED">
        <w:rPr>
          <w:szCs w:val="24"/>
        </w:rPr>
        <w:t>Papers</w:t>
      </w:r>
      <w:proofErr w:type="spellEnd"/>
      <w:r w:rsidRPr="004823ED">
        <w:rPr>
          <w:szCs w:val="24"/>
        </w:rPr>
        <w:t xml:space="preserve"> a dalších odhalení</w:t>
      </w:r>
      <w:r w:rsidRPr="004823ED">
        <w:rPr>
          <w:rStyle w:val="FootnoteReference"/>
          <w:szCs w:val="24"/>
        </w:rPr>
        <w:footnoteReference w:id="14"/>
      </w:r>
      <w:r w:rsidRPr="004823ED">
        <w:rPr>
          <w:szCs w:val="24"/>
        </w:rPr>
        <w:t>, v němž rovněž vyzývá k lepšímu výkaznictví a sdílení informací,</w:t>
      </w:r>
    </w:p>
    <w:p w14:paraId="00A25F0E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 ohledem na své usnesení ze dne 12. prosince 2023 o další reformě pravidel zdanění právnických osob</w:t>
      </w:r>
      <w:r w:rsidRPr="004823ED">
        <w:rPr>
          <w:rStyle w:val="FootnoteReference"/>
          <w:szCs w:val="24"/>
        </w:rPr>
        <w:footnoteReference w:id="15"/>
      </w:r>
      <w:r w:rsidRPr="004823ED">
        <w:rPr>
          <w:szCs w:val="24"/>
        </w:rPr>
        <w:t>,</w:t>
      </w:r>
    </w:p>
    <w:p w14:paraId="70253B67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zprávu ze dne 9. května 2022 o </w:t>
      </w:r>
      <w:proofErr w:type="gramStart"/>
      <w:r w:rsidRPr="004823ED">
        <w:rPr>
          <w:szCs w:val="24"/>
        </w:rPr>
        <w:t>konečných závěrech</w:t>
      </w:r>
      <w:proofErr w:type="gramEnd"/>
      <w:r w:rsidRPr="004823ED">
        <w:rPr>
          <w:szCs w:val="24"/>
        </w:rPr>
        <w:t xml:space="preserve"> Konference o budoucnosti Evropy</w:t>
      </w:r>
      <w:r w:rsidRPr="004823ED">
        <w:rPr>
          <w:rStyle w:val="FootnoteReference"/>
          <w:szCs w:val="24"/>
        </w:rPr>
        <w:footnoteReference w:id="16"/>
      </w:r>
      <w:r w:rsidRPr="004823ED">
        <w:rPr>
          <w:szCs w:val="24"/>
        </w:rPr>
        <w:t>,</w:t>
      </w:r>
    </w:p>
    <w:p w14:paraId="5F64DBC6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zprávu Enrica </w:t>
      </w:r>
      <w:proofErr w:type="spellStart"/>
      <w:r w:rsidRPr="004823ED">
        <w:rPr>
          <w:szCs w:val="24"/>
        </w:rPr>
        <w:t>Letty</w:t>
      </w:r>
      <w:proofErr w:type="spellEnd"/>
      <w:r w:rsidRPr="004823ED">
        <w:rPr>
          <w:szCs w:val="24"/>
        </w:rPr>
        <w:t xml:space="preserve"> z dubna 2024 nazvanou „Mnohem více než jen trh“</w:t>
      </w:r>
      <w:r w:rsidRPr="004823ED">
        <w:rPr>
          <w:rStyle w:val="FootnoteReference"/>
          <w:szCs w:val="24"/>
        </w:rPr>
        <w:footnoteReference w:id="17"/>
      </w:r>
      <w:r w:rsidRPr="004823ED">
        <w:rPr>
          <w:szCs w:val="24"/>
        </w:rPr>
        <w:t>,</w:t>
      </w:r>
    </w:p>
    <w:p w14:paraId="3B501BF6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 xml:space="preserve">s ohledem na zprávu Maria 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ze dne 9. září 2024 nazvanou „Budoucnost evropské konkurenceschopnosti“</w:t>
      </w:r>
      <w:r w:rsidRPr="004823ED">
        <w:rPr>
          <w:rStyle w:val="FootnoteReference"/>
          <w:szCs w:val="24"/>
        </w:rPr>
        <w:footnoteReference w:id="18"/>
      </w:r>
      <w:r w:rsidRPr="004823ED">
        <w:rPr>
          <w:szCs w:val="24"/>
        </w:rPr>
        <w:t>,</w:t>
      </w:r>
    </w:p>
    <w:p w14:paraId="0B4D8ED4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článek 55 jednacího řádu,</w:t>
      </w:r>
    </w:p>
    <w:p w14:paraId="396D020E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–</w:t>
      </w:r>
      <w:r w:rsidRPr="004823ED">
        <w:rPr>
          <w:szCs w:val="24"/>
        </w:rPr>
        <w:tab/>
        <w:t>s ohledem na zprávu Hospodářského a měnového výboru (A10-0155/2025),</w:t>
      </w:r>
    </w:p>
    <w:p w14:paraId="25F49EEA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lastRenderedPageBreak/>
        <w:t>A.</w:t>
      </w:r>
      <w:r w:rsidRPr="004823ED">
        <w:rPr>
          <w:szCs w:val="24"/>
        </w:rPr>
        <w:tab/>
        <w:t>vzhledem k tomu, že účinné, spravedlivé a efektivní daňové politiky hrají klíčovou úlohu při podpoře dlouhodobého udržitelného růstu a inkluzivních společností;</w:t>
      </w:r>
    </w:p>
    <w:p w14:paraId="348149F4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B.</w:t>
      </w:r>
      <w:r w:rsidRPr="004823ED">
        <w:rPr>
          <w:szCs w:val="24"/>
        </w:rPr>
        <w:tab/>
        <w:t>vzhledem k tomu, že členské státy EU vybraly v roce 2023 daně ve výši 6 712 miliard EUR (včetně povinných příspěvků na sociální pojištění ve skutečné výši), což je o 4,7 % více než v roce 2022</w:t>
      </w:r>
      <w:r w:rsidRPr="004823ED">
        <w:rPr>
          <w:rStyle w:val="FootnoteReference"/>
          <w:szCs w:val="24"/>
        </w:rPr>
        <w:footnoteReference w:id="19"/>
      </w:r>
      <w:r w:rsidRPr="004823ED">
        <w:rPr>
          <w:szCs w:val="24"/>
        </w:rPr>
        <w:t>;</w:t>
      </w:r>
    </w:p>
    <w:p w14:paraId="5EFEF266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C.</w:t>
      </w:r>
      <w:r w:rsidRPr="004823ED">
        <w:rPr>
          <w:szCs w:val="24"/>
        </w:rPr>
        <w:tab/>
        <w:t>vzhledem k tomu, že EU se potýká se značným deficitem investic; vzhledem k tomu, že odstranění tohoto deficitu je zásadní pro zajištění udržitelného hospodářského růstu, zvýšení konkurenceschopnosti a dosažení cílů EU v oblasti ekologické a digitální transformace;</w:t>
      </w:r>
    </w:p>
    <w:p w14:paraId="75A62E4F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D.</w:t>
      </w:r>
      <w:r w:rsidRPr="004823ED">
        <w:rPr>
          <w:szCs w:val="24"/>
        </w:rPr>
        <w:tab/>
        <w:t>vzhledem k tomu, že v roce 2023 činila daňová zátěž (tj. celkové daňové příjmy jako podíl na HDP) v EU 39,0 % HDP, což ve srovnání s rokem 2022</w:t>
      </w:r>
      <w:r w:rsidRPr="004823ED">
        <w:rPr>
          <w:rStyle w:val="FootnoteReference"/>
          <w:szCs w:val="24"/>
        </w:rPr>
        <w:footnoteReference w:id="20"/>
      </w:r>
      <w:r w:rsidRPr="004823ED">
        <w:rPr>
          <w:szCs w:val="24"/>
        </w:rPr>
        <w:t xml:space="preserve"> představuje mírný pokles, avšak stále se jedná o vysokou míru;</w:t>
      </w:r>
    </w:p>
    <w:p w14:paraId="034B853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E.</w:t>
      </w:r>
      <w:r w:rsidRPr="004823ED">
        <w:rPr>
          <w:szCs w:val="24"/>
        </w:rPr>
        <w:tab/>
        <w:t>vzhledem k tomu, že podle odhadů dosahují celkové nevybrané daňové příjmy v globálním měřítku přibližně 500 miliard EUR, z čehož přibližně 100 miliard EUR; vzhledem k tomu, že dodatečné příjmy jsou ovlivněny případy nedodržování daňových předpisů a strategiemi agresivního daňového plánování; vzhledem k tomu, že tyto ztráty připravují členské státy o nezbytné prostředky k financování veřejné politiky;</w:t>
      </w:r>
    </w:p>
    <w:p w14:paraId="034138EA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F.</w:t>
      </w:r>
      <w:r w:rsidRPr="004823ED">
        <w:rPr>
          <w:szCs w:val="24"/>
        </w:rPr>
        <w:tab/>
        <w:t>vzhledem k tomu, že v roce 2023 činil poměr příjmů z DPH k HDP 7,1 % HDP EU a 18,3 % celkových veřejných příjmů</w:t>
      </w:r>
      <w:r w:rsidRPr="004823ED">
        <w:rPr>
          <w:rStyle w:val="FootnoteReference"/>
          <w:szCs w:val="24"/>
        </w:rPr>
        <w:footnoteReference w:id="21"/>
      </w:r>
      <w:r w:rsidRPr="004823ED">
        <w:rPr>
          <w:szCs w:val="24"/>
        </w:rPr>
        <w:t>;</w:t>
      </w:r>
    </w:p>
    <w:p w14:paraId="78311E81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G.</w:t>
      </w:r>
      <w:r w:rsidRPr="004823ED">
        <w:rPr>
          <w:szCs w:val="24"/>
        </w:rPr>
        <w:tab/>
        <w:t>vzhledem k tomu, že podle Komise</w:t>
      </w:r>
      <w:r w:rsidRPr="004823ED">
        <w:rPr>
          <w:rStyle w:val="FootnoteReference"/>
          <w:szCs w:val="24"/>
        </w:rPr>
        <w:footnoteReference w:id="22"/>
      </w:r>
      <w:r w:rsidRPr="004823ED">
        <w:rPr>
          <w:szCs w:val="24"/>
        </w:rPr>
        <w:t xml:space="preserve"> činil v roce 2022 jen výpadek příjmů z DPH 89,3 miliardy EUR, což představuje přibližně 7 % celkových očekávaných příjmů z DPH; vzhledem k tomu, že podle odhadů je jedna čtvrtina výpadku DPH přímo spojena s podvody s DPH</w:t>
      </w:r>
      <w:r w:rsidRPr="004823ED">
        <w:rPr>
          <w:rStyle w:val="FootnoteReference"/>
          <w:szCs w:val="24"/>
        </w:rPr>
        <w:footnoteReference w:id="23"/>
      </w:r>
      <w:r w:rsidRPr="004823ED">
        <w:rPr>
          <w:szCs w:val="24"/>
        </w:rPr>
        <w:t>;</w:t>
      </w:r>
    </w:p>
    <w:p w14:paraId="0F6C463B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H.</w:t>
      </w:r>
      <w:r w:rsidRPr="004823ED">
        <w:rPr>
          <w:szCs w:val="24"/>
        </w:rPr>
        <w:tab/>
        <w:t>vzhledem k tomu, že mezi členskými státy existují rozdíly v tom, jakým způsobem uplatňují a vybírají daně a jak v posledním desetiletí změnily svou daňovou skladbu</w:t>
      </w:r>
      <w:r w:rsidRPr="004823ED">
        <w:rPr>
          <w:rStyle w:val="FootnoteReference"/>
          <w:szCs w:val="24"/>
        </w:rPr>
        <w:footnoteReference w:id="24"/>
      </w:r>
      <w:r w:rsidRPr="004823ED">
        <w:rPr>
          <w:szCs w:val="24"/>
        </w:rPr>
        <w:t>;</w:t>
      </w:r>
    </w:p>
    <w:p w14:paraId="47CEEBB9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lastRenderedPageBreak/>
        <w:t>I.</w:t>
      </w:r>
      <w:r w:rsidRPr="004823ED">
        <w:rPr>
          <w:szCs w:val="24"/>
        </w:rPr>
        <w:tab/>
        <w:t>vzhledem k tomu, že náklady na dodržování daňových předpisů představují pro společnosti zvláštní finanční zátěž, kterou je třeba přičíst k samotné daňové povinnosti a která odvádí časové a jiné zdroje od jiných investičních příležitostí;</w:t>
      </w:r>
    </w:p>
    <w:p w14:paraId="6835EB1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J.</w:t>
      </w:r>
      <w:r w:rsidRPr="004823ED">
        <w:rPr>
          <w:szCs w:val="24"/>
        </w:rPr>
        <w:tab/>
        <w:t>vzhledem k tomu, že celkové náklady na dodržování daňových předpisů v 27 členských státech EU a ve Spojeném království se odhadují na 204 miliard EUR, což představuje 1,3 % jejich souhrnného HDP; zdůrazňuje, že naprostou většinu těchto nákladů nesou mikropodniky (87 %), následované malými podniky (10 %), což znamená, že na menší podniky je kladena nepřiměřená zátěž</w:t>
      </w:r>
      <w:r w:rsidRPr="004823ED">
        <w:rPr>
          <w:rStyle w:val="FootnoteReference"/>
          <w:szCs w:val="24"/>
        </w:rPr>
        <w:footnoteReference w:id="25"/>
      </w:r>
      <w:r w:rsidRPr="004823ED">
        <w:rPr>
          <w:szCs w:val="24"/>
        </w:rPr>
        <w:t>;</w:t>
      </w:r>
    </w:p>
    <w:p w14:paraId="7788340E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K.</w:t>
      </w:r>
      <w:r w:rsidRPr="004823ED">
        <w:rPr>
          <w:szCs w:val="24"/>
        </w:rPr>
        <w:tab/>
        <w:t>vzhledem k tomu, že členské státy čelí velkým výzvám, které by mohly ovlivnit jejich daňové příjmy a daňový mix, jako jsou významné demografické změny, změna klimatu, digitalizace a automatizace;</w:t>
      </w:r>
    </w:p>
    <w:p w14:paraId="3F41FC77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L.</w:t>
      </w:r>
      <w:r w:rsidRPr="004823ED">
        <w:rPr>
          <w:szCs w:val="24"/>
        </w:rPr>
        <w:tab/>
        <w:t>vzhledem k tomu, že podle Smluv jsou přímé daně převážně v pravomoci členských států;</w:t>
      </w:r>
    </w:p>
    <w:p w14:paraId="617F32FA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M.</w:t>
      </w:r>
      <w:r w:rsidRPr="004823ED">
        <w:rPr>
          <w:szCs w:val="24"/>
        </w:rPr>
        <w:tab/>
        <w:t>vzhledem k tomu, že rostoucí mobilita kapitálu spolu s širšími trendy globalizace a digitalizace v posledních desetiletích měla nezamýšlený dopad spočívající v tom, že se postupně snižovala schopnost jednotlivých zemí zajistit účinnost svých daňových politik;</w:t>
      </w:r>
    </w:p>
    <w:p w14:paraId="67D3812D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N.</w:t>
      </w:r>
      <w:r w:rsidRPr="004823ED">
        <w:rPr>
          <w:szCs w:val="24"/>
        </w:rPr>
        <w:tab/>
        <w:t>vzhledem k tomu, že studie Komise z r. 2022 odhaduje, že podniky v EU-28 průměrně vynaložily v roce 2019 na dodržování daňových předpisů náklady odpovídající 1,9 % jejich roční obratu; vzhledem k tomu, že ve srovnání s ostatními daněmi byly nejvyšší náklady na dodržování předpisů – podle názoru samotných podniků – spojeny s daní z přidané hodnoty a daní z příjmu právnických osob;</w:t>
      </w:r>
    </w:p>
    <w:p w14:paraId="380F8BD1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O.</w:t>
      </w:r>
      <w:r w:rsidRPr="004823ED">
        <w:rPr>
          <w:szCs w:val="24"/>
        </w:rPr>
        <w:tab/>
        <w:t xml:space="preserve">vzhledem k tomu, že 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souhrnná zpráva o hospodářské situaci EU varuje před klesající produktivitou a konkurenceschopností EU a uvádí, že bez rozhodných opatření bude EU čelit „pomalému a bolestnému poklesu“, přičemž rovněž zdůrazňuje nutnost koordinovaných politik, včetně například odstraňování zbytečných překážek a snižování byrokratických překážek souvisejících s daněmi v rámci zefektivnění jednotného trhu;</w:t>
      </w:r>
    </w:p>
    <w:p w14:paraId="47739D0E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P.</w:t>
      </w:r>
      <w:r w:rsidRPr="004823ED">
        <w:rPr>
          <w:szCs w:val="24"/>
        </w:rPr>
        <w:tab/>
        <w:t xml:space="preserve">vzhledem k tomu, že roztříštěnost daňové politiky a příliš komplikovaný daňový systém vytvářejí pro podniky a občany na jednotném trhu různé překážky, jako je právní nejistota, byrokracie, riziko dvojího zdanění a obtíže při vracení daní; vzhledem k tomu, že tyto překážky odrazují od přeshraniční hospodářské činnosti na jednotném trhu a vytvářejí rizika pro daňové orgány, jako je dvojí nezdanění a příležitosti k daňové arbitráži; vzhledem k tomu, že ve velmi obsáhlé zprávě Maria 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se rovněž zdůrazňuje, že je třeba „odstranit veškeré daňové překážky bránící přeshraničním investicím v EU“, aby se snížila roztříštěnost kapitálového trhu, a zdůrazňuje, že „občané EU by měli mít možnost investovat v jiných členských státech bez složitých daňových postupů, které reálně vedou ke dvojímu zdanění“;</w:t>
      </w:r>
    </w:p>
    <w:p w14:paraId="395CEA8B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lastRenderedPageBreak/>
        <w:t>Q.</w:t>
      </w:r>
      <w:r w:rsidRPr="004823ED">
        <w:rPr>
          <w:szCs w:val="24"/>
        </w:rPr>
        <w:tab/>
        <w:t xml:space="preserve">vzhledem k tomu, že podle </w:t>
      </w:r>
      <w:proofErr w:type="spellStart"/>
      <w:r w:rsidRPr="004823ED">
        <w:rPr>
          <w:szCs w:val="24"/>
        </w:rPr>
        <w:t>Lettovy</w:t>
      </w:r>
      <w:proofErr w:type="spellEnd"/>
      <w:r w:rsidRPr="004823ED">
        <w:rPr>
          <w:szCs w:val="24"/>
        </w:rPr>
        <w:t xml:space="preserve"> zprávy je roztříštěnost daňových systémů i nadále hlavní překážkou pro podniky v EU, a zejména pro malé a střední podniky, a že lepší sladění prostřednictvím spolupráce na daňovém rámci EU je klíčem k usnadnění volného pohybu pracovníků, zboží a služeb a k podpoře růstu a soukromých investic</w:t>
      </w:r>
      <w:r w:rsidRPr="004823ED">
        <w:rPr>
          <w:rStyle w:val="FootnoteReference"/>
          <w:szCs w:val="24"/>
        </w:rPr>
        <w:footnoteReference w:id="26"/>
      </w:r>
      <w:r w:rsidRPr="004823ED">
        <w:rPr>
          <w:szCs w:val="24"/>
        </w:rPr>
        <w:t>; vzhledem k tomu, že pevné dané a spravedlivé zdanění je klíčovým nástrojem pro vytváření příjmů nezbytných k investicím do služeb obecného zájmu a k jejich zachování ve všech regionech EU;</w:t>
      </w:r>
    </w:p>
    <w:p w14:paraId="3C9EA2C6" w14:textId="77777777" w:rsidR="004836D7" w:rsidRPr="004823ED" w:rsidRDefault="004836D7" w:rsidP="004823ED">
      <w:pPr>
        <w:pStyle w:val="Normal12a24b"/>
        <w:spacing w:before="0"/>
        <w:rPr>
          <w:szCs w:val="24"/>
        </w:rPr>
      </w:pPr>
      <w:r w:rsidRPr="004823ED">
        <w:rPr>
          <w:rStyle w:val="BoldItalic"/>
          <w:szCs w:val="24"/>
        </w:rPr>
        <w:t>Daně a podnikatelské prostředí</w:t>
      </w:r>
    </w:p>
    <w:p w14:paraId="2CD75C5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1.</w:t>
      </w:r>
      <w:r w:rsidRPr="004823ED">
        <w:rPr>
          <w:szCs w:val="24"/>
        </w:rPr>
        <w:tab/>
        <w:t>zdůrazňuje, že daňová pravidla by měla být jednoduchá a předvídatelná, aby bylo odvádění daní pro daňové poplatníky snazší a aby je státní orgány mohly snáze spravovat a vybírat; zdůrazňuje, že je třeba dosáhnout toho, aby EU umožňovala snadno dodržovat předpisy a podporovala podnikání, kdy výrobní odvětví budou konkurenceschopná a budou prosperovat a pracovníci budou dosahovat spravedlivých příjmů; zdůrazňuje, že příliš složitá daňová pravidla mohou odrazovat od investic, a zároveň konstatuje, že koncepce daňové politiky by neměla mít negativní vliv na rozhodování hospodářských subjektů;</w:t>
      </w:r>
    </w:p>
    <w:p w14:paraId="5CFDA03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2.</w:t>
      </w:r>
      <w:r w:rsidRPr="004823ED">
        <w:rPr>
          <w:szCs w:val="24"/>
        </w:rPr>
        <w:tab/>
        <w:t>je hluboce znepokojen ohrožením daňové suverenity EU, obsaženém ve vyjádření amerického prezidenta dne 2. dubna 2025, v němž DPH v členských státech EU uvedl jako odůvodnění cel na dovoz do USA z EU; zdůrazňuje, že obchodní války mají negativní dopady na podniky, a naléhavě vyzývá Komisi a členské státy, aby omezily s nimi spojené obchodní otřesy a aby při přijímání rozhodnutí o těchto clech konzultovaly evropské zúčastněné strany;</w:t>
      </w:r>
    </w:p>
    <w:p w14:paraId="08F7289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3.</w:t>
      </w:r>
      <w:r w:rsidRPr="004823ED">
        <w:rPr>
          <w:szCs w:val="24"/>
        </w:rPr>
        <w:tab/>
        <w:t>zdůrazňuje, že jak je uvedeno v 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zprávě, představují rozdílná daňová pravidla v Unii významnou překážku pro dosažení skutečného jednotného trhu; uvědomuje si, že daňový rámec EU musí důsledně dodržovat zásady subsidiarity a proporcionality a musí zajišťovat vzájemnou spolupráci, aby se snížily náklady podniků na dodržování předpisů; zdůrazňuje, že členské státy mají právo přizpůsobit své daňové systémy svým specifickým vnitrostátním potřebám a zároveň dodržovat společné normy a koordinovat úsilí v boji proti daňovým podvodům a únikům, dbát na včasnou výměnu informací a podporovat rovné podmínky; domnívá se, že těchto výsledků lze dosáhnout zejména vytvořením rovnováhy mezi respektováním vnitrostátních pravomocí a zajištěním jednotného výkladu;</w:t>
      </w:r>
    </w:p>
    <w:p w14:paraId="0CDC992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4.</w:t>
      </w:r>
      <w:r w:rsidRPr="004823ED">
        <w:rPr>
          <w:szCs w:val="24"/>
        </w:rPr>
        <w:tab/>
        <w:t>zdůrazňuje, že kromě harmonizačního úsilí lze dosáhnout velkého pokroku při zjednodušování dodržování daňových předpisů a odstraňování administrativních překážek na vnitřním trhu prostřednictvím společných prováděcích nástrojů – například standardizovaných šablon pro shromažďování údajů a podávání zpráv, nezávazných právních opatření, pokynů Komise, dialogu a výměny osvědčených postupů mezi členskými státy;</w:t>
      </w:r>
    </w:p>
    <w:p w14:paraId="05EB0E8F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5.</w:t>
      </w:r>
      <w:r w:rsidRPr="004823ED">
        <w:rPr>
          <w:szCs w:val="24"/>
        </w:rPr>
        <w:tab/>
        <w:t xml:space="preserve">konstatuje, že evropské podniky, zejména MSP, jsou klíčovými hnacími silami hospodářského růstu a tvorby pracovních míst na celém kontinentu; připomíná, že malé a střední podniky čelí značným fiskálním výzvám v důsledku složitých daňových </w:t>
      </w:r>
      <w:r w:rsidRPr="004823ED">
        <w:rPr>
          <w:szCs w:val="24"/>
        </w:rPr>
        <w:lastRenderedPageBreak/>
        <w:t>předpisů a roztříštěných daňových systémů, které způsobují vysokou administrativní zátěž, neboť náklady MSP na dodržování předpisů odpovídají přibližně 30 % zaplacených daní (ve srovnání s 2 % u velkých společností) a brání jejich růstu a inovacím; naléhavě vyzývá Komisi, aby v úzké spolupráci s vnitrostátními daňovými orgány posoudila dopad stávajících a budoucích návrhů na malé a střední podniky a zkoumala řešení, která zjednoduší daňové postupy a sníží náklady na dodržování předpisů; dále vyzývá Komisi, aby posoudila, proč navrhovaná směrnice, kterou se zavádí daňový systém sídla pro malé a střední podniky, nezískala v Radě dostatečnou podporu, a žádá konkrétní pokrok a proveditelná řešení, aby bylo možné v tomto směru postoupit vpřed; vyzývá k vytvoření komplexního, uživatelsky přívětivého souboru nástrojů pro malé a střední podniky a začínající podniky, včetně pokynů, šablon a možností automatizovaného podávání přiznání k DPH, dani z příjmů právnických osob, mzdám a dalším povinnostem, a který by byl volně dostupný a pravidelně aktualizovaný;</w:t>
      </w:r>
    </w:p>
    <w:p w14:paraId="259A44B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6.</w:t>
      </w:r>
      <w:r w:rsidRPr="004823ED">
        <w:rPr>
          <w:szCs w:val="24"/>
        </w:rPr>
        <w:tab/>
        <w:t xml:space="preserve">bere na vědomí 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zprávu o návrzích zdanění pro jednotlivá odvětví, zejména doporučení týkající se snížení nákladů na spotřebu elektřiny, aniž by došlo k oslabení konkurenceschopnosti EU, odrazování od investic, poškozování tvorby pracovních míst nebo oslabení důvěry podniků; bere na vědomí neformální jednání ministrů financí EU v lednu 2025 o vysokých cenách energie a její prioritizaci; bere na vědomí, že probíhá práce na revizi směrnice o zdanění energie</w:t>
      </w:r>
      <w:r w:rsidRPr="004823ED">
        <w:rPr>
          <w:rStyle w:val="FootnoteReference"/>
          <w:szCs w:val="24"/>
        </w:rPr>
        <w:footnoteReference w:id="27"/>
      </w:r>
      <w:r w:rsidRPr="004823ED">
        <w:rPr>
          <w:szCs w:val="24"/>
        </w:rPr>
        <w:t>, která poukazuje na důležitost úsilí v oblasti klimatu a význam současné hospodářské situace, vysokých cen energie a potřeb v oblasti konektivity;</w:t>
      </w:r>
    </w:p>
    <w:p w14:paraId="2A49EB61" w14:textId="77777777" w:rsidR="004836D7" w:rsidRPr="004823ED" w:rsidRDefault="004836D7" w:rsidP="004823ED">
      <w:pPr>
        <w:pStyle w:val="Normal12a24b"/>
        <w:spacing w:before="0"/>
        <w:rPr>
          <w:szCs w:val="24"/>
        </w:rPr>
      </w:pPr>
      <w:r w:rsidRPr="004823ED">
        <w:rPr>
          <w:rStyle w:val="BoldItalic"/>
          <w:szCs w:val="24"/>
        </w:rPr>
        <w:t>Konkurenceschopnost a hospodářský růst</w:t>
      </w:r>
    </w:p>
    <w:p w14:paraId="70D7C11A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7.</w:t>
      </w:r>
      <w:r w:rsidRPr="004823ED">
        <w:rPr>
          <w:szCs w:val="24"/>
        </w:rPr>
        <w:tab/>
        <w:t>zdůrazňuje, že konkurenceschopnost je široký pojem, který se vztahuje k míře produktivity, jež je schopna podpořit udržitelný růst, a tím i příjmy a blahobyt pro všechny; zdůrazňuje, že konkurenceschopné hospodářství není pouze hospodářství, které je příznivé pro podnikání, ale spíše takové, které zajišťuje vysokou úroveň zaměstnanosti a sociálního zabezpečení a poskytuje inovační schopnosti, odpovídající vzdělávací příležitosti a infrastrukturu a silné instituce a normy právního státu; uznává, že účinné a efektivní zdanění – včetně opatření na omezení škodlivé daňové konkurence a závodů ke dnu, pokud jde o daňové sazby – je rozhodující pro vytváření veřejných zdrojů potřebných pro udržitelné veřejné a soukromé investice, které zvýší konkurenceschopnost, sociální a hospodářskou soudržnost a růst EU;</w:t>
      </w:r>
    </w:p>
    <w:p w14:paraId="2017EC9F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8.</w:t>
      </w:r>
      <w:r w:rsidRPr="004823ED">
        <w:rPr>
          <w:szCs w:val="24"/>
        </w:rPr>
        <w:tab/>
        <w:t>vítá závěry ze zasedání Evropské rady o Nové dohodě pro konkurenceschopnost Evropy; vyjadřuje v této souvislosti politování nad tím, že v rámci zlepšování konkurenceschopnosti Evropy byla opomenuta oblast daní; vyzývá k lepší daňové spolupráci v rámci EU, která omezí roztříštěnost předpisů a povede k jejich zjednodušení a zároveň podpoří spolupráci a důvěru mezi členskými státy, neboť tato spolupráce má zásadní význam pro zvýšení konkurenceschopnosti evropského hospodářství;</w:t>
      </w:r>
    </w:p>
    <w:p w14:paraId="50DD521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9.</w:t>
      </w:r>
      <w:r w:rsidRPr="004823ED">
        <w:rPr>
          <w:szCs w:val="24"/>
        </w:rPr>
        <w:tab/>
        <w:t xml:space="preserve">vyzývá Komisi a členské státy, aby se dohodly na koordinovaném přístupu, jehož cílem by bylo zvýšit transparentnost daňových výdajů vládních institucí a zajistit, aby tyto </w:t>
      </w:r>
      <w:r w:rsidRPr="004823ED">
        <w:rPr>
          <w:szCs w:val="24"/>
        </w:rPr>
        <w:lastRenderedPageBreak/>
        <w:t>výdaje přinášely kýžené politické cíle v souladu se společnými cíli a prioritami EU nákladově efektivním způsobem, neměly neočekávané nebo negativní dopady na vnitřní trh a neposkytovaly příležitosti pro daňové úniky a agresivní daňové plánování;</w:t>
      </w:r>
    </w:p>
    <w:p w14:paraId="55A27339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10.</w:t>
      </w:r>
      <w:r w:rsidRPr="004823ED">
        <w:rPr>
          <w:szCs w:val="24"/>
        </w:rPr>
        <w:tab/>
        <w:t>vítá závěry ze zasedání Evropské rady o racionalizaci a zjednodušení daňových pravidel; zdůrazňuje, že budoucí iniciativy EU v oblasti daní by se měly přednostně zaměřovat na administrativní zjednodušování, (případné) odstraňování překrývajících se daňových pravidel, vyjasňování a efektivnější uplatňování daňových pravidel a řešení zjištěných rozdílů nebo neúčinnosti, jež mohou ovlivňovat fungování jednotného trhu; zdůrazňuje, že Komise by měla usnadnit užší spolupráci mezi členskými státy a vnitrostátními daňovými správami, a vybízet k ní, aby bylo možné důsledněji vykládat právní předpisy v oblasti přímých a nepřímých daní;</w:t>
      </w:r>
    </w:p>
    <w:p w14:paraId="542B471E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11.</w:t>
      </w:r>
      <w:r w:rsidRPr="004823ED">
        <w:rPr>
          <w:szCs w:val="24"/>
        </w:rPr>
        <w:tab/>
        <w:t>bere na vědomí výzkum provedený Společným výzkumným střediskem Komise v roce 2022, který zjistil, že příjmy plynoucí z daní z místních hospodářských činností do místních rozpočtů mohou pro obce fungovat jako pobídka k tomu, aby jednaly na místní úrovni a místní hospodářské činnosti podporovaly; v této souvislosti vyzývá Komisi, aby tento výzkum zintenzivnila a zapojila se do vzájemného učení s členskými státy s cílem podpořit obce v péči o jejich podniky, a uvolnit tak nevyužitý potenciál pro větší hospodářský růst v celé EU;</w:t>
      </w:r>
    </w:p>
    <w:p w14:paraId="1B543BF1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12.</w:t>
      </w:r>
      <w:r w:rsidRPr="004823ED">
        <w:rPr>
          <w:szCs w:val="24"/>
        </w:rPr>
        <w:tab/>
        <w:t>zdůrazňuje, že dobře navržené a odůvodněné daňové pobídky s ekonomickou podstatou a socioekonomickými přínosy mohou podpořit hospodářské činnosti, které prosazují veřejné cíle, což platí i pro okrajové a jinak zeměpisně znevýhodněné oblasti v EU; konstatuje, že daňové pobídky by neměly být pouze v souladu se Smlouvami a omezeními týkajícími se fiskálního prostoru, ale rovněž by neměly vést k roztříštění vnitřního trhu, a vyzývá k vytvoření souboru nástrojů pro zajištění dialogu, transparentnosti a koordinace mezi členskými státy v oblasti daňových pobídek; vítá záměr Komise vydat nezávazné pokyny pro daňové pobídky a vyzývá k tomu, aby byla vypracována další studie o dopadu provádění pravidel druhého pilíře OECD na daňové pobídky a aby byla vydána doporučení k zajištění jejich účinnosti v rámci druhého pilíře; zdůrazňuje, že je důležité zajistit, aby daňové pobídky zůstaly v souladu s rámcem EU pro státní podporu; připomíná závazky EU v oblasti změny klimatu a trvalou podporu těchto cílů ze strany Parlamentu a naléhavě vyzývá Komisi a členské státy, aby koordinovaly své úsilí a zvážily potenciální přínosy daňových pobídek pro ekologické investice;</w:t>
      </w:r>
    </w:p>
    <w:p w14:paraId="098C519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13.</w:t>
      </w:r>
      <w:r w:rsidRPr="004823ED">
        <w:rPr>
          <w:szCs w:val="24"/>
        </w:rPr>
        <w:tab/>
        <w:t>připomíná, že několik legislativních iniciativ v oblasti daní nepostupuje kupředu; v této souvislosti zdůrazňuje, že je třeba zajistit právní jistotu a předvídatelnost pro podniky v EU; bere na vědomí, že Komise upřesnila, které iniciativy v daňové oblasti mají být staženy;</w:t>
      </w:r>
    </w:p>
    <w:p w14:paraId="6721BFF3" w14:textId="77777777" w:rsidR="004836D7" w:rsidRPr="004823ED" w:rsidRDefault="004836D7" w:rsidP="004823ED">
      <w:pPr>
        <w:pStyle w:val="Normal12a24b"/>
        <w:spacing w:before="0"/>
        <w:rPr>
          <w:szCs w:val="24"/>
        </w:rPr>
      </w:pPr>
      <w:r w:rsidRPr="004823ED">
        <w:rPr>
          <w:rStyle w:val="BoldItalic"/>
          <w:szCs w:val="24"/>
        </w:rPr>
        <w:t>Zjednodušení daňových pravidel a digitalizace</w:t>
      </w:r>
    </w:p>
    <w:p w14:paraId="14CDC7CA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14.</w:t>
      </w:r>
      <w:r w:rsidRPr="004823ED">
        <w:rPr>
          <w:szCs w:val="24"/>
        </w:rPr>
        <w:tab/>
        <w:t xml:space="preserve">připomíná, že prioritou Komise je zajistit jednodušší podnikání v rámci všech politik, včetně daňové politiky v mezích jejích pravomocí, s cílem snížit požadavky na výkaznictví nejméně o 25 % (pro malé a střední podniky alespoň o 35 %); vyzývá v této souvislosti Komisi, aby v úzkém a nepřetržitém dialogu s členskými státy prováděla systematicky u všech nových legislativních návrhů týkajících se daní předběžné posouzení dopadu, jakož i test konkurenceschopnosti stávajících opatření s cílem </w:t>
      </w:r>
      <w:r w:rsidRPr="004823ED">
        <w:rPr>
          <w:szCs w:val="24"/>
        </w:rPr>
        <w:lastRenderedPageBreak/>
        <w:t>kvantifikovat očekávané snížení administrativní zátěže a zajistit, aby nová pravidla byla v souladu s cíli EU v oblasti hospodářského růstu a ekologické a digitální transformace;</w:t>
      </w:r>
    </w:p>
    <w:p w14:paraId="3576432F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15.</w:t>
      </w:r>
      <w:r w:rsidRPr="004823ED">
        <w:rPr>
          <w:szCs w:val="24"/>
        </w:rPr>
        <w:tab/>
        <w:t>naléhavě vyzývá Komisi, aby zjistila a odstranila všechny případy duplicitního vykazování a zavedla systém účinného sdílení údajů mezi daňovými správami, a tím zbavila daňové poplatníky povinnosti dvojího vykazování; konstatuje, že by v této souvislosti bylo možné dosáhnout snadných přínosů, jako např. změnou směrnice (EU) 2021/2101</w:t>
      </w:r>
      <w:r w:rsidRPr="004823ED">
        <w:rPr>
          <w:rStyle w:val="FootnoteReference"/>
          <w:szCs w:val="24"/>
        </w:rPr>
        <w:footnoteReference w:id="28"/>
      </w:r>
      <w:r w:rsidRPr="004823ED">
        <w:rPr>
          <w:szCs w:val="24"/>
        </w:rPr>
        <w:t xml:space="preserve">, pokud jde o veřejné vykazování podle jednotlivých zemí, s cílem zajistit rovnocennost pravidel EU se standardem č. 207 pro podávání zpráv o daních v rámci </w:t>
      </w:r>
      <w:proofErr w:type="spellStart"/>
      <w:r w:rsidRPr="002E4D94">
        <w:rPr>
          <w:i/>
          <w:iCs/>
          <w:szCs w:val="24"/>
        </w:rPr>
        <w:t>Global</w:t>
      </w:r>
      <w:proofErr w:type="spellEnd"/>
      <w:r w:rsidRPr="002E4D94">
        <w:rPr>
          <w:i/>
          <w:iCs/>
          <w:szCs w:val="24"/>
        </w:rPr>
        <w:t xml:space="preserve"> Reporting </w:t>
      </w:r>
      <w:proofErr w:type="spellStart"/>
      <w:r w:rsidRPr="002E4D94">
        <w:rPr>
          <w:i/>
          <w:iCs/>
          <w:szCs w:val="24"/>
        </w:rPr>
        <w:t>Initiative</w:t>
      </w:r>
      <w:proofErr w:type="spellEnd"/>
      <w:r w:rsidRPr="004823ED">
        <w:rPr>
          <w:szCs w:val="24"/>
        </w:rPr>
        <w:t>; vyzývá Komisi, aby posoudila, zda je taková rovnocennost opodstatněná;</w:t>
      </w:r>
    </w:p>
    <w:p w14:paraId="14FC41C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16.</w:t>
      </w:r>
      <w:r w:rsidRPr="004823ED">
        <w:rPr>
          <w:szCs w:val="24"/>
        </w:rPr>
        <w:tab/>
        <w:t>vyzývá Komisi a členské státy, aby zefektivnily daňové povinnosti pro obranný průmysl rozšířením a zjednodušením osvobození od DPH u zakázek souvisejících s obranou, zejména v souvislosti se společnými obrannými iniciativami EU;</w:t>
      </w:r>
    </w:p>
    <w:p w14:paraId="2C738798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17.</w:t>
      </w:r>
      <w:r w:rsidRPr="004823ED">
        <w:rPr>
          <w:szCs w:val="24"/>
        </w:rPr>
        <w:tab/>
        <w:t>vyzývá ke zřízení daňového datového centra EU s cílem zlepšit automatickou výměnu daňových informací a snížit administrativní zátěž; vybízí Komisi a členské státy, aby navázaly na stávající nástroje, jako je systém výměny informací o DPH (VIES) a systém pro kontrolu přepravy zboží podléhajícího spotřebním daním (EMCS), a prozkoumaly možnost rozšíření jejich použití na oblasti, jako jsou přímé daně; zdůrazňuje, že takové centrum by mělo umožnit společnou analýzu informací důležitých pro kontrolní proces zdanění s přeshraničním prvkem, zabránit duplicitě a sloužit jako jednotné přístupové místo pro daňové správy v celé EU;</w:t>
      </w:r>
    </w:p>
    <w:p w14:paraId="67259D12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18.</w:t>
      </w:r>
      <w:r w:rsidRPr="004823ED">
        <w:rPr>
          <w:szCs w:val="24"/>
        </w:rPr>
        <w:tab/>
        <w:t>zdůrazňuje, že elektronická fakturace se může stát klíčovým nástrojem pro zvýšení transparentnosti, snížení administrativní zátěže a umožnění praktického a efektivního využití vykazovaných údajů;</w:t>
      </w:r>
    </w:p>
    <w:p w14:paraId="2907A6FD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19.</w:t>
      </w:r>
      <w:r w:rsidRPr="004823ED">
        <w:rPr>
          <w:szCs w:val="24"/>
        </w:rPr>
        <w:tab/>
        <w:t>připomíná, že bez důkladného vykazování by daňové správy neměly základní informace potřebné k odhalování, vyšetřování a prevenci nekalých daňových praktik; zdůrazňuje, že přístup k včasným a komplexním daňovým údajům je nezbytný pro zajištění spravedlnosti daňových systémů a ochranu veřejných příjmů;</w:t>
      </w:r>
    </w:p>
    <w:p w14:paraId="259DFD8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20.</w:t>
      </w:r>
      <w:r w:rsidRPr="004823ED">
        <w:rPr>
          <w:szCs w:val="24"/>
        </w:rPr>
        <w:tab/>
        <w:t>uznává, že pro ospravedlnění nákladů na plnění požadavků na výkaznictví je zapotřebí dobře zajištěných a efektivních daňových správ, které jsou vybaveny náležitě vyškoleným personálem a moderní digitální infrastrukturou; zdůrazňuje, že je třeba investovat do kapacit daňových orgánů, aby se zajistilo plné využití stávajících oznamovacích povinností;</w:t>
      </w:r>
    </w:p>
    <w:p w14:paraId="3913A757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21.</w:t>
      </w:r>
      <w:r w:rsidRPr="004823ED">
        <w:rPr>
          <w:szCs w:val="24"/>
        </w:rPr>
        <w:tab/>
        <w:t xml:space="preserve">připomíná, že jednoduchá, stabilní a předvídatelná daňová pravidla mají pro konkurenceschopné hospodářství zásadní význam a přispívají k vytváření pracovních míst a hospodářskému růstu; vyzývá Komisi, aby vydala doporučení ohledně zjednodušeného a konkurenceschopného daňového systému s cílem snížit administrativní zátěž pro podniky a občany tam, kde je to vhodné, například efektivnějším používáním daňového identifikačního čísla ve všech členských státech, </w:t>
      </w:r>
      <w:r w:rsidRPr="004823ED">
        <w:rPr>
          <w:szCs w:val="24"/>
        </w:rPr>
        <w:lastRenderedPageBreak/>
        <w:t>a v oblasti daňových pobídek; konstatuje, že daňová jistota, zjednodušení postupů pro vracení daní a odpočty jsou klíčovými způsoby, jak snížit administrativní zátěž, zejména pro malé a střední podniky;</w:t>
      </w:r>
    </w:p>
    <w:p w14:paraId="42078E2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22.</w:t>
      </w:r>
      <w:r w:rsidRPr="004823ED">
        <w:rPr>
          <w:szCs w:val="24"/>
        </w:rPr>
        <w:tab/>
        <w:t>poukazuje na důležitost všeobecného zjednodušení daní; zdůrazňuje, že je třeba zvýšit účast drobných investorů na kapitálových trzích tím, že se zjednoduší postupy daňových přiznání pro spořicí a investiční účty, zejména pokud jsou tyto účty doprovázeny daňovými pobídkami; dále bere na vědomí pilotní projekty Komise zaměřené na spolupráci podniků v oblasti dodržování předpisů, jejichž cílem je omezit audity a zlepšit řešení sporů u společností, které splňují přísné normy pro dodržování předpisů;</w:t>
      </w:r>
    </w:p>
    <w:p w14:paraId="36E4FD9B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23.</w:t>
      </w:r>
      <w:r w:rsidRPr="004823ED">
        <w:rPr>
          <w:szCs w:val="24"/>
        </w:rPr>
        <w:tab/>
        <w:t>zdůrazňuje potenciál digitalizace, zejména umělé inteligence (AI), jako nástroje pro snižování administrativní zátěže a nákladů na dodržování předpisů pro společnosti, zejména malé a střední podniky, a podporujícího odhalování podvodů v oblasti DPH při současném zachování lidského prvku pro účely kontrol kvality a zajištění záruk proti riziku diskriminace; konstatuje, že digitalizace může rovněž posílit veřejnou správu daní, pokud bude zaručena transparentnost a dostatečný dohled nad automatizovaným rozhodováním v daňové oblasti; naléhavě vyzývá Komisi a členské státy, aby pokročily v digitalizaci a zjednodušování daňové správy a zároveň aby posílily spolupráci, koordinaci a výměnu osvědčených postupů a know-how mezi vnitrostátními orgány, přičemž Komise by měla působit jako prostředník;</w:t>
      </w:r>
    </w:p>
    <w:p w14:paraId="09E1E6D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24.</w:t>
      </w:r>
      <w:r w:rsidRPr="004823ED">
        <w:rPr>
          <w:szCs w:val="24"/>
        </w:rPr>
        <w:tab/>
        <w:t xml:space="preserve">zdůrazňuje, že členské státy by měly vyčlenit odpovídající lidské a finanční zdroje na provádění veškerých nových daňových právních předpisů a modernizaci daňových správ, zejména prostřednictvím investic do personálního obsazení, odborné přípravy a integrovaných a interoperabilních informačních systémů a do konzultací se soukromým sektorem; vyzývá Komisi, aby zvýšila svou podporu prostřednictvím programu </w:t>
      </w:r>
      <w:proofErr w:type="spellStart"/>
      <w:r w:rsidRPr="004823ED">
        <w:rPr>
          <w:szCs w:val="24"/>
        </w:rPr>
        <w:t>Fiscalis</w:t>
      </w:r>
      <w:proofErr w:type="spellEnd"/>
      <w:r w:rsidRPr="004823ED">
        <w:rPr>
          <w:szCs w:val="24"/>
        </w:rPr>
        <w:t xml:space="preserve"> a aby prozkoumala možnost vytvoření zvláštního programu financování EU pro další podporu těchto investic;</w:t>
      </w:r>
    </w:p>
    <w:p w14:paraId="3A60D304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25.</w:t>
      </w:r>
      <w:r w:rsidRPr="004823ED">
        <w:rPr>
          <w:szCs w:val="24"/>
        </w:rPr>
        <w:tab/>
        <w:t>vyzývá Komisi, aby v mezích svých pravomocí a v úzkém a nepřetržitém dialogu s členskými státy posoudila a zjednodušila stávající rámec DPH, snížila administrativní zátěž, a to i pro podniky a komunitní organizace, posílila konkurenceschopnost a snížila rozdíl mezi očekávanými příjmy a skutečně vybranou částkou (výpadek příjmů z DPH); opakuje svou výzvu k zavedení jednoduššího, modernizovaného systému DPH s omezeními pro osvobození od daně a nestandardní sazby, zaměřeného na podporu spravedlivé hospodářské soutěže, snížení nákladů na dodržování předpisů a zlepšení dobrovolného dodržování předpisů; bere na vědomí balíček týkající se DPH v digitálním věku (</w:t>
      </w:r>
      <w:proofErr w:type="spellStart"/>
      <w:r w:rsidRPr="004823ED">
        <w:rPr>
          <w:szCs w:val="24"/>
        </w:rPr>
        <w:t>ViDA</w:t>
      </w:r>
      <w:proofErr w:type="spellEnd"/>
      <w:r w:rsidRPr="004823ED">
        <w:rPr>
          <w:szCs w:val="24"/>
        </w:rPr>
        <w:t>) a vyzývá Komisi, aby vydala jasné a ucelené pokyny k zajištění bezproblémového provádění směrnice (EU) 2025/516</w:t>
      </w:r>
      <w:r w:rsidRPr="004823ED">
        <w:rPr>
          <w:rStyle w:val="FootnoteReference"/>
          <w:szCs w:val="24"/>
        </w:rPr>
        <w:footnoteReference w:id="29"/>
      </w:r>
      <w:r w:rsidRPr="004823ED">
        <w:rPr>
          <w:szCs w:val="24"/>
        </w:rPr>
        <w:t xml:space="preserve">, konkrétně pokud jde o požadavek EU na digitální vykazování; zdůrazňuje, že výpadek příjmů z DPH se v jednotlivých členských státech značně liší, a vítá balíček </w:t>
      </w:r>
      <w:proofErr w:type="spellStart"/>
      <w:r w:rsidRPr="004823ED">
        <w:rPr>
          <w:szCs w:val="24"/>
        </w:rPr>
        <w:t>ViDA</w:t>
      </w:r>
      <w:proofErr w:type="spellEnd"/>
      <w:r w:rsidRPr="004823ED">
        <w:rPr>
          <w:szCs w:val="24"/>
        </w:rPr>
        <w:t xml:space="preserve"> jako nástroj ke zvýšení transparentnosti a omezení podvodů; naléhavě vyzývá ke koordinovanému provádění na vnitrostátní úrovni, aby byla zajištěna soudržnost a aby byl model jednoho správního místa pro DPH účinný a uživatelsky vstřícný, zejména pro malé a střední podniky; vyzývá k dalším reformám, které by malým podnikům usnadnily elektronickou registraci k DPH a zvýšily digitalizaci výběru DPH; vyzývá Komisi, aby </w:t>
      </w:r>
      <w:r w:rsidRPr="004823ED">
        <w:rPr>
          <w:szCs w:val="24"/>
        </w:rPr>
        <w:lastRenderedPageBreak/>
        <w:t>navázala na jedno správní místo pro DPH v oblasti přeshraničního elektronického obchodu mezi podniky a spotřebiteli a rozšířila jej s cílem snížit administrativní zátěž a náklady na dodržování předpisů;</w:t>
      </w:r>
    </w:p>
    <w:p w14:paraId="2F8C1A4B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26.</w:t>
      </w:r>
      <w:r w:rsidRPr="004823ED">
        <w:rPr>
          <w:szCs w:val="24"/>
        </w:rPr>
        <w:tab/>
        <w:t xml:space="preserve">konstatuje, že v posledním desetiletí se výrazně proměnilo nákupní chování, kdy v době pandemie COVID-19 došlo k prudkému nárůstu elektronického obchodování, který přetrvává dodnes; rovněž uznává, že nákupy online by díky elektronické auditní stopě měly přispívat k většímu dodržování předpisů týkajících se DPH, avšak zpráva Komise o výpadcích z příjmů DPH za rok 2024 uvádí, že tato souvislost není tak jednoznačná vzhledem ke složitostem vyplývajícím z prodeje online; naléhavě vyzývá Komisi, aby posoudila, zda vzhledem k rostoucí popularitě elektronického obchodu odpovídá </w:t>
      </w:r>
      <w:proofErr w:type="spellStart"/>
      <w:r w:rsidRPr="004823ED">
        <w:rPr>
          <w:i/>
          <w:szCs w:val="24"/>
        </w:rPr>
        <w:t>acquis</w:t>
      </w:r>
      <w:proofErr w:type="spellEnd"/>
      <w:r w:rsidRPr="004823ED">
        <w:rPr>
          <w:szCs w:val="24"/>
        </w:rPr>
        <w:t xml:space="preserve"> v oblasti DPH svému účelu;</w:t>
      </w:r>
    </w:p>
    <w:p w14:paraId="2CD980EB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27.</w:t>
      </w:r>
      <w:r w:rsidRPr="004823ED">
        <w:rPr>
          <w:szCs w:val="24"/>
        </w:rPr>
        <w:tab/>
        <w:t>vyzývá ke zlepšení směrnice Rady 2008/9/ES</w:t>
      </w:r>
      <w:r w:rsidRPr="004823ED">
        <w:rPr>
          <w:rStyle w:val="FootnoteReference"/>
          <w:szCs w:val="24"/>
        </w:rPr>
        <w:footnoteReference w:id="30"/>
      </w:r>
      <w:r w:rsidRPr="004823ED">
        <w:rPr>
          <w:szCs w:val="24"/>
        </w:rPr>
        <w:t>; zdůrazňuje, že je důležité prozkoumat začlenění přeshraničního vracení DPH do modelu jednoho správního místa, aby se dále zjednodušilo dodržování předpisů o DPH pro podniky zapojené do přeshraničního obchodu a zároveň se zajistilo sladění se stávajícími povinnostmi v oblasti DPH ve všech členských státech;</w:t>
      </w:r>
    </w:p>
    <w:p w14:paraId="2F3390C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28.</w:t>
      </w:r>
      <w:r w:rsidRPr="004823ED">
        <w:rPr>
          <w:szCs w:val="24"/>
        </w:rPr>
        <w:tab/>
        <w:t>požaduje v zájmu efektivnějšího systému DPH důsledné uplatňování klíčových pojmů a zjednodušení definic, včetně např. uplatňování společného výkladu pojmu „instalované a smontované zboží“, jak je uvedeno v článku 36 směrnice o DPH</w:t>
      </w:r>
      <w:r w:rsidRPr="004823ED">
        <w:rPr>
          <w:rStyle w:val="FootnoteReference"/>
          <w:szCs w:val="24"/>
        </w:rPr>
        <w:footnoteReference w:id="31"/>
      </w:r>
      <w:r w:rsidRPr="004823ED">
        <w:rPr>
          <w:szCs w:val="24"/>
        </w:rPr>
        <w:t>, a důsledné uplatňování definic stálé provozovny a jiných provozoven;</w:t>
      </w:r>
    </w:p>
    <w:p w14:paraId="6845571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29.</w:t>
      </w:r>
      <w:r w:rsidRPr="004823ED">
        <w:rPr>
          <w:szCs w:val="24"/>
        </w:rPr>
        <w:tab/>
        <w:t>zdůrazňuje potřebu udržitelnějšího a spravedlivějšího systému DPH, přičemž by mělo být dále zváženo, jak lze sazby DPH využít k dosažení cílů udržitelnosti; navrhuje, aby Komise posoudila, zda je možné zrušit plnění DPH u zboží dodávaného bezplatně za účelem sociálního a environmentálního prospěchu;</w:t>
      </w:r>
    </w:p>
    <w:p w14:paraId="4729F2EE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30.</w:t>
      </w:r>
      <w:r w:rsidRPr="004823ED">
        <w:rPr>
          <w:szCs w:val="24"/>
        </w:rPr>
        <w:tab/>
        <w:t>konstatuje, že zatímco snížené sazby DPH mají legitimní účel při podpoře obecných sociálních a hospodářských cílů členských států, včetně podpory zranitelných členů společnosti a dětí, jejich širší uplatňování zvyšuje právní nejistotu a složitost daňového systému; zdůrazňuje, že přestože snížené sazby DPH mohou vést ke snížení ceny pro spotřebitele, závisí tento efekt i na dalších faktorech; proto se domnívá, že při zjednodušování bude užitečné pravidelně přezkoumávat a hodnotit, které snížené sazby DPH jsou i nadále nezbytné a účinné při dosahování zamýšlených politických cílů členských států;</w:t>
      </w:r>
    </w:p>
    <w:p w14:paraId="2F596071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31.</w:t>
      </w:r>
      <w:r w:rsidRPr="004823ED">
        <w:rPr>
          <w:szCs w:val="24"/>
        </w:rPr>
        <w:tab/>
        <w:t>opakuje postoj Parlamentu k navrhovanému daňovému systému sídla pro malé a střední podniky, navrhované směrnici „</w:t>
      </w:r>
      <w:proofErr w:type="spellStart"/>
      <w:r w:rsidRPr="004823ED">
        <w:rPr>
          <w:szCs w:val="24"/>
        </w:rPr>
        <w:t>Unshell</w:t>
      </w:r>
      <w:proofErr w:type="spellEnd"/>
      <w:r w:rsidRPr="004823ED">
        <w:rPr>
          <w:szCs w:val="24"/>
        </w:rPr>
        <w:t>“ a navrhované úlevě ke snížení zvýhodnění dluhu oproti vlastnímu kapitálu (DEBRA);</w:t>
      </w:r>
    </w:p>
    <w:p w14:paraId="12D5899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32.</w:t>
      </w:r>
      <w:r w:rsidRPr="004823ED">
        <w:rPr>
          <w:szCs w:val="24"/>
        </w:rPr>
        <w:tab/>
        <w:t xml:space="preserve">zdůrazňuje, že složitost interakcí – a nesrovnalosti v nich – mezi různými vnitrostátními daňovými systémy mohou vytvářet nerovné podmínky a mít nepříznivý dopad na </w:t>
      </w:r>
      <w:r w:rsidRPr="004823ED">
        <w:rPr>
          <w:szCs w:val="24"/>
        </w:rPr>
        <w:lastRenderedPageBreak/>
        <w:t>fungování vnitřního trhu; zdůrazňuje, že tento stav může odrazovat od přeshraničního investování, které může být obzvláště nevýhodné pro malé a střední podniky a čistě domácí podniky, které nemají prostředky na to, aby se zapojily do složitých systémů daňového plánování, a proto čelí nespravedlivému konkurenčnímu prostředí, které není pro jejich rozvoj příznivé;</w:t>
      </w:r>
    </w:p>
    <w:p w14:paraId="250B7A8F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33.</w:t>
      </w:r>
      <w:r w:rsidRPr="004823ED">
        <w:rPr>
          <w:szCs w:val="24"/>
        </w:rPr>
        <w:tab/>
        <w:t>bere na vědomí práci na návrhu směrnice o podnikání v Evropě: rámci pro zdanění příjmů (BEFIT); připomíná cíle, které Komise předložením návrhu BEFIT sleduje: snížit složitost daňových pravidel a náklady na dodržování předpisů pro podniky v EU s přeshraničními operacemi; bere na vědomí jeho potenciál snížit roztříštěnost a vytvořit rovné podmínky pro podniky na vnitřním trhu; zdůrazňuje, že každá iniciativa EU musí přinést přidanou hodnotu v právním i hospodářském smyslu, a vyzývá k účinnému a vyváženému přístupu, který bude přínosný pro všechny členské státy, bude respektovat zásadu subsidiarity a bude koherentně sladěn s prováděním pravidel druhého pilíře OECD;</w:t>
      </w:r>
    </w:p>
    <w:p w14:paraId="44699598" w14:textId="77777777" w:rsidR="004836D7" w:rsidRPr="004823ED" w:rsidRDefault="004836D7" w:rsidP="004823ED">
      <w:pPr>
        <w:pStyle w:val="Normal12a24b"/>
        <w:spacing w:before="0"/>
        <w:rPr>
          <w:szCs w:val="24"/>
        </w:rPr>
      </w:pPr>
      <w:r w:rsidRPr="004823ED">
        <w:rPr>
          <w:rStyle w:val="BoldItalic"/>
          <w:szCs w:val="24"/>
        </w:rPr>
        <w:t>První a druhý pilíř OECD a mezinárodní zdanění</w:t>
      </w:r>
    </w:p>
    <w:p w14:paraId="219CB34D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34.</w:t>
      </w:r>
      <w:r w:rsidRPr="004823ED">
        <w:rPr>
          <w:szCs w:val="24"/>
        </w:rPr>
        <w:tab/>
        <w:t xml:space="preserve">opakuje, že EU je pevně odhodlána uplatňovat </w:t>
      </w:r>
      <w:proofErr w:type="spellStart"/>
      <w:r w:rsidRPr="004823ED">
        <w:rPr>
          <w:szCs w:val="24"/>
        </w:rPr>
        <w:t>dvoupilířový</w:t>
      </w:r>
      <w:proofErr w:type="spellEnd"/>
      <w:r w:rsidRPr="004823ED">
        <w:rPr>
          <w:szCs w:val="24"/>
        </w:rPr>
        <w:t xml:space="preserve"> přístup inkluzivního rámce OECD/G20 a zohledňovat stávající situaci týkající se pravidel druhého pilíře, včetně exekutivního příkazu prezidenta USA ze dne 20. ledna 2025, v němž se uvádí, že globální daňová dohoda OECD nemá ve Spojených státech žádnou platnost ani účinek; důrazně vyzývá Komisi, aby prioritně usilovala o zachování a ochranu této dohody s cílem zabránit návratu ke škodlivé daňové soutěži na úkor veřejných příjmů a zájmů EU; důrazně vyzývá Komisi, aby Parlament informovala o plánech pro nepředvídané události a aby urychleně přijala cílená opatření k zajištění integrity a účinnosti směrnice druhého pilíře</w:t>
      </w:r>
      <w:r w:rsidRPr="004823ED">
        <w:rPr>
          <w:rStyle w:val="FootnoteReference"/>
          <w:szCs w:val="24"/>
        </w:rPr>
        <w:footnoteReference w:id="32"/>
      </w:r>
      <w:r w:rsidRPr="004823ED">
        <w:rPr>
          <w:szCs w:val="24"/>
        </w:rPr>
        <w:t xml:space="preserve"> na ochranu zájmů EU a k předcházení odvetným opatřením; bere na vědomí možnost administrativního zjednodušení při provádění směrnice druhého pilíře;</w:t>
      </w:r>
    </w:p>
    <w:p w14:paraId="1397449A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35.</w:t>
      </w:r>
      <w:r w:rsidRPr="004823ED">
        <w:rPr>
          <w:szCs w:val="24"/>
        </w:rPr>
        <w:tab/>
        <w:t>zdůrazňuje, že druhý pilíř by měl zajistit globální minimální úroveň zdanění nadnárodních a velkých vnitrostátních skupin v EU; vítá jeho provedení ve vnitrostátním právu; požaduje jasnou právní úpravu, která bude zohledňovat rozdíly mezi pravidly druhého pilíře OECD a jejich prováděním členskými státy, konkrétně v oblasti lodní dopravy, aby nevznikly protichůdné daňové režimy, jež by mohly být matoucí; očekává, že budou brzy dojednány a zveřejněny administrativní pokyny, které společnostem spadajícím do oblasti působnosti druhého pilíře poskytnou nezbytnou jistotu; rovněž očekává další vývoj ve věci bezpečných přístavů, jenž usnadní dodržování předpisů, například vytvoření trvalého bezpečného přístavu;</w:t>
      </w:r>
    </w:p>
    <w:p w14:paraId="2D2F8131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36.</w:t>
      </w:r>
      <w:r w:rsidRPr="004823ED">
        <w:rPr>
          <w:szCs w:val="24"/>
        </w:rPr>
        <w:tab/>
        <w:t>zdůrazňuje významnou úlohu Úřadu evropského veřejného žalobce (EPPO) a Evropského úřadu pro boj proti podvodům (OLAF) při odhalování a vyšetřování daňových podvodů a úniků, a poukazuje na potřebu účinné spolupráce mezi těmito orgány a s vnitrostátními daňovými orgány;</w:t>
      </w:r>
    </w:p>
    <w:p w14:paraId="127C05F4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lastRenderedPageBreak/>
        <w:t>37.</w:t>
      </w:r>
      <w:r w:rsidRPr="004823ED">
        <w:rPr>
          <w:szCs w:val="24"/>
        </w:rPr>
        <w:tab/>
        <w:t>bere na vědomí skutečnost, že OECD v říjnu 2023 zveřejnila Mnohostrannou úmluvu, která stanoví technická pravidla pro provádění částky A prvního pilíře, a probíhající jednání; vyzývá Komisi, aby posoudila možné dopady daně z digitálních služeb;</w:t>
      </w:r>
    </w:p>
    <w:p w14:paraId="3AFD0A41" w14:textId="77777777" w:rsidR="004836D7" w:rsidRPr="004823ED" w:rsidRDefault="004836D7" w:rsidP="004823ED">
      <w:pPr>
        <w:pStyle w:val="Normal12a24b"/>
        <w:spacing w:before="0"/>
        <w:rPr>
          <w:szCs w:val="24"/>
        </w:rPr>
      </w:pPr>
      <w:r w:rsidRPr="004823ED">
        <w:rPr>
          <w:rStyle w:val="BoldItalic"/>
          <w:szCs w:val="24"/>
        </w:rPr>
        <w:t>Daňové překážky na jednotném trhu</w:t>
      </w:r>
    </w:p>
    <w:p w14:paraId="187F245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38.</w:t>
      </w:r>
      <w:r w:rsidRPr="004823ED">
        <w:rPr>
          <w:szCs w:val="24"/>
        </w:rPr>
        <w:tab/>
        <w:t xml:space="preserve">bere na vědomí </w:t>
      </w:r>
      <w:proofErr w:type="spellStart"/>
      <w:r w:rsidRPr="004823ED">
        <w:rPr>
          <w:szCs w:val="24"/>
        </w:rPr>
        <w:t>Lettovu</w:t>
      </w:r>
      <w:proofErr w:type="spellEnd"/>
      <w:r w:rsidRPr="004823ED">
        <w:rPr>
          <w:szCs w:val="24"/>
        </w:rPr>
        <w:t xml:space="preserve"> zprávu a odkaz na dobrovolný 28. režim zaměřený na přivedení inovativních začínajících podniků a jejich udržení v EU; konstatuje, že roztříštěné daňové prostředí EU vytváří pro podniky v EU, zejména pro malé a střední podniky, složité podmínky, nejistotu a vysoké náklady na dodržování předpisů, a vyzývá Komisi, aby posoudila výhody a nevýhody volby 28. režimu; zdůrazňuje, že je třeba řešit daňové překážky bránící přeshraničním investicím a snížit nadměrnou závislost na dluhu a zvýšit vlastní kapitál při financování podniků; v této souvislosti připomíná 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zprávu, která poukazuje na to, že občané EU by měli mít možnost investovat v jiných členských státech bez složitých daňových postupů, jež následně vedou k dvojímu zdanění; zdůrazňuje, že dodržování těchto zásad je klíčem k tomu, aby se EU stala konkurenceschopným a inovativním centrem investic; zdůrazňuje, že je důležité prozkoumat možné způsoby, jak zjednodušit a standardizovat pravidla dokumentace v oblasti oceňování převodů v celé EU, včetně pečlivého a vyváženého posouzení stávajících prahových hodnot a kritérií významnosti, a to při současném zohlednění specifik členských států, s cílem snížit náklady na dodržování předpisů u transakcí, aniž by byly ohroženy normy transparentnosti a aniž by to napomáhalo agresivnímu daňovému plánování a daňovým únikům;</w:t>
      </w:r>
    </w:p>
    <w:p w14:paraId="60A14D48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39.</w:t>
      </w:r>
      <w:r w:rsidRPr="004823ED">
        <w:rPr>
          <w:szCs w:val="24"/>
        </w:rPr>
        <w:tab/>
        <w:t>vyjadřuje politování nad tím, že v Kompasu konkurenceschopnosti, který vypracovala Komise, chybí konkrétní pokyny, jak odstranit daňové překážky přeshraničních investic; vyzývá Komisi, aby vypracovala cílená posouzení této roztříštěnosti na hospodářství a konkurenceschopnost, určila nejvíce postižená odvětví a navrhla konkrétní opatření ke zjednodušení daňových systémů a posílení vzájemné důvěry mezi členskými státy, zejména na podporu malých a středních podniků;</w:t>
      </w:r>
    </w:p>
    <w:p w14:paraId="271EA7C9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40.</w:t>
      </w:r>
      <w:r w:rsidRPr="004823ED">
        <w:rPr>
          <w:szCs w:val="24"/>
        </w:rPr>
        <w:tab/>
        <w:t>vítá nedávný vstup v platnost směrnice FASTER o srážkové dani</w:t>
      </w:r>
      <w:r w:rsidRPr="004823ED">
        <w:rPr>
          <w:rStyle w:val="FootnoteReference"/>
          <w:szCs w:val="24"/>
        </w:rPr>
        <w:footnoteReference w:id="33"/>
      </w:r>
      <w:r w:rsidRPr="004823ED">
        <w:rPr>
          <w:szCs w:val="24"/>
        </w:rPr>
        <w:t xml:space="preserve"> jako důležitý první krok k modernizaci a zefektivnění přeshraničních daňových postupů v EU; bere na vědomí doporučení 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zprávy a připomíná doporučení Parlamentu uvedená v jeho usnesení o rámci pro srážkovou daň</w:t>
      </w:r>
      <w:r w:rsidRPr="004823ED">
        <w:rPr>
          <w:rStyle w:val="FootnoteReference"/>
          <w:szCs w:val="24"/>
        </w:rPr>
        <w:footnoteReference w:id="34"/>
      </w:r>
      <w:r w:rsidRPr="004823ED">
        <w:rPr>
          <w:szCs w:val="24"/>
        </w:rPr>
        <w:t>, jehož zavedení je nezbytné pro odstranění nadměrné složitosti, zvýšení právní jistoty pro investory a zastavení praxe spekulativního výběru smluv; mimoto poukazuje na to, že reforma daňové politiky by rovněž mohla usnadnit další integraci kapitálových trhů EU v rámci unie úspor a investic;</w:t>
      </w:r>
    </w:p>
    <w:p w14:paraId="5E17A1AF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41.</w:t>
      </w:r>
      <w:r w:rsidRPr="004823ED">
        <w:rPr>
          <w:szCs w:val="24"/>
        </w:rPr>
        <w:tab/>
        <w:t>vyzývá Komisi, aby zmapovala stávající daňové překážky pro dokončení jednotného trhu a aby vypracovala akční plán k jejich odstranění;</w:t>
      </w:r>
    </w:p>
    <w:p w14:paraId="4BA2A458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42.</w:t>
      </w:r>
      <w:r w:rsidRPr="004823ED">
        <w:rPr>
          <w:szCs w:val="24"/>
        </w:rPr>
        <w:tab/>
        <w:t xml:space="preserve">vyzývá k vypracování obecných zásad týkajících se práv daňových poplatníků s cílem určit přetrvávající daňové překážky na jednotném trhu a doporučit osvědčené postupy </w:t>
      </w:r>
      <w:r w:rsidRPr="004823ED">
        <w:rPr>
          <w:szCs w:val="24"/>
        </w:rPr>
        <w:lastRenderedPageBreak/>
        <w:t>z celé EU, jež zlepší zkušenosti daňových poplatníků, přičemž je nutné zajistit, aby tyto obecné zásady neomezovaly schopnost členských států zavádět opatření proti zneužívání, která zajistí řádné prosazování jejich daňových předpisů; všímá si, že Komise váhá s předložením plánovaného sdělení o právech občanů jako daňových poplatníků, které avizovala ve svém akčním plánu na rok 2021;</w:t>
      </w:r>
    </w:p>
    <w:p w14:paraId="3987A1C8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43.</w:t>
      </w:r>
      <w:r w:rsidRPr="004823ED">
        <w:rPr>
          <w:szCs w:val="24"/>
        </w:rPr>
        <w:tab/>
        <w:t>vítá sdělení Komise o unii úspor a investic, a zejména ochotu odstranit rozdíly ve vnitrostátních daňových postupech, které vytvářejí administrativní zátěž a překážky pro přeshraniční investice, a také podpořit opatření členských států v tomto směru;</w:t>
      </w:r>
    </w:p>
    <w:p w14:paraId="2356390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44.</w:t>
      </w:r>
      <w:r w:rsidRPr="004823ED">
        <w:rPr>
          <w:szCs w:val="24"/>
        </w:rPr>
        <w:tab/>
        <w:t xml:space="preserve">konstatuje, že rozdíly v daňovém nakládání s kapitálovými příjmy mohou vytvářet složitost a právní nejistotu pro přeshraniční investory; zdůrazňuje, že M. </w:t>
      </w:r>
      <w:proofErr w:type="spellStart"/>
      <w:r w:rsidRPr="004823ED">
        <w:rPr>
          <w:szCs w:val="24"/>
        </w:rPr>
        <w:t>Draghi</w:t>
      </w:r>
      <w:proofErr w:type="spellEnd"/>
      <w:r w:rsidRPr="004823ED">
        <w:rPr>
          <w:szCs w:val="24"/>
        </w:rPr>
        <w:t xml:space="preserve"> ve své obsáhlé zprávě rovněž poukazuje na to, že je třeba „odstranit veškeré daňové překážky pro přeshraniční investice v EU“, aby se snížila roztříštěnost kapitálového trhu; vyzdvihuje význam vyváženější daňové skladby pro ekonomickou odolnost a vyzývá Komisi a členské státy, aby posoudily přínosy další koordinace a zjednodušení v této oblasti, s cílem podpořit přeshraniční investice;</w:t>
      </w:r>
    </w:p>
    <w:p w14:paraId="3DD6339B" w14:textId="77777777" w:rsidR="004836D7" w:rsidRPr="004823ED" w:rsidRDefault="004836D7" w:rsidP="004823ED">
      <w:pPr>
        <w:pStyle w:val="Normal12a24b"/>
        <w:spacing w:before="0"/>
        <w:rPr>
          <w:szCs w:val="24"/>
        </w:rPr>
      </w:pPr>
      <w:r w:rsidRPr="004823ED">
        <w:rPr>
          <w:rStyle w:val="BoldItalic"/>
          <w:szCs w:val="24"/>
        </w:rPr>
        <w:t>Boj proti daňovým únikům, vyhýbání se daňovým povinnostem a agresivnímu daňovému plánování</w:t>
      </w:r>
    </w:p>
    <w:p w14:paraId="5D86A363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45.</w:t>
      </w:r>
      <w:r w:rsidRPr="004823ED">
        <w:rPr>
          <w:szCs w:val="24"/>
        </w:rPr>
        <w:tab/>
        <w:t>připomíná, že při provádění pravidel druhého pilíře je důležité sledovat nové formy škodlivé daňové soutěže, které se mohou objevit;</w:t>
      </w:r>
    </w:p>
    <w:p w14:paraId="11370441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46.</w:t>
      </w:r>
      <w:r w:rsidRPr="004823ED">
        <w:rPr>
          <w:szCs w:val="24"/>
        </w:rPr>
        <w:tab/>
        <w:t>zavazuje se k boji proti agresivnímu daňovému plánování ze strany podniků i jednotlivců v zájmu spravedlivého evropského hospodářství, a to s přihlédnutím ke specifické situaci a zájmům malých a středních podniků a domácností s nižšími a středními příjmy; je si vědom významných dopadů agresivního daňového plánování na příjmy v tom smyslu, že narušuje rovné podmínky pro hospodářské subjekty, ohrožuje daňovou morálku a oslabuje daňovou základnu členských států; naléhavě vyzývá Komisi a členské státy, aby zlepšily spolupráci mezi členskými státy při řešení agresivního daňového plánování, zejména prostřednictvím rozsáhlejší výměny informací, koordinovaných auditů a lepšího vymáhání předpisů; připomíná svá usnesení o provádění požadavků EU na výměnu daňových informací</w:t>
      </w:r>
      <w:r w:rsidRPr="004823ED">
        <w:rPr>
          <w:rStyle w:val="FootnoteReference"/>
          <w:szCs w:val="24"/>
        </w:rPr>
        <w:footnoteReference w:id="35"/>
      </w:r>
      <w:r w:rsidRPr="004823ED">
        <w:rPr>
          <w:szCs w:val="24"/>
        </w:rPr>
        <w:t>, o reformě unijního seznamu daňových rájů</w:t>
      </w:r>
      <w:r w:rsidRPr="004823ED">
        <w:rPr>
          <w:rStyle w:val="FootnoteReference"/>
          <w:szCs w:val="24"/>
        </w:rPr>
        <w:footnoteReference w:id="36"/>
      </w:r>
      <w:r w:rsidRPr="004823ED">
        <w:rPr>
          <w:szCs w:val="24"/>
        </w:rPr>
        <w:t xml:space="preserve"> a o reformě politiky EU týkající se škodlivých daňových praktik; zdůrazňuje, že nárůst složitosti daňových režimů může vytvářet zvrácené pobídky k agresivnímu daňovému plánování a daňovým únikům, které mohou být neprůhledné; vyzývá členské státy a Komisi, aby v boji proti daňovým podvodům a agresivnímu daňovému plánování uplatňovaly odpovídající přístup založený na riziku;</w:t>
      </w:r>
    </w:p>
    <w:p w14:paraId="06AAEBB0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lastRenderedPageBreak/>
        <w:t>47.</w:t>
      </w:r>
      <w:r w:rsidRPr="004823ED">
        <w:rPr>
          <w:szCs w:val="24"/>
        </w:rPr>
        <w:tab/>
        <w:t>zdůrazňuje význam stávajících mechanismů obsažených ve směrnici o správní spolupráci v oblasti daní</w:t>
      </w:r>
      <w:r w:rsidRPr="004823ED">
        <w:rPr>
          <w:rStyle w:val="FootnoteReference"/>
          <w:szCs w:val="24"/>
        </w:rPr>
        <w:footnoteReference w:id="37"/>
      </w:r>
      <w:r w:rsidRPr="004823ED">
        <w:rPr>
          <w:szCs w:val="24"/>
        </w:rPr>
        <w:t xml:space="preserve"> (DAC), směrnici proti vyhýbání se daňovým povinnostem</w:t>
      </w:r>
      <w:r w:rsidRPr="004823ED">
        <w:rPr>
          <w:rStyle w:val="FootnoteReference"/>
          <w:szCs w:val="24"/>
        </w:rPr>
        <w:footnoteReference w:id="38"/>
      </w:r>
      <w:r w:rsidRPr="004823ED">
        <w:rPr>
          <w:szCs w:val="24"/>
        </w:rPr>
        <w:t xml:space="preserve"> (ATAD) a mnohostranné dohodě příslušných orgánů (MCAA), které výrazně zlepšily transparentnost a přeshraniční spolupráci mezi daňovými orgány a umožnily účinněji reagovat na praktiky agresivního daňového plánování; zdůrazňuje rostoucí administrativní zátěž a náklady na dodržování předpisů pro daňové správy a daňové poplatníky plynoucí ze směrnic DAC a ATAD a vítá jejich přezkum a zjednodušení při zachování stávajících standardů;</w:t>
      </w:r>
    </w:p>
    <w:p w14:paraId="662069A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48.</w:t>
      </w:r>
      <w:r w:rsidRPr="004823ED">
        <w:rPr>
          <w:szCs w:val="24"/>
        </w:rPr>
        <w:tab/>
        <w:t>zdůrazňuje, že je třeba řešit nesrovnalosti mezi směrnicí ATAD a přístupem druhého pilíře OECD s cílem zajistit soudržnost a právní jistotu v celé EU, mimo jiné zvážit zjednodušení možností a výjimek poskytnutých členským státům; bere na vědomí oznámení Komise, že vyhodnotí směrnici ATAD s ohledem na druhý pilíř a ve třetím čtvrtletí 2025 předloží komplexní zprávu o přijatých opatřeních v souladu s dohodou o druhém pilíři; vyzývá Komisi, aby členským státům poskytla pokyny k výkladu obecného pravidla proti zneužívání daňového systému stanoveného ve směrnici ATAD, a žádá revizi této směrnice s cílem zjednodušit její provádění a zvýšit její účinnost;</w:t>
      </w:r>
    </w:p>
    <w:p w14:paraId="0481CD51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49.</w:t>
      </w:r>
      <w:r w:rsidRPr="004823ED">
        <w:rPr>
          <w:szCs w:val="24"/>
        </w:rPr>
        <w:tab/>
        <w:t>bere na vědomí úlohu směrnice DAC při omezování daňových úniků, vyhýbání se daňovým povinnostem a agresivního daňového plánování a při zvyšování transparentnosti a zároveň zdůrazňuje její složitost a administrativní zátěž, zejména pokud jde o směrnici DAC 6</w:t>
      </w:r>
      <w:r w:rsidRPr="004823ED">
        <w:rPr>
          <w:rStyle w:val="FootnoteReference"/>
          <w:szCs w:val="24"/>
        </w:rPr>
        <w:footnoteReference w:id="39"/>
      </w:r>
      <w:r w:rsidRPr="004823ED">
        <w:rPr>
          <w:szCs w:val="24"/>
        </w:rPr>
        <w:t>; zdůrazňuje, že směrnici DAC 6 je třeba zrevidovat, a vyzývá Komisi, aby provedla posouzení nákladů na dodržování předpisů podle této směrnice a aby vypracovala podrobnější pokyny, zlepšila analýzu rizik a využila technologie pro lepší sběr údajů, s cílem zajistit účinnost prosazování daňové transparentnosti a zabránit nepřiměřeným nákladům a administrativní zátěži; konstatuje, že toto nové posouzení by mělo zvážit ochranu malých a středních podniků před zbytečnými oznamovacími povinnostmi a poskytnout větší jasnost, pokud jde o referenční hodnoty pro přeshraniční uspořádání, která se mají oznamovat; navrhuje, aby byl zvážen případný přezkum směrnice DAC 7</w:t>
      </w:r>
      <w:r w:rsidRPr="004823ED">
        <w:rPr>
          <w:rStyle w:val="FootnoteReference"/>
          <w:szCs w:val="24"/>
        </w:rPr>
        <w:footnoteReference w:id="40"/>
      </w:r>
      <w:r w:rsidRPr="004823ED">
        <w:rPr>
          <w:szCs w:val="24"/>
        </w:rPr>
        <w:t xml:space="preserve"> s cílem zjistit, zda lze díky zavedení vykazování v reálném čase v rámci balíčku </w:t>
      </w:r>
      <w:proofErr w:type="spellStart"/>
      <w:r w:rsidRPr="004823ED">
        <w:rPr>
          <w:szCs w:val="24"/>
        </w:rPr>
        <w:t>ViDA</w:t>
      </w:r>
      <w:proofErr w:type="spellEnd"/>
      <w:r w:rsidRPr="004823ED">
        <w:rPr>
          <w:szCs w:val="24"/>
        </w:rPr>
        <w:t xml:space="preserve"> výměnu informací omezit;</w:t>
      </w:r>
    </w:p>
    <w:p w14:paraId="02AE3EE6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50.</w:t>
      </w:r>
      <w:r w:rsidRPr="004823ED">
        <w:rPr>
          <w:szCs w:val="24"/>
        </w:rPr>
        <w:tab/>
        <w:t xml:space="preserve">upozorňuje zejména na potřebu využít proces přezkumu k řešení stávajících překrývajících se pravidel a k zefektivnění a zjednodušení uplatňování společných pravidel a konceptů; poukazuje na to, že pro zjednodušení dodržování předpisů má </w:t>
      </w:r>
      <w:r w:rsidRPr="004823ED">
        <w:rPr>
          <w:szCs w:val="24"/>
        </w:rPr>
        <w:lastRenderedPageBreak/>
        <w:t>zásadní význam standardizace pojmů a konceptů, neboť různé vnitrostátní výklady mohou vést k roztříštěnosti a ke složitosti;</w:t>
      </w:r>
    </w:p>
    <w:p w14:paraId="71AF9FF2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51.</w:t>
      </w:r>
      <w:r w:rsidRPr="004823ED">
        <w:rPr>
          <w:szCs w:val="24"/>
        </w:rPr>
        <w:tab/>
        <w:t xml:space="preserve">vyzývá k prohloubení spolupráce mezi Úřadem evropského veřejného žalobce a sítí </w:t>
      </w:r>
      <w:proofErr w:type="spellStart"/>
      <w:r w:rsidRPr="004823ED">
        <w:rPr>
          <w:szCs w:val="24"/>
        </w:rPr>
        <w:t>Eurofisc</w:t>
      </w:r>
      <w:proofErr w:type="spellEnd"/>
      <w:r w:rsidRPr="004823ED">
        <w:rPr>
          <w:szCs w:val="24"/>
        </w:rPr>
        <w:t xml:space="preserve"> s cílem zlepšit sdílení zpravodajských informací, koordinovaným způsobem vymáhat dodržování předpisů a vést přeshraniční vyšetřování v boji proti podvodům v oblasti DPH a dalším formám daňových úniků a vyhýbání se daňovým povinnostem; zdůrazňuje, že je třeba zefektivnit spolupráci mezi těmito orgány, aby byla s využitím jejich příslušných mandátů a odborných znalostí zajištěna účinnější a jednotnější reakce EU na přeshraniční daňové podvody; vyzývá Komisi a členské státy, aby tuto spolupráci usnadnily zlepšením mechanismů výměny údajů, zajištěním odpovídajících zdrojů a podporou společného vyšetřování; zdůrazňuje, že pro usnadnění přeshraniční hospodářské činnosti je nezbytná další daňová koordinace mezi členskými státy v boji proti daňovým únikům a vyhýbání se daňovým povinnostem; konstatuje, že EU musí zajistit, aby všechny dovážené výrobky byly řádně zatíženy odpovídajícími cly;</w:t>
      </w:r>
    </w:p>
    <w:p w14:paraId="7997EF10" w14:textId="77777777" w:rsidR="004836D7" w:rsidRPr="004823ED" w:rsidRDefault="004836D7" w:rsidP="004823ED">
      <w:pPr>
        <w:pStyle w:val="Normal12a24b"/>
        <w:spacing w:before="0"/>
        <w:rPr>
          <w:szCs w:val="24"/>
        </w:rPr>
      </w:pPr>
      <w:r w:rsidRPr="004823ED">
        <w:rPr>
          <w:rStyle w:val="BoldItalic"/>
          <w:szCs w:val="24"/>
        </w:rPr>
        <w:t>Přeshraniční zdanění a mobilita pracovních sil</w:t>
      </w:r>
    </w:p>
    <w:p w14:paraId="54BB3C29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52.</w:t>
      </w:r>
      <w:r w:rsidRPr="004823ED">
        <w:rPr>
          <w:szCs w:val="24"/>
        </w:rPr>
        <w:tab/>
        <w:t>vyzývá Komisi, aby předložila studii a v případě potřeby i soubor opatření ke zjednodušení daňových pravidel a k řešení daňové roztříštěnosti pro přeshraniční pracovníky a osoby samostatně výdělečně činné, s cílem posílit konkurenceschopnost prohloubením vnitřního trhu a chránit daňové příjmy vytvořením rovných podmínek; konstatuje, že rozdílné vnitrostátní daňové systémy zapříčiňují značné překážky, administrativní zátěž, právní nejistotu a dvojí zdanění, což brání mobilitě pracovních sil a přeshraničnímu podnikání;</w:t>
      </w:r>
    </w:p>
    <w:p w14:paraId="2DFFDAC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53.</w:t>
      </w:r>
      <w:r w:rsidRPr="004823ED">
        <w:rPr>
          <w:szCs w:val="24"/>
        </w:rPr>
        <w:tab/>
        <w:t>konstatuje, že přeshraniční mobilita jednotlivců roste nebývalým tempem a že takto vysoká míra globální mobility má značný dopad na daňové systémy; zdůrazňuje, že tuto mobilitu a její dopad na daňové systémy je nutné systematicky zohledňovat při tvorbě politik, přičemž nesmí být oslabována mobilita a pracovní příležitosti v EU; v této souvislosti konstatuje, že členské státy využívají k podpoře pracovní mobility a přeshraničního podnikání daňové pobídky; zdůrazňuje však, že členské státy musí rovněž zabránit škodlivým daňovým praktikám, jimiž lákají jednotlivé daňové poplatníky, a narušování hospodářské soutěže tím, že budou mít jasná omezení a záruky;</w:t>
      </w:r>
    </w:p>
    <w:p w14:paraId="4B78844B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54.</w:t>
      </w:r>
      <w:r w:rsidRPr="004823ED">
        <w:rPr>
          <w:szCs w:val="24"/>
        </w:rPr>
        <w:tab/>
        <w:t>bere na vědomí rostoucí přeshraniční mobilitu vysoce kvalifikovaných pracovníků a dalších osob, která je v některých členských státech motivována volným pohybem a preferenčními daňovými režimy; zdůrazňuje, že je důležité zajistit, aby daňová politika na vnitřním trhu zůstala spravedlivá, transparentní a slučitelná s udržitelností veřejných financí v celé EU; znovu vyzývá Radu, aby revidovala mandát Skupiny pro kodex chování zdanění podniků;</w:t>
      </w:r>
    </w:p>
    <w:p w14:paraId="69780B1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55.</w:t>
      </w:r>
      <w:r w:rsidRPr="004823ED">
        <w:rPr>
          <w:szCs w:val="24"/>
        </w:rPr>
        <w:tab/>
        <w:t>připomíná, že pokud přeshraniční pracovníci vykonávají činnosti, jako jsou služební cesty nebo práce na dálku, vyplývají z možnosti vzniku zdanitelné přítomnosti nebo stálé provozovny důsledky z hlediska daně z příjmů; konstatuje, že pravidlo bezpečného přístavu pro práci na dálku koordinované mezi členskými státy by mohlo zaměstnavatelům poskytnout daňovou jistotu a snížit administrativní zátěž, čímž by se zjednodušilo zdanění fyzických osob;</w:t>
      </w:r>
    </w:p>
    <w:p w14:paraId="3D4E1CAA" w14:textId="77777777" w:rsidR="004836D7" w:rsidRPr="004823ED" w:rsidRDefault="004836D7" w:rsidP="004823ED">
      <w:pPr>
        <w:pStyle w:val="Normal12a24b"/>
        <w:spacing w:before="0"/>
        <w:rPr>
          <w:szCs w:val="24"/>
        </w:rPr>
      </w:pPr>
      <w:r w:rsidRPr="004823ED">
        <w:rPr>
          <w:rStyle w:val="BoldItalic"/>
          <w:szCs w:val="24"/>
        </w:rPr>
        <w:t>Zdanění a inovace</w:t>
      </w:r>
    </w:p>
    <w:p w14:paraId="78AE7F25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lastRenderedPageBreak/>
        <w:t>56.</w:t>
      </w:r>
      <w:r w:rsidRPr="004823ED">
        <w:rPr>
          <w:szCs w:val="24"/>
        </w:rPr>
        <w:tab/>
        <w:t xml:space="preserve">zdůrazňuje, že inovace jsou motorem hospodářského růstu, globální konkurenceschopnosti a blahobytu a že podle OECD jsou široce používaným a ekonomicky významným politickým nástrojem na podporu inovací daňové pobídky; zastává názor, že vlády by měly zajistit, aby systémy daňových pobídek v oblasti výzkumu a vývoje poskytovaly optimální využití prostředků, a to prostřednictvím pravidelného hodnocení a přijímání cílených pobídek, které budou stimulovat investice a růst a posílí konkurenceschopnost EU ve světě v souladu s návrhy uvedenými 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zprávě;</w:t>
      </w:r>
    </w:p>
    <w:p w14:paraId="5950A307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57.</w:t>
      </w:r>
      <w:r w:rsidRPr="004823ED">
        <w:rPr>
          <w:szCs w:val="24"/>
        </w:rPr>
        <w:tab/>
        <w:t>vyzývá Komisi, aby v souladu s návrhy uvedenými v </w:t>
      </w:r>
      <w:proofErr w:type="spellStart"/>
      <w:r w:rsidRPr="004823ED">
        <w:rPr>
          <w:szCs w:val="24"/>
        </w:rPr>
        <w:t>Draghiho</w:t>
      </w:r>
      <w:proofErr w:type="spellEnd"/>
      <w:r w:rsidRPr="004823ED">
        <w:rPr>
          <w:szCs w:val="24"/>
        </w:rPr>
        <w:t xml:space="preserve"> zprávě vypracovala další studie o nákladové efektivitě různých druhů daňových pobídek pro výzkum a vývoj a inovace při zvyšování konkurenceschopnosti EU ve světě a aby zajistila, že tyto pobídky budou vhodně koncipovány, aby dosáhly stanovených cílů jednotlivých oblastí politiky, aniž by oslabovaly daňové příjmy a aniž by zvyšovaly riziko vyhýbání se daňovým povinnostem; vyzývá Komisi, aby v koordinaci s členskými státy a na základě společných kritérií prozkoumala různá řešení a mechanismy na podporu výzkumu a vývoje začínajících podniků, včetně mimo jiné převoditelných daňových zápočtů, s cílem zlepšit dostupnost a účinnost těchto opatření; vyzývá Komisi, aby dále posoudila přeshraniční účinky těchto pobídek v jiných členských státech, včetně rizik vyhýbání se daňovým povinnostem; zdůrazňuje, že je nutné zajistit širší dostupnost daňových pobídek, mimo jiné daňových úlev, zápočtů, zrychlených odpisů a mimořádných odpočtů; v této souvislosti vyzývá Komisi, aby vydala doporučení a řádně začlenila daňové pobídky, zvláště v oblasti výzkumu a vývoje, kdykoli je to relevantní, aniž by se vyostřily ekonomické rozdíly v EU; zdůrazňuje, že by bylo rozumné sladit pobídky pro inovace a výzkum a vývoj s cílenými pobídkami pro investice; vyzývá k prohlubování spolupráce a důvěry mezi členskými státy a k podpoře rovných podmínek pro elektronický obchod, digitální služby a další rychle rostoucí odvětví;</w:t>
      </w:r>
    </w:p>
    <w:p w14:paraId="058B35AA" w14:textId="77777777" w:rsidR="004836D7" w:rsidRPr="004823ED" w:rsidRDefault="004836D7" w:rsidP="004823ED">
      <w:pPr>
        <w:pStyle w:val="NormalHanging12a"/>
        <w:rPr>
          <w:szCs w:val="24"/>
        </w:rPr>
      </w:pPr>
      <w:r w:rsidRPr="004823ED">
        <w:rPr>
          <w:szCs w:val="24"/>
        </w:rPr>
        <w:t>58.</w:t>
      </w:r>
      <w:r w:rsidRPr="004823ED">
        <w:rPr>
          <w:szCs w:val="24"/>
        </w:rPr>
        <w:tab/>
        <w:t>zdůrazňuje, že je důležité zajistit, aby daňové pobídky byly i nadále v plném souladu se stávajícím rámcem EU pro státní podporu; zdůrazňuje, že rámec EU pro státní podporu je důležitý pro zachování spravedlivé hospodářské soutěže na vnitřním trhu a zajištění právní jistoty a rovných podmínek pro všechny členské státy;</w:t>
      </w:r>
    </w:p>
    <w:p w14:paraId="621FBB72" w14:textId="77777777" w:rsidR="004823ED" w:rsidRPr="004823ED" w:rsidRDefault="004823ED" w:rsidP="004823ED">
      <w:pPr>
        <w:pStyle w:val="NormalHanging12a"/>
        <w:ind w:left="0" w:firstLine="0"/>
        <w:jc w:val="center"/>
        <w:rPr>
          <w:szCs w:val="24"/>
        </w:rPr>
      </w:pPr>
      <w:r w:rsidRPr="004823ED">
        <w:rPr>
          <w:szCs w:val="24"/>
        </w:rPr>
        <w:t>°</w:t>
      </w:r>
    </w:p>
    <w:p w14:paraId="5BC39A11" w14:textId="77777777" w:rsidR="004823ED" w:rsidRPr="004823ED" w:rsidRDefault="004823ED" w:rsidP="004823ED">
      <w:pPr>
        <w:pStyle w:val="NormalHanging12a"/>
        <w:ind w:left="0" w:firstLine="0"/>
        <w:jc w:val="center"/>
        <w:rPr>
          <w:szCs w:val="24"/>
        </w:rPr>
      </w:pPr>
      <w:r w:rsidRPr="004823ED">
        <w:rPr>
          <w:szCs w:val="24"/>
        </w:rPr>
        <w:t>°     °</w:t>
      </w:r>
    </w:p>
    <w:p w14:paraId="1D34E037" w14:textId="08E37120" w:rsidR="00CC78DA" w:rsidRPr="004823ED" w:rsidRDefault="004836D7" w:rsidP="004823ED">
      <w:pPr>
        <w:pStyle w:val="NormalHanging12a"/>
      </w:pPr>
      <w:r w:rsidRPr="004823ED">
        <w:rPr>
          <w:szCs w:val="24"/>
        </w:rPr>
        <w:t>59.</w:t>
      </w:r>
      <w:r w:rsidRPr="004823ED">
        <w:rPr>
          <w:szCs w:val="24"/>
        </w:rPr>
        <w:tab/>
        <w:t>pověřuje svou</w:t>
      </w:r>
      <w:r w:rsidRPr="004823ED">
        <w:t xml:space="preserve"> předsedkyni, aby předala toto usnesení Radě a Komisi.</w:t>
      </w:r>
    </w:p>
    <w:p w14:paraId="7B87F936" w14:textId="5058B425" w:rsidR="00E365E1" w:rsidRPr="004823ED" w:rsidRDefault="00E365E1" w:rsidP="004E4AD7"/>
    <w:sectPr w:rsidR="00E365E1" w:rsidRPr="004823ED" w:rsidSect="00CC78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E217E" w14:textId="77777777" w:rsidR="004E4AD7" w:rsidRPr="00CC78DA" w:rsidRDefault="004E4AD7">
      <w:r w:rsidRPr="00CC78DA">
        <w:separator/>
      </w:r>
    </w:p>
  </w:endnote>
  <w:endnote w:type="continuationSeparator" w:id="0">
    <w:p w14:paraId="62E84BB8" w14:textId="77777777" w:rsidR="004E4AD7" w:rsidRPr="00CC78DA" w:rsidRDefault="004E4AD7">
      <w:r w:rsidRPr="00CC78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DF54B" w14:textId="77777777" w:rsidR="00064002" w:rsidRPr="00CC78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E214E" w14:textId="77777777" w:rsidR="00064002" w:rsidRPr="00CC78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AE3CB" w14:textId="77777777" w:rsidR="00064002" w:rsidRPr="00CC78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5A2A5" w14:textId="77777777" w:rsidR="004E4AD7" w:rsidRPr="00CC78DA" w:rsidRDefault="004E4AD7">
      <w:r w:rsidRPr="00CC78DA">
        <w:separator/>
      </w:r>
    </w:p>
  </w:footnote>
  <w:footnote w:type="continuationSeparator" w:id="0">
    <w:p w14:paraId="1A93975D" w14:textId="77777777" w:rsidR="004E4AD7" w:rsidRPr="00CC78DA" w:rsidRDefault="004E4AD7">
      <w:r w:rsidRPr="00CC78DA">
        <w:continuationSeparator/>
      </w:r>
    </w:p>
  </w:footnote>
  <w:footnote w:id="1">
    <w:p w14:paraId="35F7C58E" w14:textId="476A97DC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157, 26.6.2003, s. 49, ELI: </w:t>
      </w:r>
      <w:hyperlink r:id="rId1" w:history="1">
        <w:r w:rsidRPr="00CC78DA">
          <w:rPr>
            <w:rStyle w:val="Hyperlink"/>
            <w:sz w:val="24"/>
            <w:lang w:val="cs-CZ"/>
          </w:rPr>
          <w:t>http://data.europa.eu/eli/dir/2003/49/oj</w:t>
        </w:r>
      </w:hyperlink>
      <w:r w:rsidRPr="00CC78DA">
        <w:rPr>
          <w:sz w:val="24"/>
          <w:lang w:val="cs-CZ"/>
        </w:rPr>
        <w:t>.</w:t>
      </w:r>
    </w:p>
  </w:footnote>
  <w:footnote w:id="2">
    <w:p w14:paraId="7D62A78F" w14:textId="3542A38A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345, 29.12.2011, s. 8, ELI: </w:t>
      </w:r>
      <w:hyperlink r:id="rId2" w:history="1">
        <w:r w:rsidRPr="00CC78DA">
          <w:rPr>
            <w:rStyle w:val="Hyperlink"/>
            <w:sz w:val="24"/>
            <w:lang w:val="cs-CZ"/>
          </w:rPr>
          <w:t>http://data.europa.eu/eli/dir/2011/96/oj</w:t>
        </w:r>
      </w:hyperlink>
      <w:r w:rsidRPr="00CC78DA">
        <w:rPr>
          <w:sz w:val="24"/>
          <w:lang w:val="cs-CZ"/>
        </w:rPr>
        <w:t>.</w:t>
      </w:r>
    </w:p>
  </w:footnote>
  <w:footnote w:id="3">
    <w:p w14:paraId="4CC30405" w14:textId="0E4D2813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328, 22.12.2022, s. 1, ELI: </w:t>
      </w:r>
      <w:hyperlink r:id="rId3" w:history="1">
        <w:r w:rsidRPr="00CC78DA">
          <w:rPr>
            <w:rStyle w:val="Hyperlink"/>
            <w:sz w:val="24"/>
            <w:lang w:val="cs-CZ"/>
          </w:rPr>
          <w:t>http://data.europa.eu/eli/dir/2022/2523/oj</w:t>
        </w:r>
      </w:hyperlink>
      <w:r w:rsidRPr="00CC78DA">
        <w:rPr>
          <w:sz w:val="24"/>
          <w:lang w:val="cs-CZ"/>
        </w:rPr>
        <w:t>.</w:t>
      </w:r>
    </w:p>
  </w:footnote>
  <w:footnote w:id="4">
    <w:p w14:paraId="707E2362" w14:textId="4AA51C61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479, 16.12.2022, s. 89.</w:t>
      </w:r>
    </w:p>
  </w:footnote>
  <w:footnote w:id="5">
    <w:p w14:paraId="32205233" w14:textId="6BC70FA2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Commission</w:t>
      </w:r>
      <w:proofErr w:type="spellEnd"/>
      <w:r w:rsidRPr="00CC78DA">
        <w:rPr>
          <w:sz w:val="24"/>
          <w:lang w:val="cs-CZ"/>
        </w:rPr>
        <w:t xml:space="preserve">: </w:t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Innovation </w:t>
      </w:r>
      <w:proofErr w:type="spellStart"/>
      <w:r w:rsidRPr="00CC78DA">
        <w:rPr>
          <w:sz w:val="24"/>
          <w:lang w:val="cs-CZ"/>
        </w:rPr>
        <w:t>Council</w:t>
      </w:r>
      <w:proofErr w:type="spellEnd"/>
      <w:r w:rsidRPr="00CC78DA">
        <w:rPr>
          <w:sz w:val="24"/>
          <w:lang w:val="cs-CZ"/>
        </w:rPr>
        <w:t xml:space="preserve"> and </w:t>
      </w:r>
      <w:proofErr w:type="spellStart"/>
      <w:r w:rsidRPr="00CC78DA">
        <w:rPr>
          <w:sz w:val="24"/>
          <w:lang w:val="cs-CZ"/>
        </w:rPr>
        <w:t>SMEs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Executive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Agency</w:t>
      </w:r>
      <w:proofErr w:type="spellEnd"/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Directorate</w:t>
      </w:r>
      <w:proofErr w:type="spellEnd"/>
      <w:r w:rsidRPr="00CC78DA">
        <w:rPr>
          <w:sz w:val="24"/>
          <w:lang w:val="cs-CZ"/>
        </w:rPr>
        <w:t xml:space="preserve">-General </w:t>
      </w:r>
      <w:proofErr w:type="spellStart"/>
      <w:r w:rsidRPr="00CC78DA">
        <w:rPr>
          <w:sz w:val="24"/>
          <w:lang w:val="cs-CZ"/>
        </w:rPr>
        <w:t>for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Internal</w:t>
      </w:r>
      <w:proofErr w:type="spellEnd"/>
      <w:r w:rsidRPr="00CC78DA">
        <w:rPr>
          <w:sz w:val="24"/>
          <w:lang w:val="cs-CZ"/>
        </w:rPr>
        <w:t xml:space="preserve"> Market, </w:t>
      </w:r>
      <w:proofErr w:type="spellStart"/>
      <w:r w:rsidRPr="00CC78DA">
        <w:rPr>
          <w:sz w:val="24"/>
          <w:lang w:val="cs-CZ"/>
        </w:rPr>
        <w:t>Industry</w:t>
      </w:r>
      <w:proofErr w:type="spellEnd"/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Entrepreneurship</w:t>
      </w:r>
      <w:proofErr w:type="spellEnd"/>
      <w:r w:rsidRPr="00CC78DA">
        <w:rPr>
          <w:sz w:val="24"/>
          <w:lang w:val="cs-CZ"/>
        </w:rPr>
        <w:t xml:space="preserve"> and </w:t>
      </w:r>
      <w:proofErr w:type="spellStart"/>
      <w:r w:rsidRPr="00CC78DA">
        <w:rPr>
          <w:sz w:val="24"/>
          <w:lang w:val="cs-CZ"/>
        </w:rPr>
        <w:t>SMEs</w:t>
      </w:r>
      <w:proofErr w:type="spellEnd"/>
      <w:r w:rsidRPr="00CC78DA">
        <w:rPr>
          <w:sz w:val="24"/>
          <w:lang w:val="cs-CZ"/>
        </w:rPr>
        <w:t xml:space="preserve">, KPMG, VVA, Di </w:t>
      </w:r>
      <w:proofErr w:type="spellStart"/>
      <w:r w:rsidRPr="00CC78DA">
        <w:rPr>
          <w:sz w:val="24"/>
          <w:lang w:val="cs-CZ"/>
        </w:rPr>
        <w:t>Legge</w:t>
      </w:r>
      <w:proofErr w:type="spellEnd"/>
      <w:r w:rsidRPr="00CC78DA">
        <w:rPr>
          <w:sz w:val="24"/>
          <w:lang w:val="cs-CZ"/>
        </w:rPr>
        <w:t xml:space="preserve">, A. et al., </w:t>
      </w:r>
      <w:r w:rsidRPr="00CC78DA">
        <w:rPr>
          <w:i/>
          <w:sz w:val="24"/>
          <w:lang w:val="cs-CZ"/>
        </w:rPr>
        <w:t xml:space="preserve">Tax </w:t>
      </w:r>
      <w:proofErr w:type="spellStart"/>
      <w:r w:rsidRPr="00CC78DA">
        <w:rPr>
          <w:i/>
          <w:sz w:val="24"/>
          <w:lang w:val="cs-CZ"/>
        </w:rPr>
        <w:t>compliance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costs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for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SMEs</w:t>
      </w:r>
      <w:proofErr w:type="spellEnd"/>
      <w:r w:rsidRPr="00CC78DA">
        <w:rPr>
          <w:i/>
          <w:sz w:val="24"/>
          <w:lang w:val="cs-CZ"/>
        </w:rPr>
        <w:t xml:space="preserve"> – An update and a </w:t>
      </w:r>
      <w:proofErr w:type="spellStart"/>
      <w:r w:rsidRPr="00CC78DA">
        <w:rPr>
          <w:i/>
          <w:sz w:val="24"/>
          <w:lang w:val="cs-CZ"/>
        </w:rPr>
        <w:t>complement</w:t>
      </w:r>
      <w:proofErr w:type="spellEnd"/>
      <w:r w:rsidRPr="00CC78DA">
        <w:rPr>
          <w:i/>
          <w:sz w:val="24"/>
          <w:lang w:val="cs-CZ"/>
        </w:rPr>
        <w:t xml:space="preserve"> – </w:t>
      </w:r>
      <w:proofErr w:type="spellStart"/>
      <w:r w:rsidRPr="00CC78DA">
        <w:rPr>
          <w:i/>
          <w:sz w:val="24"/>
          <w:lang w:val="cs-CZ"/>
        </w:rPr>
        <w:t>Final</w:t>
      </w:r>
      <w:proofErr w:type="spellEnd"/>
      <w:r w:rsidRPr="00CC78DA">
        <w:rPr>
          <w:i/>
          <w:sz w:val="24"/>
          <w:lang w:val="cs-CZ"/>
        </w:rPr>
        <w:t xml:space="preserve"> report</w:t>
      </w:r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Publications</w:t>
      </w:r>
      <w:proofErr w:type="spellEnd"/>
      <w:r w:rsidRPr="00CC78DA">
        <w:rPr>
          <w:sz w:val="24"/>
          <w:lang w:val="cs-CZ"/>
        </w:rPr>
        <w:t xml:space="preserve"> Office </w:t>
      </w:r>
      <w:proofErr w:type="spellStart"/>
      <w:r w:rsidRPr="00CC78DA">
        <w:rPr>
          <w:sz w:val="24"/>
          <w:lang w:val="cs-CZ"/>
        </w:rPr>
        <w:t>of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the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Union, 2022, </w:t>
      </w:r>
      <w:hyperlink r:id="rId4" w:history="1">
        <w:r w:rsidRPr="00CC78DA">
          <w:rPr>
            <w:rStyle w:val="Hyperlink"/>
            <w:sz w:val="24"/>
            <w:lang w:val="cs-CZ"/>
          </w:rPr>
          <w:t>https://data.europa.eu/</w:t>
        </w:r>
        <w:proofErr w:type="spellStart"/>
        <w:r w:rsidRPr="00CC78DA">
          <w:rPr>
            <w:rStyle w:val="Hyperlink"/>
            <w:sz w:val="24"/>
            <w:lang w:val="cs-CZ"/>
          </w:rPr>
          <w:t>doi</w:t>
        </w:r>
        <w:proofErr w:type="spellEnd"/>
        <w:r w:rsidRPr="00CC78DA">
          <w:rPr>
            <w:rStyle w:val="Hyperlink"/>
            <w:sz w:val="24"/>
            <w:lang w:val="cs-CZ"/>
          </w:rPr>
          <w:t>/10.2873/180570</w:t>
        </w:r>
      </w:hyperlink>
      <w:r w:rsidRPr="00CC78DA">
        <w:rPr>
          <w:sz w:val="24"/>
          <w:lang w:val="cs-CZ"/>
        </w:rPr>
        <w:t>.</w:t>
      </w:r>
    </w:p>
  </w:footnote>
  <w:footnote w:id="6">
    <w:p w14:paraId="1CFE4213" w14:textId="4176D6FA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L, 2025/50, 10.1.2025, ELI: </w:t>
      </w:r>
      <w:hyperlink r:id="rId5" w:history="1">
        <w:r w:rsidRPr="00CC78DA">
          <w:rPr>
            <w:rStyle w:val="Hyperlink"/>
            <w:sz w:val="24"/>
            <w:lang w:val="cs-CZ"/>
          </w:rPr>
          <w:t>http://data.europa.eu/eli/dir/2025/50/oj</w:t>
        </w:r>
      </w:hyperlink>
      <w:r w:rsidRPr="00CC78DA">
        <w:rPr>
          <w:sz w:val="24"/>
          <w:lang w:val="cs-CZ"/>
        </w:rPr>
        <w:t>.</w:t>
      </w:r>
    </w:p>
  </w:footnote>
  <w:footnote w:id="7">
    <w:p w14:paraId="61399AAF" w14:textId="0721FEB4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342, 6.9.2022, s. 88.</w:t>
      </w:r>
    </w:p>
  </w:footnote>
  <w:footnote w:id="8">
    <w:p w14:paraId="79F005DC" w14:textId="3E34F69D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132, 24.3.2022, s. 167.</w:t>
      </w:r>
    </w:p>
  </w:footnote>
  <w:footnote w:id="9">
    <w:p w14:paraId="081DC468" w14:textId="10E5B9DB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342, 6.9.2022, s. 14.</w:t>
      </w:r>
    </w:p>
  </w:footnote>
  <w:footnote w:id="10">
    <w:p w14:paraId="79048A71" w14:textId="5817D1B6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347, 9.9.2022, s. 172.</w:t>
      </w:r>
    </w:p>
  </w:footnote>
  <w:footnote w:id="11">
    <w:p w14:paraId="3E4007E3" w14:textId="24D51414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132, 14.4.2023, s. 15.</w:t>
      </w:r>
    </w:p>
  </w:footnote>
  <w:footnote w:id="12">
    <w:p w14:paraId="397B6C9A" w14:textId="1D6FF864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347, 9.9.2022, s. 211.</w:t>
      </w:r>
    </w:p>
  </w:footnote>
  <w:footnote w:id="13">
    <w:p w14:paraId="4F022151" w14:textId="6B98E5D9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465, 6.12.2022, s. 109.</w:t>
      </w:r>
    </w:p>
  </w:footnote>
  <w:footnote w:id="14">
    <w:p w14:paraId="1FC5044F" w14:textId="63B6A7A5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C, C/2024/492, 23.1.2024, ELI: </w:t>
      </w:r>
      <w:hyperlink r:id="rId6" w:history="1">
        <w:r w:rsidRPr="00CC78DA">
          <w:rPr>
            <w:rStyle w:val="Hyperlink"/>
            <w:sz w:val="24"/>
            <w:lang w:val="cs-CZ"/>
          </w:rPr>
          <w:t>http://data.europa.eu/eli/C/2024/492/oj</w:t>
        </w:r>
      </w:hyperlink>
      <w:r w:rsidRPr="00CC78DA">
        <w:rPr>
          <w:sz w:val="24"/>
          <w:lang w:val="cs-CZ"/>
        </w:rPr>
        <w:t>.</w:t>
      </w:r>
    </w:p>
  </w:footnote>
  <w:footnote w:id="15">
    <w:p w14:paraId="6443030B" w14:textId="064A6015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</w:t>
      </w:r>
      <w:r w:rsidR="00993F22">
        <w:rPr>
          <w:sz w:val="24"/>
          <w:lang w:val="cs-CZ"/>
        </w:rPr>
        <w:t>,</w:t>
      </w:r>
      <w:r w:rsidRPr="00CC78DA">
        <w:rPr>
          <w:sz w:val="24"/>
          <w:lang w:val="cs-CZ"/>
        </w:rPr>
        <w:t xml:space="preserve"> </w:t>
      </w:r>
      <w:r w:rsidR="00993F22" w:rsidRPr="00CC78DA">
        <w:rPr>
          <w:sz w:val="24"/>
          <w:lang w:val="cs-CZ"/>
        </w:rPr>
        <w:t>C/</w:t>
      </w:r>
      <w:r w:rsidRPr="00CC78DA">
        <w:rPr>
          <w:sz w:val="24"/>
          <w:lang w:val="cs-CZ"/>
        </w:rPr>
        <w:t xml:space="preserve">2024/4165, 2.8.2024, ELI: </w:t>
      </w:r>
      <w:hyperlink r:id="rId7" w:history="1">
        <w:r w:rsidRPr="00CC78DA">
          <w:rPr>
            <w:rStyle w:val="Hyperlink"/>
            <w:sz w:val="24"/>
            <w:lang w:val="cs-CZ"/>
          </w:rPr>
          <w:t>http://data.europa.eu/eli/C/2024/4165/oj</w:t>
        </w:r>
      </w:hyperlink>
      <w:r w:rsidRPr="00CC78DA">
        <w:rPr>
          <w:sz w:val="24"/>
          <w:lang w:val="cs-CZ"/>
        </w:rPr>
        <w:t>.</w:t>
      </w:r>
    </w:p>
  </w:footnote>
  <w:footnote w:id="16">
    <w:p w14:paraId="79D8AD9C" w14:textId="716B14E2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Council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of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the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Union: General Secretariat </w:t>
      </w:r>
      <w:proofErr w:type="spellStart"/>
      <w:r w:rsidRPr="00CC78DA">
        <w:rPr>
          <w:sz w:val="24"/>
          <w:lang w:val="cs-CZ"/>
        </w:rPr>
        <w:t>of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the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Council</w:t>
      </w:r>
      <w:proofErr w:type="spellEnd"/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i/>
          <w:sz w:val="24"/>
          <w:lang w:val="cs-CZ"/>
        </w:rPr>
        <w:t>Conference</w:t>
      </w:r>
      <w:proofErr w:type="spellEnd"/>
      <w:r w:rsidRPr="00CC78DA">
        <w:rPr>
          <w:i/>
          <w:sz w:val="24"/>
          <w:lang w:val="cs-CZ"/>
        </w:rPr>
        <w:t xml:space="preserve"> on </w:t>
      </w:r>
      <w:proofErr w:type="spellStart"/>
      <w:r w:rsidRPr="00CC78DA">
        <w:rPr>
          <w:i/>
          <w:sz w:val="24"/>
          <w:lang w:val="cs-CZ"/>
        </w:rPr>
        <w:t>the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Future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of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Europe</w:t>
      </w:r>
      <w:proofErr w:type="spellEnd"/>
      <w:r w:rsidRPr="00CC78DA">
        <w:rPr>
          <w:i/>
          <w:sz w:val="24"/>
          <w:lang w:val="cs-CZ"/>
        </w:rPr>
        <w:t xml:space="preserve"> – Report on </w:t>
      </w:r>
      <w:proofErr w:type="spellStart"/>
      <w:r w:rsidRPr="00CC78DA">
        <w:rPr>
          <w:i/>
          <w:sz w:val="24"/>
          <w:lang w:val="cs-CZ"/>
        </w:rPr>
        <w:t>the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final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outcome</w:t>
      </w:r>
      <w:proofErr w:type="spellEnd"/>
      <w:r w:rsidRPr="00CC78DA">
        <w:rPr>
          <w:i/>
          <w:sz w:val="24"/>
          <w:lang w:val="cs-CZ"/>
        </w:rPr>
        <w:t xml:space="preserve"> – May 2022</w:t>
      </w:r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Publications</w:t>
      </w:r>
      <w:proofErr w:type="spellEnd"/>
      <w:r w:rsidRPr="00CC78DA">
        <w:rPr>
          <w:sz w:val="24"/>
          <w:lang w:val="cs-CZ"/>
        </w:rPr>
        <w:t xml:space="preserve"> Office </w:t>
      </w:r>
      <w:proofErr w:type="spellStart"/>
      <w:r w:rsidRPr="00CC78DA">
        <w:rPr>
          <w:sz w:val="24"/>
          <w:lang w:val="cs-CZ"/>
        </w:rPr>
        <w:t>of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the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Union, 2022, </w:t>
      </w:r>
      <w:hyperlink r:id="rId8" w:history="1">
        <w:r w:rsidRPr="00CC78DA">
          <w:rPr>
            <w:rStyle w:val="Hyperlink"/>
            <w:sz w:val="24"/>
            <w:lang w:val="cs-CZ"/>
          </w:rPr>
          <w:t>https://data.europa.eu/doi/10.2860/637445</w:t>
        </w:r>
      </w:hyperlink>
      <w:r w:rsidRPr="00CC78DA">
        <w:rPr>
          <w:sz w:val="24"/>
          <w:lang w:val="cs-CZ"/>
        </w:rPr>
        <w:t>.</w:t>
      </w:r>
    </w:p>
  </w:footnote>
  <w:footnote w:id="17">
    <w:p w14:paraId="08893A1A" w14:textId="74CA9499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Letta</w:t>
      </w:r>
      <w:proofErr w:type="spellEnd"/>
      <w:r w:rsidRPr="00CC78DA">
        <w:rPr>
          <w:sz w:val="24"/>
          <w:lang w:val="cs-CZ"/>
        </w:rPr>
        <w:t xml:space="preserve">, E., </w:t>
      </w:r>
      <w:proofErr w:type="spellStart"/>
      <w:r w:rsidRPr="00CC78DA">
        <w:rPr>
          <w:sz w:val="24"/>
          <w:lang w:val="cs-CZ"/>
        </w:rPr>
        <w:t>Letta</w:t>
      </w:r>
      <w:proofErr w:type="spellEnd"/>
      <w:r w:rsidRPr="00CC78DA">
        <w:rPr>
          <w:sz w:val="24"/>
          <w:lang w:val="cs-CZ"/>
        </w:rPr>
        <w:t xml:space="preserve">, E., </w:t>
      </w:r>
      <w:r w:rsidRPr="00CC78DA">
        <w:rPr>
          <w:i/>
          <w:sz w:val="24"/>
          <w:lang w:val="cs-CZ"/>
        </w:rPr>
        <w:t xml:space="preserve">Much more </w:t>
      </w:r>
      <w:proofErr w:type="spellStart"/>
      <w:r w:rsidRPr="00CC78DA">
        <w:rPr>
          <w:i/>
          <w:sz w:val="24"/>
          <w:lang w:val="cs-CZ"/>
        </w:rPr>
        <w:t>than</w:t>
      </w:r>
      <w:proofErr w:type="spellEnd"/>
      <w:r w:rsidRPr="00CC78DA">
        <w:rPr>
          <w:i/>
          <w:sz w:val="24"/>
          <w:lang w:val="cs-CZ"/>
        </w:rPr>
        <w:t xml:space="preserve"> a market – Speed, </w:t>
      </w:r>
      <w:proofErr w:type="spellStart"/>
      <w:r w:rsidRPr="00CC78DA">
        <w:rPr>
          <w:i/>
          <w:sz w:val="24"/>
          <w:lang w:val="cs-CZ"/>
        </w:rPr>
        <w:t>Security</w:t>
      </w:r>
      <w:proofErr w:type="spellEnd"/>
      <w:r w:rsidRPr="00CC78DA">
        <w:rPr>
          <w:i/>
          <w:sz w:val="24"/>
          <w:lang w:val="cs-CZ"/>
        </w:rPr>
        <w:t xml:space="preserve">, Solidarity – </w:t>
      </w:r>
      <w:proofErr w:type="spellStart"/>
      <w:r w:rsidRPr="00CC78DA">
        <w:rPr>
          <w:i/>
          <w:sz w:val="24"/>
          <w:lang w:val="cs-CZ"/>
        </w:rPr>
        <w:t>Empowering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the</w:t>
      </w:r>
      <w:proofErr w:type="spellEnd"/>
      <w:r w:rsidRPr="00CC78DA">
        <w:rPr>
          <w:i/>
          <w:sz w:val="24"/>
          <w:lang w:val="cs-CZ"/>
        </w:rPr>
        <w:t xml:space="preserve"> Single Market to </w:t>
      </w:r>
      <w:proofErr w:type="spellStart"/>
      <w:r w:rsidRPr="00CC78DA">
        <w:rPr>
          <w:i/>
          <w:sz w:val="24"/>
          <w:lang w:val="cs-CZ"/>
        </w:rPr>
        <w:t>deliver</w:t>
      </w:r>
      <w:proofErr w:type="spellEnd"/>
      <w:r w:rsidRPr="00CC78DA">
        <w:rPr>
          <w:i/>
          <w:sz w:val="24"/>
          <w:lang w:val="cs-CZ"/>
        </w:rPr>
        <w:t xml:space="preserve"> a </w:t>
      </w:r>
      <w:proofErr w:type="spellStart"/>
      <w:r w:rsidRPr="00CC78DA">
        <w:rPr>
          <w:i/>
          <w:sz w:val="24"/>
          <w:lang w:val="cs-CZ"/>
        </w:rPr>
        <w:t>sustainable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future</w:t>
      </w:r>
      <w:proofErr w:type="spellEnd"/>
      <w:r w:rsidRPr="00CC78DA">
        <w:rPr>
          <w:i/>
          <w:sz w:val="24"/>
          <w:lang w:val="cs-CZ"/>
        </w:rPr>
        <w:t xml:space="preserve"> and prosperity </w:t>
      </w:r>
      <w:proofErr w:type="spellStart"/>
      <w:r w:rsidRPr="00CC78DA">
        <w:rPr>
          <w:i/>
          <w:sz w:val="24"/>
          <w:lang w:val="cs-CZ"/>
        </w:rPr>
        <w:t>for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all</w:t>
      </w:r>
      <w:proofErr w:type="spellEnd"/>
      <w:r w:rsidRPr="00CC78DA">
        <w:rPr>
          <w:i/>
          <w:sz w:val="24"/>
          <w:lang w:val="cs-CZ"/>
        </w:rPr>
        <w:t xml:space="preserve"> EU </w:t>
      </w:r>
      <w:proofErr w:type="spellStart"/>
      <w:r w:rsidRPr="00CC78DA">
        <w:rPr>
          <w:i/>
          <w:sz w:val="24"/>
          <w:lang w:val="cs-CZ"/>
        </w:rPr>
        <w:t>Citizens</w:t>
      </w:r>
      <w:proofErr w:type="spellEnd"/>
      <w:r w:rsidRPr="00CC78DA">
        <w:rPr>
          <w:sz w:val="24"/>
          <w:lang w:val="cs-CZ"/>
        </w:rPr>
        <w:t>, duben 2024.</w:t>
      </w:r>
    </w:p>
  </w:footnote>
  <w:footnote w:id="18">
    <w:p w14:paraId="1386B7D0" w14:textId="345E2592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Draghi</w:t>
      </w:r>
      <w:proofErr w:type="spellEnd"/>
      <w:r w:rsidRPr="00CC78DA">
        <w:rPr>
          <w:sz w:val="24"/>
          <w:lang w:val="cs-CZ"/>
        </w:rPr>
        <w:t xml:space="preserve">, M., </w:t>
      </w:r>
      <w:proofErr w:type="spellStart"/>
      <w:r w:rsidRPr="00CC78DA">
        <w:rPr>
          <w:i/>
          <w:sz w:val="24"/>
          <w:lang w:val="cs-CZ"/>
        </w:rPr>
        <w:t>The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future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of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European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competitiveness</w:t>
      </w:r>
      <w:proofErr w:type="spellEnd"/>
      <w:r w:rsidRPr="00CC78DA">
        <w:rPr>
          <w:sz w:val="24"/>
          <w:lang w:val="cs-CZ"/>
        </w:rPr>
        <w:t xml:space="preserve">, </w:t>
      </w:r>
      <w:r w:rsidR="00993F22">
        <w:rPr>
          <w:sz w:val="24"/>
          <w:lang w:val="cs-CZ"/>
        </w:rPr>
        <w:t xml:space="preserve">9. </w:t>
      </w:r>
      <w:r w:rsidRPr="00CC78DA">
        <w:rPr>
          <w:sz w:val="24"/>
          <w:lang w:val="cs-CZ"/>
        </w:rPr>
        <w:t>září 2024.</w:t>
      </w:r>
    </w:p>
  </w:footnote>
  <w:footnote w:id="19">
    <w:p w14:paraId="32465B2A" w14:textId="48091C91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 xml:space="preserve">Evropská komise, Data on </w:t>
      </w:r>
      <w:proofErr w:type="spellStart"/>
      <w:r w:rsidRPr="00CC78DA">
        <w:rPr>
          <w:sz w:val="24"/>
          <w:lang w:val="cs-CZ"/>
        </w:rPr>
        <w:t>Taxation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Trends</w:t>
      </w:r>
      <w:proofErr w:type="spellEnd"/>
      <w:r w:rsidRPr="00CC78DA">
        <w:rPr>
          <w:sz w:val="24"/>
          <w:lang w:val="cs-CZ"/>
        </w:rPr>
        <w:t>, naposledy aktualizováno dne 10. března 2025.</w:t>
      </w:r>
    </w:p>
  </w:footnote>
  <w:footnote w:id="20">
    <w:p w14:paraId="5024215D" w14:textId="46FF682A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Tamtéž.</w:t>
      </w:r>
    </w:p>
  </w:footnote>
  <w:footnote w:id="21">
    <w:p w14:paraId="1520D517" w14:textId="319F698E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Tamtéž.</w:t>
      </w:r>
    </w:p>
  </w:footnote>
  <w:footnote w:id="22">
    <w:p w14:paraId="279B80D7" w14:textId="00B96795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Commission</w:t>
      </w:r>
      <w:proofErr w:type="spellEnd"/>
      <w:r w:rsidRPr="00CC78DA">
        <w:rPr>
          <w:sz w:val="24"/>
          <w:lang w:val="cs-CZ"/>
        </w:rPr>
        <w:t xml:space="preserve">: </w:t>
      </w:r>
      <w:proofErr w:type="spellStart"/>
      <w:r w:rsidRPr="00CC78DA">
        <w:rPr>
          <w:sz w:val="24"/>
          <w:lang w:val="cs-CZ"/>
        </w:rPr>
        <w:t>Directorate</w:t>
      </w:r>
      <w:proofErr w:type="spellEnd"/>
      <w:r w:rsidRPr="00CC78DA">
        <w:rPr>
          <w:sz w:val="24"/>
          <w:lang w:val="cs-CZ"/>
        </w:rPr>
        <w:t xml:space="preserve">-General </w:t>
      </w:r>
      <w:proofErr w:type="spellStart"/>
      <w:r w:rsidRPr="00CC78DA">
        <w:rPr>
          <w:sz w:val="24"/>
          <w:lang w:val="cs-CZ"/>
        </w:rPr>
        <w:t>for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Taxation</w:t>
      </w:r>
      <w:proofErr w:type="spellEnd"/>
      <w:r w:rsidRPr="00CC78DA">
        <w:rPr>
          <w:sz w:val="24"/>
          <w:lang w:val="cs-CZ"/>
        </w:rPr>
        <w:t xml:space="preserve"> and </w:t>
      </w:r>
      <w:proofErr w:type="spellStart"/>
      <w:r w:rsidRPr="00CC78DA">
        <w:rPr>
          <w:sz w:val="24"/>
          <w:lang w:val="cs-CZ"/>
        </w:rPr>
        <w:t>Customs</w:t>
      </w:r>
      <w:proofErr w:type="spellEnd"/>
      <w:r w:rsidRPr="00CC78DA">
        <w:rPr>
          <w:sz w:val="24"/>
          <w:lang w:val="cs-CZ"/>
        </w:rPr>
        <w:t xml:space="preserve"> Union, Center </w:t>
      </w:r>
      <w:proofErr w:type="spellStart"/>
      <w:r w:rsidRPr="00CC78DA">
        <w:rPr>
          <w:sz w:val="24"/>
          <w:lang w:val="cs-CZ"/>
        </w:rPr>
        <w:t>for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Social</w:t>
      </w:r>
      <w:proofErr w:type="spellEnd"/>
      <w:r w:rsidRPr="00CC78DA">
        <w:rPr>
          <w:sz w:val="24"/>
          <w:lang w:val="cs-CZ"/>
        </w:rPr>
        <w:t xml:space="preserve"> and </w:t>
      </w:r>
      <w:proofErr w:type="spellStart"/>
      <w:r w:rsidRPr="00CC78DA">
        <w:rPr>
          <w:sz w:val="24"/>
          <w:lang w:val="cs-CZ"/>
        </w:rPr>
        <w:t>Economic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Research</w:t>
      </w:r>
      <w:proofErr w:type="spellEnd"/>
      <w:r w:rsidRPr="00CC78DA">
        <w:rPr>
          <w:sz w:val="24"/>
          <w:lang w:val="cs-CZ"/>
        </w:rPr>
        <w:t xml:space="preserve"> (CASE), Oxford </w:t>
      </w:r>
      <w:proofErr w:type="spellStart"/>
      <w:r w:rsidRPr="00CC78DA">
        <w:rPr>
          <w:sz w:val="24"/>
          <w:lang w:val="cs-CZ"/>
        </w:rPr>
        <w:t>Economics</w:t>
      </w:r>
      <w:proofErr w:type="spellEnd"/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Syntesia</w:t>
      </w:r>
      <w:proofErr w:type="spellEnd"/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Bonch-Osmolovskiy</w:t>
      </w:r>
      <w:proofErr w:type="spellEnd"/>
      <w:r w:rsidRPr="00CC78DA">
        <w:rPr>
          <w:sz w:val="24"/>
          <w:lang w:val="cs-CZ"/>
        </w:rPr>
        <w:t xml:space="preserve">, M. et al., </w:t>
      </w:r>
      <w:r w:rsidRPr="00CC78DA">
        <w:rPr>
          <w:rStyle w:val="Italic"/>
          <w:sz w:val="24"/>
          <w:lang w:val="cs-CZ"/>
        </w:rPr>
        <w:t xml:space="preserve">VAT gap in </w:t>
      </w:r>
      <w:proofErr w:type="spellStart"/>
      <w:r w:rsidRPr="00CC78DA">
        <w:rPr>
          <w:rStyle w:val="Italic"/>
          <w:sz w:val="24"/>
          <w:lang w:val="cs-CZ"/>
        </w:rPr>
        <w:t>the</w:t>
      </w:r>
      <w:proofErr w:type="spellEnd"/>
      <w:r w:rsidRPr="00CC78DA">
        <w:rPr>
          <w:rStyle w:val="Italic"/>
          <w:sz w:val="24"/>
          <w:lang w:val="cs-CZ"/>
        </w:rPr>
        <w:t xml:space="preserve"> EU</w:t>
      </w:r>
      <w:r w:rsidRPr="00CC78DA">
        <w:rPr>
          <w:sz w:val="24"/>
          <w:lang w:val="cs-CZ"/>
        </w:rPr>
        <w:t xml:space="preserve"> –</w:t>
      </w:r>
      <w:r w:rsidRPr="00CC78DA">
        <w:rPr>
          <w:rStyle w:val="Italic"/>
          <w:sz w:val="24"/>
          <w:lang w:val="cs-CZ"/>
        </w:rPr>
        <w:t xml:space="preserve"> 2024 report</w:t>
      </w:r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Poniatowski</w:t>
      </w:r>
      <w:proofErr w:type="spellEnd"/>
      <w:r w:rsidRPr="00CC78DA">
        <w:rPr>
          <w:sz w:val="24"/>
          <w:lang w:val="cs-CZ"/>
        </w:rPr>
        <w:t xml:space="preserve">, G.(editor), </w:t>
      </w:r>
      <w:proofErr w:type="spellStart"/>
      <w:r w:rsidRPr="00CC78DA">
        <w:rPr>
          <w:sz w:val="24"/>
          <w:lang w:val="cs-CZ"/>
        </w:rPr>
        <w:t>Publications</w:t>
      </w:r>
      <w:proofErr w:type="spellEnd"/>
      <w:r w:rsidRPr="00CC78DA">
        <w:rPr>
          <w:sz w:val="24"/>
          <w:lang w:val="cs-CZ"/>
        </w:rPr>
        <w:t xml:space="preserve"> Office </w:t>
      </w:r>
      <w:proofErr w:type="spellStart"/>
      <w:r w:rsidRPr="00CC78DA">
        <w:rPr>
          <w:sz w:val="24"/>
          <w:lang w:val="cs-CZ"/>
        </w:rPr>
        <w:t>of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the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Union, 2024, </w:t>
      </w:r>
      <w:hyperlink r:id="rId9" w:history="1">
        <w:r w:rsidRPr="00CC78DA">
          <w:rPr>
            <w:rStyle w:val="Hyperlink"/>
            <w:sz w:val="24"/>
            <w:lang w:val="cs-CZ"/>
          </w:rPr>
          <w:t>https://data.europa.eu/doi/10.2778/2476549</w:t>
        </w:r>
      </w:hyperlink>
      <w:r w:rsidRPr="00CC78DA">
        <w:rPr>
          <w:sz w:val="24"/>
          <w:lang w:val="cs-CZ"/>
        </w:rPr>
        <w:t>.</w:t>
      </w:r>
    </w:p>
  </w:footnote>
  <w:footnote w:id="23">
    <w:p w14:paraId="13AA7566" w14:textId="7439E4DA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Evropská komise, „</w:t>
      </w:r>
      <w:proofErr w:type="spellStart"/>
      <w:r w:rsidRPr="00CC78DA">
        <w:rPr>
          <w:sz w:val="24"/>
          <w:lang w:val="cs-CZ"/>
        </w:rPr>
        <w:t>Questions</w:t>
      </w:r>
      <w:proofErr w:type="spellEnd"/>
      <w:r w:rsidRPr="00CC78DA">
        <w:rPr>
          <w:sz w:val="24"/>
          <w:lang w:val="cs-CZ"/>
        </w:rPr>
        <w:t xml:space="preserve"> and </w:t>
      </w:r>
      <w:proofErr w:type="spellStart"/>
      <w:r w:rsidRPr="00CC78DA">
        <w:rPr>
          <w:sz w:val="24"/>
          <w:lang w:val="cs-CZ"/>
        </w:rPr>
        <w:t>Answers</w:t>
      </w:r>
      <w:proofErr w:type="spellEnd"/>
      <w:r w:rsidRPr="00CC78DA">
        <w:rPr>
          <w:sz w:val="24"/>
          <w:lang w:val="cs-CZ"/>
        </w:rPr>
        <w:t xml:space="preserve">: VAT Gap 2022 report“, internetové stránky Evropské komise, 8. prosince 2022, </w:t>
      </w:r>
      <w:hyperlink r:id="rId10" w:history="1">
        <w:r w:rsidRPr="00CC78DA">
          <w:rPr>
            <w:rStyle w:val="Hyperlink"/>
            <w:sz w:val="24"/>
            <w:lang w:val="cs-CZ"/>
          </w:rPr>
          <w:t>https://ec.europa.eu/commission/presscorner/detail/en/qanda_22_7519</w:t>
        </w:r>
      </w:hyperlink>
      <w:r w:rsidRPr="00CC78DA">
        <w:rPr>
          <w:sz w:val="24"/>
          <w:lang w:val="cs-CZ"/>
        </w:rPr>
        <w:t>.</w:t>
      </w:r>
    </w:p>
  </w:footnote>
  <w:footnote w:id="24">
    <w:p w14:paraId="0D6693DD" w14:textId="5ACC5599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Commission</w:t>
      </w:r>
      <w:proofErr w:type="spellEnd"/>
      <w:r w:rsidRPr="00CC78DA">
        <w:rPr>
          <w:sz w:val="24"/>
          <w:lang w:val="cs-CZ"/>
        </w:rPr>
        <w:t xml:space="preserve">: </w:t>
      </w:r>
      <w:proofErr w:type="spellStart"/>
      <w:r w:rsidRPr="00CC78DA">
        <w:rPr>
          <w:sz w:val="24"/>
          <w:lang w:val="cs-CZ"/>
        </w:rPr>
        <w:t>Directorate</w:t>
      </w:r>
      <w:proofErr w:type="spellEnd"/>
      <w:r w:rsidRPr="00CC78DA">
        <w:rPr>
          <w:sz w:val="24"/>
          <w:lang w:val="cs-CZ"/>
        </w:rPr>
        <w:t xml:space="preserve">-General </w:t>
      </w:r>
      <w:proofErr w:type="spellStart"/>
      <w:r w:rsidRPr="00CC78DA">
        <w:rPr>
          <w:sz w:val="24"/>
          <w:lang w:val="cs-CZ"/>
        </w:rPr>
        <w:t>for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Taxation</w:t>
      </w:r>
      <w:proofErr w:type="spellEnd"/>
      <w:r w:rsidRPr="00CC78DA">
        <w:rPr>
          <w:sz w:val="24"/>
          <w:lang w:val="cs-CZ"/>
        </w:rPr>
        <w:t xml:space="preserve"> and </w:t>
      </w:r>
      <w:proofErr w:type="spellStart"/>
      <w:r w:rsidRPr="00CC78DA">
        <w:rPr>
          <w:sz w:val="24"/>
          <w:lang w:val="cs-CZ"/>
        </w:rPr>
        <w:t>Customs</w:t>
      </w:r>
      <w:proofErr w:type="spellEnd"/>
      <w:r w:rsidRPr="00CC78DA">
        <w:rPr>
          <w:sz w:val="24"/>
          <w:lang w:val="cs-CZ"/>
        </w:rPr>
        <w:t xml:space="preserve"> Union, </w:t>
      </w:r>
      <w:proofErr w:type="spellStart"/>
      <w:r w:rsidRPr="00CC78DA">
        <w:rPr>
          <w:i/>
          <w:sz w:val="24"/>
          <w:lang w:val="cs-CZ"/>
        </w:rPr>
        <w:t>Annual</w:t>
      </w:r>
      <w:proofErr w:type="spellEnd"/>
      <w:r w:rsidRPr="00CC78DA">
        <w:rPr>
          <w:i/>
          <w:sz w:val="24"/>
          <w:lang w:val="cs-CZ"/>
        </w:rPr>
        <w:t xml:space="preserve"> report on </w:t>
      </w:r>
      <w:proofErr w:type="spellStart"/>
      <w:r w:rsidRPr="00CC78DA">
        <w:rPr>
          <w:i/>
          <w:sz w:val="24"/>
          <w:lang w:val="cs-CZ"/>
        </w:rPr>
        <w:t>taxation</w:t>
      </w:r>
      <w:proofErr w:type="spellEnd"/>
      <w:r w:rsidRPr="00CC78DA">
        <w:rPr>
          <w:i/>
          <w:sz w:val="24"/>
          <w:lang w:val="cs-CZ"/>
        </w:rPr>
        <w:t xml:space="preserve"> 2024 – </w:t>
      </w:r>
      <w:proofErr w:type="spellStart"/>
      <w:r w:rsidRPr="00CC78DA">
        <w:rPr>
          <w:i/>
          <w:sz w:val="24"/>
          <w:lang w:val="cs-CZ"/>
        </w:rPr>
        <w:t>Review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of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taxation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policies</w:t>
      </w:r>
      <w:proofErr w:type="spellEnd"/>
      <w:r w:rsidRPr="00CC78DA">
        <w:rPr>
          <w:i/>
          <w:sz w:val="24"/>
          <w:lang w:val="cs-CZ"/>
        </w:rPr>
        <w:t xml:space="preserve"> in </w:t>
      </w:r>
      <w:proofErr w:type="spellStart"/>
      <w:r w:rsidRPr="00CC78DA">
        <w:rPr>
          <w:i/>
          <w:sz w:val="24"/>
          <w:lang w:val="cs-CZ"/>
        </w:rPr>
        <w:t>the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European</w:t>
      </w:r>
      <w:proofErr w:type="spellEnd"/>
      <w:r w:rsidRPr="00CC78DA">
        <w:rPr>
          <w:i/>
          <w:sz w:val="24"/>
          <w:lang w:val="cs-CZ"/>
        </w:rPr>
        <w:t xml:space="preserve"> Union</w:t>
      </w:r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Publications</w:t>
      </w:r>
      <w:proofErr w:type="spellEnd"/>
      <w:r w:rsidRPr="00CC78DA">
        <w:rPr>
          <w:sz w:val="24"/>
          <w:lang w:val="cs-CZ"/>
        </w:rPr>
        <w:t xml:space="preserve"> Office </w:t>
      </w:r>
      <w:proofErr w:type="spellStart"/>
      <w:r w:rsidRPr="00CC78DA">
        <w:rPr>
          <w:sz w:val="24"/>
          <w:lang w:val="cs-CZ"/>
        </w:rPr>
        <w:t>of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the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Union, 2024, </w:t>
      </w:r>
      <w:hyperlink r:id="rId11" w:history="1">
        <w:r w:rsidRPr="00CC78DA">
          <w:rPr>
            <w:rStyle w:val="Hyperlink"/>
            <w:sz w:val="24"/>
            <w:lang w:val="cs-CZ"/>
          </w:rPr>
          <w:t>https://data.europa.eu/doi/10.2778/10846</w:t>
        </w:r>
      </w:hyperlink>
      <w:r w:rsidRPr="00CC78DA">
        <w:rPr>
          <w:sz w:val="24"/>
          <w:lang w:val="cs-CZ"/>
        </w:rPr>
        <w:t>.</w:t>
      </w:r>
    </w:p>
  </w:footnote>
  <w:footnote w:id="25">
    <w:p w14:paraId="3343358A" w14:textId="567A0D0B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Commission</w:t>
      </w:r>
      <w:proofErr w:type="spellEnd"/>
      <w:r w:rsidRPr="00CC78DA">
        <w:rPr>
          <w:sz w:val="24"/>
          <w:lang w:val="cs-CZ"/>
        </w:rPr>
        <w:t xml:space="preserve">: </w:t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Innovation </w:t>
      </w:r>
      <w:proofErr w:type="spellStart"/>
      <w:r w:rsidRPr="00CC78DA">
        <w:rPr>
          <w:sz w:val="24"/>
          <w:lang w:val="cs-CZ"/>
        </w:rPr>
        <w:t>Council</w:t>
      </w:r>
      <w:proofErr w:type="spellEnd"/>
      <w:r w:rsidRPr="00CC78DA">
        <w:rPr>
          <w:sz w:val="24"/>
          <w:lang w:val="cs-CZ"/>
        </w:rPr>
        <w:t xml:space="preserve"> and </w:t>
      </w:r>
      <w:proofErr w:type="spellStart"/>
      <w:r w:rsidRPr="00CC78DA">
        <w:rPr>
          <w:sz w:val="24"/>
          <w:lang w:val="cs-CZ"/>
        </w:rPr>
        <w:t>SMEs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Executive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Agency</w:t>
      </w:r>
      <w:proofErr w:type="spellEnd"/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Directorate</w:t>
      </w:r>
      <w:proofErr w:type="spellEnd"/>
      <w:r w:rsidRPr="00CC78DA">
        <w:rPr>
          <w:sz w:val="24"/>
          <w:lang w:val="cs-CZ"/>
        </w:rPr>
        <w:t xml:space="preserve">-General </w:t>
      </w:r>
      <w:proofErr w:type="spellStart"/>
      <w:r w:rsidRPr="00CC78DA">
        <w:rPr>
          <w:sz w:val="24"/>
          <w:lang w:val="cs-CZ"/>
        </w:rPr>
        <w:t>for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Internal</w:t>
      </w:r>
      <w:proofErr w:type="spellEnd"/>
      <w:r w:rsidRPr="00CC78DA">
        <w:rPr>
          <w:sz w:val="24"/>
          <w:lang w:val="cs-CZ"/>
        </w:rPr>
        <w:t xml:space="preserve"> Market, </w:t>
      </w:r>
      <w:proofErr w:type="spellStart"/>
      <w:r w:rsidRPr="00CC78DA">
        <w:rPr>
          <w:sz w:val="24"/>
          <w:lang w:val="cs-CZ"/>
        </w:rPr>
        <w:t>Industry</w:t>
      </w:r>
      <w:proofErr w:type="spellEnd"/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Entrepreneurship</w:t>
      </w:r>
      <w:proofErr w:type="spellEnd"/>
      <w:r w:rsidRPr="00CC78DA">
        <w:rPr>
          <w:sz w:val="24"/>
          <w:lang w:val="cs-CZ"/>
        </w:rPr>
        <w:t xml:space="preserve"> and </w:t>
      </w:r>
      <w:proofErr w:type="spellStart"/>
      <w:r w:rsidRPr="00CC78DA">
        <w:rPr>
          <w:sz w:val="24"/>
          <w:lang w:val="cs-CZ"/>
        </w:rPr>
        <w:t>SMEs</w:t>
      </w:r>
      <w:proofErr w:type="spellEnd"/>
      <w:r w:rsidRPr="00CC78DA">
        <w:rPr>
          <w:sz w:val="24"/>
          <w:lang w:val="cs-CZ"/>
        </w:rPr>
        <w:t xml:space="preserve">, KPMG, VVA, Di </w:t>
      </w:r>
      <w:proofErr w:type="spellStart"/>
      <w:r w:rsidRPr="00CC78DA">
        <w:rPr>
          <w:sz w:val="24"/>
          <w:lang w:val="cs-CZ"/>
        </w:rPr>
        <w:t>Legge</w:t>
      </w:r>
      <w:proofErr w:type="spellEnd"/>
      <w:r w:rsidRPr="00CC78DA">
        <w:rPr>
          <w:sz w:val="24"/>
          <w:lang w:val="cs-CZ"/>
        </w:rPr>
        <w:t xml:space="preserve">, A. et al., </w:t>
      </w:r>
      <w:r w:rsidRPr="00CC78DA">
        <w:rPr>
          <w:i/>
          <w:sz w:val="24"/>
          <w:lang w:val="cs-CZ"/>
        </w:rPr>
        <w:t xml:space="preserve">Tax </w:t>
      </w:r>
      <w:proofErr w:type="spellStart"/>
      <w:r w:rsidRPr="00CC78DA">
        <w:rPr>
          <w:i/>
          <w:sz w:val="24"/>
          <w:lang w:val="cs-CZ"/>
        </w:rPr>
        <w:t>compliance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costs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for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SMEs</w:t>
      </w:r>
      <w:proofErr w:type="spellEnd"/>
      <w:r w:rsidRPr="00CC78DA">
        <w:rPr>
          <w:i/>
          <w:sz w:val="24"/>
          <w:lang w:val="cs-CZ"/>
        </w:rPr>
        <w:t xml:space="preserve"> – An update and a </w:t>
      </w:r>
      <w:proofErr w:type="spellStart"/>
      <w:r w:rsidRPr="00CC78DA">
        <w:rPr>
          <w:i/>
          <w:sz w:val="24"/>
          <w:lang w:val="cs-CZ"/>
        </w:rPr>
        <w:t>complement</w:t>
      </w:r>
      <w:proofErr w:type="spellEnd"/>
      <w:r w:rsidRPr="00CC78DA">
        <w:rPr>
          <w:i/>
          <w:sz w:val="24"/>
          <w:lang w:val="cs-CZ"/>
        </w:rPr>
        <w:t xml:space="preserve"> – </w:t>
      </w:r>
      <w:proofErr w:type="spellStart"/>
      <w:r w:rsidRPr="00CC78DA">
        <w:rPr>
          <w:i/>
          <w:sz w:val="24"/>
          <w:lang w:val="cs-CZ"/>
        </w:rPr>
        <w:t>Final</w:t>
      </w:r>
      <w:proofErr w:type="spellEnd"/>
      <w:r w:rsidRPr="00CC78DA">
        <w:rPr>
          <w:i/>
          <w:sz w:val="24"/>
          <w:lang w:val="cs-CZ"/>
        </w:rPr>
        <w:t xml:space="preserve"> report</w:t>
      </w:r>
      <w:r w:rsidRPr="00CC78DA">
        <w:rPr>
          <w:sz w:val="24"/>
          <w:lang w:val="cs-CZ"/>
        </w:rPr>
        <w:t xml:space="preserve">, </w:t>
      </w:r>
      <w:proofErr w:type="spellStart"/>
      <w:r w:rsidRPr="00CC78DA">
        <w:rPr>
          <w:sz w:val="24"/>
          <w:lang w:val="cs-CZ"/>
        </w:rPr>
        <w:t>Publications</w:t>
      </w:r>
      <w:proofErr w:type="spellEnd"/>
      <w:r w:rsidRPr="00CC78DA">
        <w:rPr>
          <w:sz w:val="24"/>
          <w:lang w:val="cs-CZ"/>
        </w:rPr>
        <w:t xml:space="preserve"> Office </w:t>
      </w:r>
      <w:proofErr w:type="spellStart"/>
      <w:r w:rsidRPr="00CC78DA">
        <w:rPr>
          <w:sz w:val="24"/>
          <w:lang w:val="cs-CZ"/>
        </w:rPr>
        <w:t>of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the</w:t>
      </w:r>
      <w:proofErr w:type="spellEnd"/>
      <w:r w:rsidRPr="00CC78DA">
        <w:rPr>
          <w:sz w:val="24"/>
          <w:lang w:val="cs-CZ"/>
        </w:rPr>
        <w:t xml:space="preserve"> </w:t>
      </w:r>
      <w:proofErr w:type="spellStart"/>
      <w:r w:rsidRPr="00CC78DA">
        <w:rPr>
          <w:sz w:val="24"/>
          <w:lang w:val="cs-CZ"/>
        </w:rPr>
        <w:t>European</w:t>
      </w:r>
      <w:proofErr w:type="spellEnd"/>
      <w:r w:rsidRPr="00CC78DA">
        <w:rPr>
          <w:sz w:val="24"/>
          <w:lang w:val="cs-CZ"/>
        </w:rPr>
        <w:t xml:space="preserve"> Union, 2022, </w:t>
      </w:r>
      <w:hyperlink r:id="rId12" w:history="1">
        <w:r w:rsidRPr="00CC78DA">
          <w:rPr>
            <w:rStyle w:val="Hyperlink"/>
            <w:sz w:val="24"/>
            <w:lang w:val="cs-CZ"/>
          </w:rPr>
          <w:t>https://data.europa.eu/doi/10.2873/180570</w:t>
        </w:r>
      </w:hyperlink>
      <w:r w:rsidRPr="00CC78DA">
        <w:rPr>
          <w:sz w:val="24"/>
          <w:lang w:val="cs-CZ"/>
        </w:rPr>
        <w:t>.</w:t>
      </w:r>
    </w:p>
  </w:footnote>
  <w:footnote w:id="26">
    <w:p w14:paraId="3469C813" w14:textId="6F417BAA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proofErr w:type="spellStart"/>
      <w:r w:rsidRPr="00CC78DA">
        <w:rPr>
          <w:sz w:val="24"/>
          <w:lang w:val="cs-CZ"/>
        </w:rPr>
        <w:t>Letta</w:t>
      </w:r>
      <w:proofErr w:type="spellEnd"/>
      <w:r w:rsidRPr="00CC78DA">
        <w:rPr>
          <w:sz w:val="24"/>
          <w:lang w:val="cs-CZ"/>
        </w:rPr>
        <w:t xml:space="preserve">, E., </w:t>
      </w:r>
      <w:r w:rsidRPr="00CC78DA">
        <w:rPr>
          <w:i/>
          <w:sz w:val="24"/>
          <w:lang w:val="cs-CZ"/>
        </w:rPr>
        <w:t xml:space="preserve">Much more </w:t>
      </w:r>
      <w:proofErr w:type="spellStart"/>
      <w:r w:rsidRPr="00CC78DA">
        <w:rPr>
          <w:i/>
          <w:sz w:val="24"/>
          <w:lang w:val="cs-CZ"/>
        </w:rPr>
        <w:t>than</w:t>
      </w:r>
      <w:proofErr w:type="spellEnd"/>
      <w:r w:rsidRPr="00CC78DA">
        <w:rPr>
          <w:i/>
          <w:sz w:val="24"/>
          <w:lang w:val="cs-CZ"/>
        </w:rPr>
        <w:t xml:space="preserve"> a market– Speed, </w:t>
      </w:r>
      <w:proofErr w:type="spellStart"/>
      <w:r w:rsidRPr="00CC78DA">
        <w:rPr>
          <w:i/>
          <w:sz w:val="24"/>
          <w:lang w:val="cs-CZ"/>
        </w:rPr>
        <w:t>Security</w:t>
      </w:r>
      <w:proofErr w:type="spellEnd"/>
      <w:r w:rsidRPr="00CC78DA">
        <w:rPr>
          <w:i/>
          <w:sz w:val="24"/>
          <w:lang w:val="cs-CZ"/>
        </w:rPr>
        <w:t xml:space="preserve">, Solidarity – </w:t>
      </w:r>
      <w:proofErr w:type="spellStart"/>
      <w:r w:rsidRPr="00CC78DA">
        <w:rPr>
          <w:i/>
          <w:sz w:val="24"/>
          <w:lang w:val="cs-CZ"/>
        </w:rPr>
        <w:t>Empowering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the</w:t>
      </w:r>
      <w:proofErr w:type="spellEnd"/>
      <w:r w:rsidRPr="00CC78DA">
        <w:rPr>
          <w:i/>
          <w:sz w:val="24"/>
          <w:lang w:val="cs-CZ"/>
        </w:rPr>
        <w:t xml:space="preserve"> Single Market to </w:t>
      </w:r>
      <w:proofErr w:type="spellStart"/>
      <w:r w:rsidRPr="00CC78DA">
        <w:rPr>
          <w:i/>
          <w:sz w:val="24"/>
          <w:lang w:val="cs-CZ"/>
        </w:rPr>
        <w:t>deliver</w:t>
      </w:r>
      <w:proofErr w:type="spellEnd"/>
      <w:r w:rsidRPr="00CC78DA">
        <w:rPr>
          <w:i/>
          <w:sz w:val="24"/>
          <w:lang w:val="cs-CZ"/>
        </w:rPr>
        <w:t xml:space="preserve"> a </w:t>
      </w:r>
      <w:proofErr w:type="spellStart"/>
      <w:r w:rsidRPr="00CC78DA">
        <w:rPr>
          <w:i/>
          <w:sz w:val="24"/>
          <w:lang w:val="cs-CZ"/>
        </w:rPr>
        <w:t>sustainable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future</w:t>
      </w:r>
      <w:proofErr w:type="spellEnd"/>
      <w:r w:rsidRPr="00CC78DA">
        <w:rPr>
          <w:i/>
          <w:sz w:val="24"/>
          <w:lang w:val="cs-CZ"/>
        </w:rPr>
        <w:t xml:space="preserve"> and prosperity </w:t>
      </w:r>
      <w:proofErr w:type="spellStart"/>
      <w:r w:rsidRPr="00CC78DA">
        <w:rPr>
          <w:i/>
          <w:sz w:val="24"/>
          <w:lang w:val="cs-CZ"/>
        </w:rPr>
        <w:t>for</w:t>
      </w:r>
      <w:proofErr w:type="spellEnd"/>
      <w:r w:rsidRPr="00CC78DA">
        <w:rPr>
          <w:i/>
          <w:sz w:val="24"/>
          <w:lang w:val="cs-CZ"/>
        </w:rPr>
        <w:t xml:space="preserve"> </w:t>
      </w:r>
      <w:proofErr w:type="spellStart"/>
      <w:r w:rsidRPr="00CC78DA">
        <w:rPr>
          <w:i/>
          <w:sz w:val="24"/>
          <w:lang w:val="cs-CZ"/>
        </w:rPr>
        <w:t>all</w:t>
      </w:r>
      <w:proofErr w:type="spellEnd"/>
      <w:r w:rsidRPr="00CC78DA">
        <w:rPr>
          <w:i/>
          <w:sz w:val="24"/>
          <w:lang w:val="cs-CZ"/>
        </w:rPr>
        <w:t xml:space="preserve"> EU </w:t>
      </w:r>
      <w:proofErr w:type="spellStart"/>
      <w:r w:rsidRPr="00CC78DA">
        <w:rPr>
          <w:i/>
          <w:sz w:val="24"/>
          <w:lang w:val="cs-CZ"/>
        </w:rPr>
        <w:t>Citizens</w:t>
      </w:r>
      <w:proofErr w:type="spellEnd"/>
      <w:r w:rsidRPr="00CC78DA">
        <w:rPr>
          <w:sz w:val="24"/>
          <w:lang w:val="cs-CZ"/>
        </w:rPr>
        <w:t>, duben 2024, s. 91, 111.</w:t>
      </w:r>
    </w:p>
  </w:footnote>
  <w:footnote w:id="27">
    <w:p w14:paraId="592D4BAE" w14:textId="3E32206B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2003/96/ES ze dne 27. října 2003, kterou se mění struktura rámcových předpisů Společenství o zdanění energetických produktů a elektřiny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283, 31.10.2003, s. 51, ELI: </w:t>
      </w:r>
      <w:hyperlink r:id="rId13" w:history="1">
        <w:r w:rsidRPr="00CC78DA">
          <w:rPr>
            <w:rStyle w:val="Hyperlink"/>
            <w:sz w:val="24"/>
            <w:lang w:val="cs-CZ"/>
          </w:rPr>
          <w:t>http://data.europa.eu/eli/dir/2003/96/oj</w:t>
        </w:r>
      </w:hyperlink>
      <w:r w:rsidRPr="00CC78DA">
        <w:rPr>
          <w:sz w:val="24"/>
          <w:lang w:val="cs-CZ"/>
        </w:rPr>
        <w:t>).</w:t>
      </w:r>
    </w:p>
  </w:footnote>
  <w:footnote w:id="28">
    <w:p w14:paraId="39BD36B1" w14:textId="241285DC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Evropského parlamentu a Rady (EU) 2021/2101 ze dne 24. listopadu 2021, kterou se mění směrnice 2013/34/EU, pokud jde o zveřejňování informací o dani z příjmů některými podniky a pobočkami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429, 1.12.2021, s. 1, ELI: </w:t>
      </w:r>
      <w:hyperlink r:id="rId14" w:history="1">
        <w:r w:rsidRPr="00CC78DA">
          <w:rPr>
            <w:rStyle w:val="Hyperlink"/>
            <w:sz w:val="24"/>
            <w:lang w:val="cs-CZ"/>
          </w:rPr>
          <w:t>http://data.europa.eu/eli/dir/2021/2101/oj</w:t>
        </w:r>
      </w:hyperlink>
      <w:r w:rsidRPr="00CC78DA">
        <w:rPr>
          <w:sz w:val="24"/>
          <w:lang w:val="cs-CZ"/>
        </w:rPr>
        <w:t>).</w:t>
      </w:r>
    </w:p>
  </w:footnote>
  <w:footnote w:id="29">
    <w:p w14:paraId="2AE7EE08" w14:textId="20C67C0C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(EU) 2025/516 ze dne 11. března 2025, kterou se mění směrnice 2006/112/ES, pokud jde o pravidla DPH pro digitální věk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L, 2025/516, 25.3.2025, ELI: </w:t>
      </w:r>
      <w:hyperlink r:id="rId15" w:history="1">
        <w:r w:rsidRPr="00CC78DA">
          <w:rPr>
            <w:rStyle w:val="Hyperlink"/>
            <w:sz w:val="24"/>
            <w:lang w:val="cs-CZ"/>
          </w:rPr>
          <w:t>http://data.europa.eu/eli/dir/2025/516/oj</w:t>
        </w:r>
      </w:hyperlink>
      <w:r w:rsidRPr="00CC78DA">
        <w:rPr>
          <w:sz w:val="24"/>
          <w:lang w:val="cs-CZ"/>
        </w:rPr>
        <w:t>).</w:t>
      </w:r>
    </w:p>
  </w:footnote>
  <w:footnote w:id="30">
    <w:p w14:paraId="1EA3788F" w14:textId="6015DDC2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2008/9/ES ze dne 12. února 2008, kterou se stanoví prováděcí pravidla pro vrácení daně z přidané hodnoty stanovené směrnicí 2006/112/ES osobám povinným k dani neusazeným v členském státě vrácení daně, ale v jiném členském státě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44, 20.2.2008, s. 23, ELI: </w:t>
      </w:r>
      <w:hyperlink r:id="rId16" w:history="1">
        <w:r w:rsidRPr="00CC78DA">
          <w:rPr>
            <w:rStyle w:val="Hyperlink"/>
            <w:sz w:val="24"/>
            <w:lang w:val="cs-CZ"/>
          </w:rPr>
          <w:t>http://data.europa.eu/eli/dir/2008/9/oj</w:t>
        </w:r>
      </w:hyperlink>
      <w:r w:rsidRPr="00CC78DA">
        <w:rPr>
          <w:sz w:val="24"/>
          <w:lang w:val="cs-CZ"/>
        </w:rPr>
        <w:t>).</w:t>
      </w:r>
    </w:p>
  </w:footnote>
  <w:footnote w:id="31">
    <w:p w14:paraId="0054BCA7" w14:textId="5A3ABEC0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2006/112/ES ze dne 28. listopadu 2006 o společném systému daně z</w:t>
      </w:r>
      <w:r w:rsidR="009E60F5" w:rsidRPr="009E60F5">
        <w:rPr>
          <w:szCs w:val="24"/>
          <w:lang w:val="cs-CZ"/>
        </w:rPr>
        <w:t> </w:t>
      </w:r>
      <w:r w:rsidRPr="00CC78DA">
        <w:rPr>
          <w:sz w:val="24"/>
          <w:lang w:val="cs-CZ"/>
        </w:rPr>
        <w:t>přidané hodnoty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347, 11.12.2006, s. 1, ELI: </w:t>
      </w:r>
      <w:hyperlink r:id="rId17" w:history="1">
        <w:r w:rsidR="009E60F5" w:rsidRPr="00060239">
          <w:rPr>
            <w:rStyle w:val="Hyperlink"/>
            <w:sz w:val="24"/>
            <w:lang w:val="cs-CZ"/>
          </w:rPr>
          <w:t>http://data.europa.eu/eli/dir/</w:t>
        </w:r>
        <w:r w:rsidR="009E60F5" w:rsidRPr="00060239">
          <w:rPr>
            <w:rStyle w:val="Hyperlink"/>
            <w:sz w:val="24"/>
            <w:lang w:val="cs-CZ"/>
          </w:rPr>
          <w:br/>
          <w:t>2006/112/oj</w:t>
        </w:r>
      </w:hyperlink>
      <w:r w:rsidRPr="00CC78DA">
        <w:rPr>
          <w:sz w:val="24"/>
          <w:lang w:val="cs-CZ"/>
        </w:rPr>
        <w:t>).</w:t>
      </w:r>
    </w:p>
  </w:footnote>
  <w:footnote w:id="32">
    <w:p w14:paraId="4DD5F6B5" w14:textId="62399B28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(EU) 2022/2523 ze dne 14. prosince 2022 o zajištění globální minimální úrovně zdanění nadnárodních skupin podniků a velkých vnitrostátních skupin v Unii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328, 22.12.2022, s. 1, ELI:  </w:t>
      </w:r>
      <w:hyperlink r:id="rId18" w:history="1">
        <w:r w:rsidRPr="00CC78DA">
          <w:rPr>
            <w:rStyle w:val="Hyperlink"/>
            <w:sz w:val="24"/>
            <w:lang w:val="cs-CZ"/>
          </w:rPr>
          <w:t>http://data.europa.eu/eli/dir/2022/2523/oj</w:t>
        </w:r>
      </w:hyperlink>
      <w:r w:rsidRPr="00CC78DA">
        <w:rPr>
          <w:sz w:val="24"/>
          <w:lang w:val="cs-CZ"/>
        </w:rPr>
        <w:t>).</w:t>
      </w:r>
    </w:p>
  </w:footnote>
  <w:footnote w:id="33">
    <w:p w14:paraId="246665C2" w14:textId="0D088702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(EU) 2025/50 ze dne 10. prosince 2024 o rychlejší a spolehlivější úlevě z nadměrných srážkových daní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L, 2025/50, 10.1.2025, ELI: </w:t>
      </w:r>
      <w:hyperlink r:id="rId19" w:history="1">
        <w:r w:rsidRPr="00CC78DA">
          <w:rPr>
            <w:rStyle w:val="Hyperlink"/>
            <w:sz w:val="24"/>
            <w:lang w:val="cs-CZ"/>
          </w:rPr>
          <w:t>http://data.europa.eu/eli/dir/2025/50/oj</w:t>
        </w:r>
      </w:hyperlink>
      <w:r w:rsidRPr="00CC78DA">
        <w:rPr>
          <w:sz w:val="24"/>
          <w:lang w:val="cs-CZ"/>
        </w:rPr>
        <w:t>).</w:t>
      </w:r>
    </w:p>
  </w:footnote>
  <w:footnote w:id="34">
    <w:p w14:paraId="075A89D7" w14:textId="1EF0C722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Usnesení Evropského parlamentu ze dne 10. března 2022 o rámci pro evropskou srážkovou daň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 347, 9.9.2022, s. 172).</w:t>
      </w:r>
    </w:p>
  </w:footnote>
  <w:footnote w:id="35">
    <w:p w14:paraId="37669FB9" w14:textId="1BD393A8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Usnesení Evropského parlamentu ze dne 16. září 2021 o uplatňování požadavků EU na výměnu daňových informací: pokrok, získané zkušenosti a zbývající překážky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 117, 11.3.2022, s. 120).</w:t>
      </w:r>
    </w:p>
  </w:footnote>
  <w:footnote w:id="36">
    <w:p w14:paraId="770A52E5" w14:textId="5185CF5D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Usnesení Evropského parlamentu ze dne 21. ledna 2021 o reformě unijního seznamu daňových rájů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>. C 456, 10.11.2021, s. 177).</w:t>
      </w:r>
    </w:p>
  </w:footnote>
  <w:footnote w:id="37">
    <w:p w14:paraId="621B2176" w14:textId="2A02DE86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2011/16/EU ze dne 15. února 2011 o správní spolupráci v oblasti daní a o zrušení směrnice 77/799/EHS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64, 11.3.2011, s. 1, ELI: </w:t>
      </w:r>
      <w:hyperlink r:id="rId20" w:history="1">
        <w:r w:rsidRPr="00CC78DA">
          <w:rPr>
            <w:rStyle w:val="Hyperlink"/>
            <w:sz w:val="24"/>
            <w:lang w:val="cs-CZ"/>
          </w:rPr>
          <w:t>http://data.europa.eu/eli/dir/2011/16/oj</w:t>
        </w:r>
      </w:hyperlink>
      <w:r w:rsidRPr="00CC78DA">
        <w:rPr>
          <w:sz w:val="24"/>
          <w:lang w:val="cs-CZ"/>
        </w:rPr>
        <w:t>).</w:t>
      </w:r>
    </w:p>
  </w:footnote>
  <w:footnote w:id="38">
    <w:p w14:paraId="45DF98E3" w14:textId="131EE02F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(EU) 2016/1164 ze dne 12. července 2016, kterou se stanoví pravidla proti praktikám vyhýbání se daňovým povinnostem, které mají přímý vliv na fungování vnitřního trhu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193, 19.7.2016, s. 1, ELI: </w:t>
      </w:r>
      <w:hyperlink r:id="rId21" w:history="1">
        <w:r w:rsidRPr="00CC78DA">
          <w:rPr>
            <w:rStyle w:val="Hyperlink"/>
            <w:sz w:val="24"/>
            <w:lang w:val="cs-CZ"/>
          </w:rPr>
          <w:t>http://data.europa.eu/eli/dir/2016/1164/oj</w:t>
        </w:r>
      </w:hyperlink>
      <w:r w:rsidRPr="00CC78DA">
        <w:rPr>
          <w:sz w:val="24"/>
          <w:lang w:val="cs-CZ"/>
        </w:rPr>
        <w:t>).</w:t>
      </w:r>
    </w:p>
  </w:footnote>
  <w:footnote w:id="39">
    <w:p w14:paraId="2DF92152" w14:textId="5075BDFE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(EU) 2018/822 ze dne 25. května 2018, kterou se mění směrnice 2011/16/EU, pokud jde o povinnou automatickou výměnu informací v oblasti daní ve vztahu k přeshraničním uspořádáním, která se mají oznamovat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 xml:space="preserve">. 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 L 139, 5.6.2018, s. 1, ELI: </w:t>
      </w:r>
      <w:hyperlink r:id="rId22" w:history="1">
        <w:r w:rsidRPr="00CC78DA">
          <w:rPr>
            <w:rStyle w:val="Hyperlink"/>
            <w:sz w:val="24"/>
            <w:lang w:val="cs-CZ"/>
          </w:rPr>
          <w:t>http://data.europa.eu/eli/dir/2018/822/oj</w:t>
        </w:r>
      </w:hyperlink>
      <w:r w:rsidRPr="00CC78DA">
        <w:rPr>
          <w:sz w:val="24"/>
          <w:lang w:val="cs-CZ"/>
        </w:rPr>
        <w:t>).</w:t>
      </w:r>
    </w:p>
  </w:footnote>
  <w:footnote w:id="40">
    <w:p w14:paraId="49800CFF" w14:textId="2AFB2688" w:rsidR="004836D7" w:rsidRPr="00CC78DA" w:rsidRDefault="004836D7" w:rsidP="00CC78DA">
      <w:pPr>
        <w:pStyle w:val="FootnoteText"/>
        <w:ind w:left="567" w:hanging="567"/>
        <w:rPr>
          <w:sz w:val="24"/>
          <w:lang w:val="cs-CZ"/>
        </w:rPr>
      </w:pPr>
      <w:r w:rsidRPr="00CC78DA">
        <w:rPr>
          <w:rStyle w:val="FootnoteReference"/>
          <w:sz w:val="24"/>
          <w:lang w:val="cs-CZ"/>
        </w:rPr>
        <w:footnoteRef/>
      </w:r>
      <w:r w:rsidR="00CC78DA" w:rsidRPr="00CC78DA">
        <w:rPr>
          <w:sz w:val="24"/>
          <w:lang w:val="cs-CZ"/>
        </w:rPr>
        <w:t xml:space="preserve"> </w:t>
      </w:r>
      <w:r w:rsidR="00CC78DA" w:rsidRPr="00CC78DA">
        <w:rPr>
          <w:sz w:val="24"/>
          <w:lang w:val="cs-CZ"/>
        </w:rPr>
        <w:tab/>
      </w:r>
      <w:r w:rsidRPr="00CC78DA">
        <w:rPr>
          <w:sz w:val="24"/>
          <w:lang w:val="cs-CZ"/>
        </w:rPr>
        <w:t>Směrnice Rady (EU) 2021/514 ze dne 22. března 2021, kterou se mění směrnice 2011/16/EU o správní spolupráci v oblasti daní (</w:t>
      </w:r>
      <w:proofErr w:type="spellStart"/>
      <w:r w:rsidRPr="00CC78DA">
        <w:rPr>
          <w:sz w:val="24"/>
          <w:lang w:val="cs-CZ"/>
        </w:rPr>
        <w:t>Úř</w:t>
      </w:r>
      <w:proofErr w:type="spellEnd"/>
      <w:r w:rsidRPr="00CC78DA">
        <w:rPr>
          <w:sz w:val="24"/>
          <w:lang w:val="cs-CZ"/>
        </w:rPr>
        <w:t>. </w:t>
      </w:r>
      <w:proofErr w:type="spellStart"/>
      <w:r w:rsidRPr="00CC78DA">
        <w:rPr>
          <w:sz w:val="24"/>
          <w:lang w:val="cs-CZ"/>
        </w:rPr>
        <w:t>věst</w:t>
      </w:r>
      <w:proofErr w:type="spellEnd"/>
      <w:r w:rsidRPr="00CC78DA">
        <w:rPr>
          <w:sz w:val="24"/>
          <w:lang w:val="cs-CZ"/>
        </w:rPr>
        <w:t xml:space="preserve">. L 104, 25.3.2021, s. 1, ELI: </w:t>
      </w:r>
      <w:hyperlink r:id="rId23" w:history="1">
        <w:r w:rsidRPr="00CC78DA">
          <w:rPr>
            <w:rStyle w:val="Hyperlink"/>
            <w:sz w:val="24"/>
            <w:lang w:val="cs-CZ"/>
          </w:rPr>
          <w:t>http://data.europa.eu/eli/dir/2021/514/oj</w:t>
        </w:r>
      </w:hyperlink>
      <w:r w:rsidRPr="00CC78DA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718A9" w14:textId="77777777" w:rsidR="00064002" w:rsidRPr="00CC78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9E999" w14:textId="77777777" w:rsidR="00064002" w:rsidRPr="00CC78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4B1C8" w14:textId="77777777" w:rsidR="00064002" w:rsidRPr="00CC78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60D2AD74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3E05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D865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C60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F234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0C94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49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208D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7EBB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99804872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D5EECA0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2208F7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502A18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1385D5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63606C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CA2BD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AA844B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AAC1CF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FD73DD4"/>
    <w:multiLevelType w:val="hybridMultilevel"/>
    <w:tmpl w:val="AC0A66F8"/>
    <w:lvl w:ilvl="0" w:tplc="8010848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79891">
    <w:abstractNumId w:val="9"/>
  </w:num>
  <w:num w:numId="2" w16cid:durableId="716318515">
    <w:abstractNumId w:val="9"/>
  </w:num>
  <w:num w:numId="3" w16cid:durableId="1105884473">
    <w:abstractNumId w:val="7"/>
  </w:num>
  <w:num w:numId="4" w16cid:durableId="396318965">
    <w:abstractNumId w:val="7"/>
  </w:num>
  <w:num w:numId="5" w16cid:durableId="105082973">
    <w:abstractNumId w:val="6"/>
  </w:num>
  <w:num w:numId="6" w16cid:durableId="1224179305">
    <w:abstractNumId w:val="6"/>
  </w:num>
  <w:num w:numId="7" w16cid:durableId="1818717375">
    <w:abstractNumId w:val="5"/>
  </w:num>
  <w:num w:numId="8" w16cid:durableId="1748336125">
    <w:abstractNumId w:val="5"/>
  </w:num>
  <w:num w:numId="9" w16cid:durableId="835147318">
    <w:abstractNumId w:val="4"/>
  </w:num>
  <w:num w:numId="10" w16cid:durableId="1510103236">
    <w:abstractNumId w:val="4"/>
  </w:num>
  <w:num w:numId="11" w16cid:durableId="449668045">
    <w:abstractNumId w:val="8"/>
  </w:num>
  <w:num w:numId="12" w16cid:durableId="402265334">
    <w:abstractNumId w:val="8"/>
  </w:num>
  <w:num w:numId="13" w16cid:durableId="635261364">
    <w:abstractNumId w:val="3"/>
  </w:num>
  <w:num w:numId="14" w16cid:durableId="1364478764">
    <w:abstractNumId w:val="3"/>
  </w:num>
  <w:num w:numId="15" w16cid:durableId="112067090">
    <w:abstractNumId w:val="2"/>
  </w:num>
  <w:num w:numId="16" w16cid:durableId="1137406768">
    <w:abstractNumId w:val="2"/>
  </w:num>
  <w:num w:numId="17" w16cid:durableId="2099909585">
    <w:abstractNumId w:val="1"/>
  </w:num>
  <w:num w:numId="18" w16cid:durableId="222106423">
    <w:abstractNumId w:val="1"/>
  </w:num>
  <w:num w:numId="19" w16cid:durableId="258606534">
    <w:abstractNumId w:val="0"/>
  </w:num>
  <w:num w:numId="20" w16cid:durableId="1729569041">
    <w:abstractNumId w:val="0"/>
  </w:num>
  <w:num w:numId="21" w16cid:durableId="1083256666">
    <w:abstractNumId w:val="9"/>
  </w:num>
  <w:num w:numId="22" w16cid:durableId="972058635">
    <w:abstractNumId w:val="7"/>
  </w:num>
  <w:num w:numId="23" w16cid:durableId="1846676115">
    <w:abstractNumId w:val="6"/>
  </w:num>
  <w:num w:numId="24" w16cid:durableId="1422726163">
    <w:abstractNumId w:val="5"/>
  </w:num>
  <w:num w:numId="25" w16cid:durableId="1398166884">
    <w:abstractNumId w:val="4"/>
  </w:num>
  <w:num w:numId="26" w16cid:durableId="1097479599">
    <w:abstractNumId w:val="8"/>
  </w:num>
  <w:num w:numId="27" w16cid:durableId="1396733049">
    <w:abstractNumId w:val="3"/>
  </w:num>
  <w:num w:numId="28" w16cid:durableId="988896790">
    <w:abstractNumId w:val="2"/>
  </w:num>
  <w:num w:numId="29" w16cid:durableId="1380209831">
    <w:abstractNumId w:val="1"/>
  </w:num>
  <w:num w:numId="30" w16cid:durableId="1834107846">
    <w:abstractNumId w:val="0"/>
  </w:num>
  <w:num w:numId="31" w16cid:durableId="844058499">
    <w:abstractNumId w:val="9"/>
  </w:num>
  <w:num w:numId="32" w16cid:durableId="556354710">
    <w:abstractNumId w:val="7"/>
  </w:num>
  <w:num w:numId="33" w16cid:durableId="668827561">
    <w:abstractNumId w:val="6"/>
  </w:num>
  <w:num w:numId="34" w16cid:durableId="302003062">
    <w:abstractNumId w:val="5"/>
  </w:num>
  <w:num w:numId="35" w16cid:durableId="1836606841">
    <w:abstractNumId w:val="4"/>
  </w:num>
  <w:num w:numId="36" w16cid:durableId="2075009937">
    <w:abstractNumId w:val="8"/>
  </w:num>
  <w:num w:numId="37" w16cid:durableId="978460091">
    <w:abstractNumId w:val="3"/>
  </w:num>
  <w:num w:numId="38" w16cid:durableId="486672961">
    <w:abstractNumId w:val="2"/>
  </w:num>
  <w:num w:numId="39" w16cid:durableId="1166434918">
    <w:abstractNumId w:val="1"/>
  </w:num>
  <w:num w:numId="40" w16cid:durableId="1244486089">
    <w:abstractNumId w:val="0"/>
  </w:num>
  <w:num w:numId="41" w16cid:durableId="1160586252">
    <w:abstractNumId w:val="10"/>
  </w:num>
  <w:num w:numId="42" w16cid:durableId="1888445243">
    <w:abstractNumId w:val="10"/>
  </w:num>
  <w:num w:numId="43" w16cid:durableId="341933569">
    <w:abstractNumId w:val="10"/>
  </w:num>
  <w:num w:numId="44" w16cid:durableId="197163886">
    <w:abstractNumId w:val="11"/>
  </w:num>
  <w:num w:numId="45" w16cid:durableId="1654063573">
    <w:abstractNumId w:val="12"/>
  </w:num>
  <w:num w:numId="46" w16cid:durableId="337537337">
    <w:abstractNumId w:val="13"/>
  </w:num>
  <w:num w:numId="47" w16cid:durableId="18732247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5/2025"/>
    <w:docVar w:name="dvlangue" w:val="CS"/>
    <w:docVar w:name="dvnumam" w:val="0"/>
    <w:docVar w:name="dvpe" w:val="770.261"/>
    <w:docVar w:name="dvrapporteur" w:val="Zpravodaj: "/>
    <w:docVar w:name="dvtitre" w:val="Usnesení Evropského parlamentu ze dne 9. října 2025 o úloze jednoduchých daňových pravidel a daňové roztříštěnosti z hlediska evropské konkurenceschopnosti(2024/2118(INI))"/>
  </w:docVars>
  <w:rsids>
    <w:rsidRoot w:val="004E4AD7"/>
    <w:rsid w:val="00002272"/>
    <w:rsid w:val="00064002"/>
    <w:rsid w:val="000677B9"/>
    <w:rsid w:val="000831BA"/>
    <w:rsid w:val="000A42CC"/>
    <w:rsid w:val="000E7DD9"/>
    <w:rsid w:val="0010095E"/>
    <w:rsid w:val="00115537"/>
    <w:rsid w:val="00125B37"/>
    <w:rsid w:val="00187494"/>
    <w:rsid w:val="001B59D1"/>
    <w:rsid w:val="001F32AE"/>
    <w:rsid w:val="002767FF"/>
    <w:rsid w:val="002B1334"/>
    <w:rsid w:val="002B18FE"/>
    <w:rsid w:val="002B5493"/>
    <w:rsid w:val="002E4D94"/>
    <w:rsid w:val="00343214"/>
    <w:rsid w:val="00361C00"/>
    <w:rsid w:val="00395FA1"/>
    <w:rsid w:val="003963F9"/>
    <w:rsid w:val="003E15D4"/>
    <w:rsid w:val="003F1AC9"/>
    <w:rsid w:val="00411CCE"/>
    <w:rsid w:val="0041666E"/>
    <w:rsid w:val="00421060"/>
    <w:rsid w:val="00471C19"/>
    <w:rsid w:val="004823ED"/>
    <w:rsid w:val="004836D7"/>
    <w:rsid w:val="004867E3"/>
    <w:rsid w:val="00494A28"/>
    <w:rsid w:val="004C0004"/>
    <w:rsid w:val="004C5D52"/>
    <w:rsid w:val="004E4AD7"/>
    <w:rsid w:val="0050519A"/>
    <w:rsid w:val="005072A1"/>
    <w:rsid w:val="00514517"/>
    <w:rsid w:val="00545827"/>
    <w:rsid w:val="00560270"/>
    <w:rsid w:val="005B0B6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F22"/>
    <w:rsid w:val="009A14E8"/>
    <w:rsid w:val="009E60F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8D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725"/>
    <w:rsid w:val="00EB4772"/>
    <w:rsid w:val="00ED169E"/>
    <w:rsid w:val="00ED4235"/>
    <w:rsid w:val="00EF2EBC"/>
    <w:rsid w:val="00F04346"/>
    <w:rsid w:val="00F075DC"/>
    <w:rsid w:val="00F149E9"/>
    <w:rsid w:val="00F5134D"/>
    <w:rsid w:val="00F71AB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4C34F"/>
  <w15:chartTrackingRefBased/>
  <w15:docId w15:val="{E82837A7-F3D2-401B-9606-EC99166F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836D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836D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836D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836D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836D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836D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4836D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4836D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4836D7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4836D7"/>
    <w:pPr>
      <w:widowControl/>
      <w:spacing w:after="240"/>
    </w:pPr>
    <w:rPr>
      <w:lang w:val="en-GB"/>
    </w:rPr>
  </w:style>
  <w:style w:type="paragraph" w:customStyle="1" w:styleId="EPComma">
    <w:name w:val="EPComma"/>
    <w:basedOn w:val="Normal"/>
    <w:rsid w:val="004836D7"/>
    <w:pPr>
      <w:spacing w:before="480" w:after="240"/>
    </w:pPr>
    <w:rPr>
      <w:snapToGrid w:val="0"/>
      <w:lang w:eastAsia="en-US"/>
    </w:rPr>
  </w:style>
  <w:style w:type="paragraph" w:customStyle="1" w:styleId="CoverNormal">
    <w:name w:val="CoverNormal"/>
    <w:basedOn w:val="Normal"/>
    <w:rsid w:val="004836D7"/>
    <w:pPr>
      <w:ind w:left="1418"/>
    </w:pPr>
    <w:rPr>
      <w:snapToGrid w:val="0"/>
      <w:lang w:eastAsia="en-US"/>
    </w:rPr>
  </w:style>
  <w:style w:type="paragraph" w:customStyle="1" w:styleId="TOCRight">
    <w:name w:val="TOC Right"/>
    <w:basedOn w:val="Normal"/>
    <w:rsid w:val="004836D7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4836D7"/>
    <w:pPr>
      <w:spacing w:after="1200"/>
    </w:pPr>
    <w:rPr>
      <w:snapToGrid w:val="0"/>
      <w:lang w:eastAsia="en-US"/>
    </w:rPr>
  </w:style>
  <w:style w:type="paragraph" w:customStyle="1" w:styleId="EPFooter2">
    <w:name w:val="EPFooter2"/>
    <w:basedOn w:val="Normal"/>
    <w:next w:val="Normal"/>
    <w:rsid w:val="004836D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paragraph" w:customStyle="1" w:styleId="NormalBold">
    <w:name w:val="NormalBold"/>
    <w:basedOn w:val="Normal"/>
    <w:rsid w:val="004836D7"/>
    <w:rPr>
      <w:b/>
      <w:snapToGrid w:val="0"/>
      <w:lang w:eastAsia="en-US"/>
    </w:rPr>
  </w:style>
  <w:style w:type="paragraph" w:customStyle="1" w:styleId="CoverReference">
    <w:name w:val="CoverReference"/>
    <w:basedOn w:val="Normal"/>
    <w:rsid w:val="004836D7"/>
    <w:pPr>
      <w:spacing w:before="1080"/>
      <w:jc w:val="right"/>
    </w:pPr>
    <w:rPr>
      <w:rFonts w:ascii="Arial" w:hAnsi="Arial" w:cs="Arial"/>
      <w:b/>
      <w:snapToGrid w:val="0"/>
      <w:lang w:eastAsia="en-US"/>
    </w:rPr>
  </w:style>
  <w:style w:type="paragraph" w:customStyle="1" w:styleId="CoverNormal24a">
    <w:name w:val="CoverNormal24a"/>
    <w:basedOn w:val="Normal"/>
    <w:rsid w:val="004836D7"/>
    <w:pPr>
      <w:spacing w:after="480"/>
      <w:ind w:left="1417"/>
    </w:pPr>
    <w:rPr>
      <w:snapToGrid w:val="0"/>
      <w:lang w:eastAsia="en-US"/>
    </w:rPr>
  </w:style>
  <w:style w:type="paragraph" w:customStyle="1" w:styleId="TOCPage">
    <w:name w:val="TOC Page"/>
    <w:basedOn w:val="Normal"/>
    <w:next w:val="TOC1"/>
    <w:rsid w:val="004836D7"/>
    <w:pPr>
      <w:keepNext/>
      <w:spacing w:after="240"/>
      <w:jc w:val="right"/>
    </w:pPr>
    <w:rPr>
      <w:rFonts w:ascii="Arial" w:hAnsi="Arial"/>
      <w:b/>
      <w:snapToGrid w:val="0"/>
      <w:lang w:eastAsia="en-US"/>
    </w:rPr>
  </w:style>
  <w:style w:type="paragraph" w:customStyle="1" w:styleId="CoverDocType24a">
    <w:name w:val="CoverDocType24a"/>
    <w:basedOn w:val="Normal"/>
    <w:rsid w:val="004836D7"/>
    <w:pPr>
      <w:spacing w:after="480"/>
      <w:ind w:left="1418"/>
    </w:pPr>
    <w:rPr>
      <w:rFonts w:ascii="Arial" w:hAnsi="Arial"/>
      <w:b/>
      <w:snapToGrid w:val="0"/>
      <w:sz w:val="48"/>
      <w:lang w:eastAsia="en-US"/>
    </w:rPr>
  </w:style>
  <w:style w:type="paragraph" w:customStyle="1" w:styleId="NormalHanging12a">
    <w:name w:val="NormalHanging12a"/>
    <w:basedOn w:val="Normal"/>
    <w:rsid w:val="004836D7"/>
    <w:pPr>
      <w:widowControl/>
      <w:spacing w:after="240"/>
      <w:ind w:left="567" w:hanging="567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4836D7"/>
    <w:pPr>
      <w:ind w:left="720"/>
    </w:pPr>
    <w:rPr>
      <w:snapToGrid w:val="0"/>
      <w:lang w:eastAsia="en-US"/>
    </w:rPr>
  </w:style>
  <w:style w:type="paragraph" w:customStyle="1" w:styleId="PageHeading">
    <w:name w:val="PageHeading"/>
    <w:basedOn w:val="Normal"/>
    <w:rsid w:val="004836D7"/>
    <w:pPr>
      <w:keepNext/>
      <w:spacing w:after="480"/>
      <w:jc w:val="center"/>
    </w:pPr>
    <w:rPr>
      <w:rFonts w:ascii="Arial" w:hAnsi="Arial" w:cs="Arial"/>
      <w:b/>
      <w:snapToGrid w:val="0"/>
      <w:lang w:eastAsia="en-US"/>
    </w:rPr>
  </w:style>
  <w:style w:type="paragraph" w:styleId="TOC5">
    <w:name w:val="toc 5"/>
    <w:basedOn w:val="Normal"/>
    <w:next w:val="Normal"/>
    <w:autoRedefine/>
    <w:rsid w:val="004836D7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4836D7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4836D7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4836D7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4836D7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4836D7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4836D7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4836D7"/>
    <w:pPr>
      <w:ind w:left="3686" w:hanging="2268"/>
    </w:pPr>
    <w:rPr>
      <w:snapToGrid w:val="0"/>
      <w:lang w:eastAsia="en-US"/>
    </w:rPr>
  </w:style>
  <w:style w:type="paragraph" w:customStyle="1" w:styleId="EPBody">
    <w:name w:val="EPBody"/>
    <w:basedOn w:val="Normal"/>
    <w:rsid w:val="004836D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Part">
    <w:name w:val="CoverRefPart"/>
    <w:basedOn w:val="Normal"/>
    <w:rsid w:val="004836D7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4836D7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EPFooter">
    <w:name w:val="EPFooter"/>
    <w:basedOn w:val="Normal"/>
    <w:rsid w:val="004836D7"/>
    <w:pPr>
      <w:tabs>
        <w:tab w:val="center" w:pos="4535"/>
        <w:tab w:val="right" w:pos="9071"/>
      </w:tabs>
      <w:spacing w:before="240" w:after="240"/>
    </w:pPr>
    <w:rPr>
      <w:snapToGrid w:val="0"/>
      <w:color w:val="010000"/>
      <w:sz w:val="22"/>
      <w:lang w:eastAsia="en-US"/>
    </w:rPr>
  </w:style>
  <w:style w:type="paragraph" w:styleId="Header">
    <w:name w:val="header"/>
    <w:basedOn w:val="Normal"/>
    <w:link w:val="HeaderChar"/>
    <w:rsid w:val="004836D7"/>
    <w:pPr>
      <w:tabs>
        <w:tab w:val="center" w:pos="4513"/>
        <w:tab w:val="right" w:pos="9026"/>
      </w:tabs>
    </w:pPr>
    <w:rPr>
      <w:snapToGrid w:val="0"/>
      <w:lang w:eastAsia="en-US"/>
    </w:rPr>
  </w:style>
  <w:style w:type="character" w:customStyle="1" w:styleId="HeaderChar">
    <w:name w:val="Header Char"/>
    <w:basedOn w:val="DefaultParagraphFont"/>
    <w:link w:val="Header"/>
    <w:rsid w:val="004836D7"/>
    <w:rPr>
      <w:snapToGrid w:val="0"/>
      <w:sz w:val="24"/>
      <w:lang w:val="cs-CZ" w:eastAsia="en-US"/>
    </w:rPr>
  </w:style>
  <w:style w:type="paragraph" w:customStyle="1" w:styleId="AmColumnHeading">
    <w:name w:val="AmColumnHeading"/>
    <w:basedOn w:val="Normal"/>
    <w:rsid w:val="004836D7"/>
    <w:pPr>
      <w:spacing w:after="240"/>
      <w:jc w:val="center"/>
    </w:pPr>
    <w:rPr>
      <w:i/>
    </w:rPr>
  </w:style>
  <w:style w:type="paragraph" w:customStyle="1" w:styleId="AmCrossRef">
    <w:name w:val="AmCrossRef"/>
    <w:basedOn w:val="Normal"/>
    <w:rsid w:val="004836D7"/>
    <w:pPr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rsid w:val="004836D7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rsid w:val="004836D7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4836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OrLang">
    <w:name w:val="AmOrLang"/>
    <w:basedOn w:val="Normal"/>
    <w:rsid w:val="004836D7"/>
    <w:pPr>
      <w:spacing w:before="240" w:after="240"/>
      <w:jc w:val="right"/>
    </w:pPr>
  </w:style>
  <w:style w:type="paragraph" w:customStyle="1" w:styleId="AnnexWPDate">
    <w:name w:val="AnnexWPDate"/>
    <w:basedOn w:val="Normal"/>
    <w:rsid w:val="004836D7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4836D7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4836D7"/>
    <w:pPr>
      <w:spacing w:before="120" w:after="120"/>
    </w:pPr>
  </w:style>
  <w:style w:type="paragraph" w:customStyle="1" w:styleId="AnnexWPSmall">
    <w:name w:val="AnnexWPSmall"/>
    <w:basedOn w:val="Normal"/>
    <w:rsid w:val="004836D7"/>
    <w:rPr>
      <w:smallCaps/>
      <w:sz w:val="20"/>
    </w:rPr>
  </w:style>
  <w:style w:type="paragraph" w:customStyle="1" w:styleId="AnnexWPTabs">
    <w:name w:val="AnnexWPTabs"/>
    <w:basedOn w:val="Normal"/>
    <w:rsid w:val="004836D7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4836D7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4836D7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4836D7"/>
    <w:pPr>
      <w:spacing w:after="240"/>
      <w:ind w:left="1418"/>
    </w:pPr>
  </w:style>
  <w:style w:type="paragraph" w:customStyle="1" w:styleId="Confidential">
    <w:name w:val="Confidential"/>
    <w:basedOn w:val="Normal"/>
    <w:rsid w:val="004836D7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4836D7"/>
    <w:pPr>
      <w:spacing w:before="360"/>
      <w:jc w:val="right"/>
    </w:pPr>
    <w:rPr>
      <w:rFonts w:ascii="Arial" w:hAnsi="Arial"/>
      <w:b/>
    </w:rPr>
  </w:style>
  <w:style w:type="paragraph" w:customStyle="1" w:styleId="CoverDate">
    <w:name w:val="CoverDate"/>
    <w:basedOn w:val="Normal"/>
    <w:rsid w:val="004836D7"/>
    <w:pPr>
      <w:spacing w:before="240" w:after="1200"/>
    </w:pPr>
  </w:style>
  <w:style w:type="paragraph" w:customStyle="1" w:styleId="CoverDocType">
    <w:name w:val="CoverDocType"/>
    <w:basedOn w:val="Normal"/>
    <w:rsid w:val="004836D7"/>
    <w:pPr>
      <w:ind w:left="1418"/>
    </w:pPr>
    <w:rPr>
      <w:rFonts w:ascii="Arial" w:hAnsi="Arial"/>
      <w:b/>
      <w:sz w:val="48"/>
    </w:rPr>
  </w:style>
  <w:style w:type="paragraph" w:customStyle="1" w:styleId="NormalBold12a">
    <w:name w:val="NormalBold12a"/>
    <w:basedOn w:val="Normal"/>
    <w:rsid w:val="004836D7"/>
    <w:pPr>
      <w:spacing w:after="240"/>
    </w:pPr>
    <w:rPr>
      <w:b/>
    </w:rPr>
  </w:style>
  <w:style w:type="paragraph" w:customStyle="1" w:styleId="NormalCenter12a">
    <w:name w:val="NormalCenter12a"/>
    <w:basedOn w:val="Normal"/>
    <w:rsid w:val="004836D7"/>
    <w:pPr>
      <w:spacing w:after="240"/>
      <w:jc w:val="center"/>
    </w:pPr>
  </w:style>
  <w:style w:type="paragraph" w:customStyle="1" w:styleId="Normal6a">
    <w:name w:val="Normal6a"/>
    <w:basedOn w:val="Normal"/>
    <w:rsid w:val="004836D7"/>
    <w:pPr>
      <w:spacing w:after="120"/>
    </w:pPr>
  </w:style>
  <w:style w:type="paragraph" w:customStyle="1" w:styleId="NormalBold12b">
    <w:name w:val="NormalBold12b"/>
    <w:basedOn w:val="Normal"/>
    <w:rsid w:val="004836D7"/>
    <w:pPr>
      <w:spacing w:before="240"/>
    </w:pPr>
    <w:rPr>
      <w:b/>
    </w:rPr>
  </w:style>
  <w:style w:type="paragraph" w:customStyle="1" w:styleId="Arial14CentreBold">
    <w:name w:val="Arial14CentreBold"/>
    <w:basedOn w:val="Normal"/>
    <w:qFormat/>
    <w:rsid w:val="004836D7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4836D7"/>
    <w:rPr>
      <w:b/>
    </w:rPr>
  </w:style>
  <w:style w:type="character" w:customStyle="1" w:styleId="BoldItalic">
    <w:name w:val="BoldItalic"/>
    <w:uiPriority w:val="1"/>
    <w:rsid w:val="004836D7"/>
    <w:rPr>
      <w:b/>
      <w:i/>
      <w:u w:val="none"/>
    </w:rPr>
  </w:style>
  <w:style w:type="character" w:customStyle="1" w:styleId="BoldItalicUnderline">
    <w:name w:val="BoldItalicUnderline"/>
    <w:uiPriority w:val="1"/>
    <w:rsid w:val="004836D7"/>
    <w:rPr>
      <w:b/>
      <w:i/>
      <w:u w:val="single"/>
    </w:rPr>
  </w:style>
  <w:style w:type="character" w:customStyle="1" w:styleId="BoldUnderline">
    <w:name w:val="BoldUnderline"/>
    <w:uiPriority w:val="1"/>
    <w:rsid w:val="004836D7"/>
    <w:rPr>
      <w:b/>
      <w:u w:val="single"/>
    </w:rPr>
  </w:style>
  <w:style w:type="paragraph" w:customStyle="1" w:styleId="CoverNormalLeft">
    <w:name w:val="CoverNormalLeft"/>
    <w:basedOn w:val="CoverNormal"/>
    <w:qFormat/>
    <w:rsid w:val="004836D7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4836D7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4836D7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4836D7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4836D7"/>
    <w:rPr>
      <w:i/>
    </w:rPr>
  </w:style>
  <w:style w:type="character" w:customStyle="1" w:styleId="ItalicUnderline">
    <w:name w:val="ItalicUnderline"/>
    <w:uiPriority w:val="1"/>
    <w:rsid w:val="004836D7"/>
    <w:rPr>
      <w:i/>
      <w:u w:val="single"/>
    </w:rPr>
  </w:style>
  <w:style w:type="paragraph" w:customStyle="1" w:styleId="LegendSign">
    <w:name w:val="LegendSign"/>
    <w:basedOn w:val="Normal"/>
    <w:qFormat/>
    <w:rsid w:val="004836D7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4836D7"/>
    <w:pPr>
      <w:ind w:left="0" w:firstLine="0"/>
    </w:pPr>
  </w:style>
  <w:style w:type="paragraph" w:customStyle="1" w:styleId="LegendTitle">
    <w:name w:val="LegendTitle"/>
    <w:basedOn w:val="Normal"/>
    <w:qFormat/>
    <w:rsid w:val="004836D7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4836D7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4836D7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4836D7"/>
    <w:pPr>
      <w:spacing w:after="240"/>
    </w:pPr>
  </w:style>
  <w:style w:type="paragraph" w:customStyle="1" w:styleId="Normal12b">
    <w:name w:val="Normal12b"/>
    <w:basedOn w:val="Normal"/>
    <w:qFormat/>
    <w:rsid w:val="004836D7"/>
    <w:pPr>
      <w:spacing w:before="240"/>
    </w:pPr>
  </w:style>
  <w:style w:type="paragraph" w:customStyle="1" w:styleId="NormalBoldUnderline24b">
    <w:name w:val="NormalBoldUnderline24b"/>
    <w:basedOn w:val="Normal"/>
    <w:qFormat/>
    <w:rsid w:val="004836D7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4836D7"/>
    <w:pPr>
      <w:spacing w:after="240"/>
    </w:pPr>
  </w:style>
  <w:style w:type="paragraph" w:customStyle="1" w:styleId="Normal12aBullet1">
    <w:name w:val="Normal12aBullet1"/>
    <w:basedOn w:val="Normal"/>
    <w:qFormat/>
    <w:rsid w:val="004836D7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4836D7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4836D7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4836D7"/>
    <w:pPr>
      <w:ind w:left="1417"/>
    </w:pPr>
  </w:style>
  <w:style w:type="paragraph" w:customStyle="1" w:styleId="NormalHanging12a3">
    <w:name w:val="NormalHanging12a3"/>
    <w:basedOn w:val="NormalHanging12a2"/>
    <w:qFormat/>
    <w:rsid w:val="004836D7"/>
    <w:pPr>
      <w:ind w:left="1843"/>
    </w:pPr>
  </w:style>
  <w:style w:type="paragraph" w:customStyle="1" w:styleId="NormalHanging12a4">
    <w:name w:val="NormalHanging12a4"/>
    <w:basedOn w:val="NormalHanging12a3"/>
    <w:qFormat/>
    <w:rsid w:val="004836D7"/>
    <w:pPr>
      <w:ind w:left="2268"/>
    </w:pPr>
  </w:style>
  <w:style w:type="paragraph" w:customStyle="1" w:styleId="NormalHanging12a5">
    <w:name w:val="NormalHanging12a5"/>
    <w:basedOn w:val="NormalHanging12a4"/>
    <w:qFormat/>
    <w:rsid w:val="004836D7"/>
    <w:pPr>
      <w:ind w:left="2693"/>
    </w:pPr>
  </w:style>
  <w:style w:type="paragraph" w:customStyle="1" w:styleId="NormalHanging12a6">
    <w:name w:val="NormalHanging12a6"/>
    <w:basedOn w:val="NormalHanging12a5"/>
    <w:qFormat/>
    <w:rsid w:val="004836D7"/>
    <w:pPr>
      <w:ind w:left="3118"/>
    </w:pPr>
  </w:style>
  <w:style w:type="paragraph" w:customStyle="1" w:styleId="NormalHanging12a7">
    <w:name w:val="NormalHanging12a7"/>
    <w:basedOn w:val="NormalHanging12a6"/>
    <w:qFormat/>
    <w:rsid w:val="004836D7"/>
    <w:pPr>
      <w:ind w:left="3544"/>
    </w:pPr>
  </w:style>
  <w:style w:type="paragraph" w:customStyle="1" w:styleId="NormalHangingCenter">
    <w:name w:val="NormalHangingCenter"/>
    <w:basedOn w:val="Normal"/>
    <w:qFormat/>
    <w:rsid w:val="004836D7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4836D7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4836D7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4836D7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4836D7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4836D7"/>
    <w:rPr>
      <w:b/>
      <w:i/>
    </w:rPr>
  </w:style>
  <w:style w:type="paragraph" w:customStyle="1" w:styleId="NormalBoldItalicCenter6a">
    <w:name w:val="NormalBoldItalicCenter6a"/>
    <w:basedOn w:val="Normal6a"/>
    <w:qFormat/>
    <w:rsid w:val="004836D7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4836D7"/>
    <w:rPr>
      <w:i/>
    </w:rPr>
  </w:style>
  <w:style w:type="paragraph" w:customStyle="1" w:styleId="PageHeadingNotTOC">
    <w:name w:val="PageHeadingNotTOC"/>
    <w:basedOn w:val="PageHeading"/>
    <w:rsid w:val="004836D7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4836D7"/>
    <w:rPr>
      <w:vertAlign w:val="subscript"/>
    </w:rPr>
  </w:style>
  <w:style w:type="character" w:customStyle="1" w:styleId="SubBold">
    <w:name w:val="SubBold"/>
    <w:uiPriority w:val="1"/>
    <w:qFormat/>
    <w:rsid w:val="004836D7"/>
    <w:rPr>
      <w:b/>
      <w:vertAlign w:val="subscript"/>
    </w:rPr>
  </w:style>
  <w:style w:type="character" w:customStyle="1" w:styleId="SubBoldItalic">
    <w:name w:val="SubBoldItalic"/>
    <w:uiPriority w:val="1"/>
    <w:rsid w:val="004836D7"/>
    <w:rPr>
      <w:b/>
      <w:i/>
      <w:vertAlign w:val="subscript"/>
    </w:rPr>
  </w:style>
  <w:style w:type="character" w:customStyle="1" w:styleId="SubItalic">
    <w:name w:val="SubItalic"/>
    <w:uiPriority w:val="1"/>
    <w:qFormat/>
    <w:rsid w:val="004836D7"/>
    <w:rPr>
      <w:b/>
      <w:i/>
      <w:vertAlign w:val="subscript"/>
    </w:rPr>
  </w:style>
  <w:style w:type="character" w:customStyle="1" w:styleId="Sup">
    <w:name w:val="Sup"/>
    <w:uiPriority w:val="1"/>
    <w:rsid w:val="004836D7"/>
    <w:rPr>
      <w:vertAlign w:val="superscript"/>
    </w:rPr>
  </w:style>
  <w:style w:type="character" w:customStyle="1" w:styleId="SupBoldItalic">
    <w:name w:val="SupBoldItalic"/>
    <w:uiPriority w:val="1"/>
    <w:qFormat/>
    <w:rsid w:val="004836D7"/>
    <w:rPr>
      <w:b/>
      <w:i/>
      <w:vertAlign w:val="superscript"/>
    </w:rPr>
  </w:style>
  <w:style w:type="character" w:customStyle="1" w:styleId="Underline">
    <w:name w:val="Underline"/>
    <w:uiPriority w:val="1"/>
    <w:rsid w:val="004836D7"/>
    <w:rPr>
      <w:u w:val="single"/>
    </w:rPr>
  </w:style>
  <w:style w:type="paragraph" w:customStyle="1" w:styleId="NormalBoldCenter">
    <w:name w:val="NormalBoldCenter"/>
    <w:basedOn w:val="Normal"/>
    <w:rsid w:val="004836D7"/>
    <w:pPr>
      <w:jc w:val="center"/>
    </w:pPr>
    <w:rPr>
      <w:b/>
    </w:rPr>
  </w:style>
  <w:style w:type="paragraph" w:customStyle="1" w:styleId="ProcedureTable">
    <w:name w:val="ProcedureTable"/>
    <w:basedOn w:val="Normal"/>
    <w:rsid w:val="004836D7"/>
    <w:rPr>
      <w:sz w:val="20"/>
    </w:rPr>
  </w:style>
  <w:style w:type="paragraph" w:customStyle="1" w:styleId="ProcedureTableBold">
    <w:name w:val="ProcedureTableBold"/>
    <w:basedOn w:val="Normal"/>
    <w:rsid w:val="004836D7"/>
    <w:rPr>
      <w:b/>
      <w:sz w:val="20"/>
    </w:rPr>
  </w:style>
  <w:style w:type="paragraph" w:customStyle="1" w:styleId="NormalCenter">
    <w:name w:val="NormalCenter"/>
    <w:basedOn w:val="Normal"/>
    <w:rsid w:val="004836D7"/>
    <w:pPr>
      <w:jc w:val="center"/>
    </w:pPr>
  </w:style>
  <w:style w:type="character" w:customStyle="1" w:styleId="SubBoldItalicUnderline">
    <w:name w:val="SubBoldItalicUnderline"/>
    <w:uiPriority w:val="1"/>
    <w:rsid w:val="004836D7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4836D7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4836D7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4836D7"/>
    <w:rPr>
      <w:u w:val="single"/>
      <w:vertAlign w:val="subscript"/>
    </w:rPr>
  </w:style>
  <w:style w:type="character" w:customStyle="1" w:styleId="SupBold">
    <w:name w:val="SupBold"/>
    <w:uiPriority w:val="1"/>
    <w:rsid w:val="004836D7"/>
    <w:rPr>
      <w:b/>
      <w:vertAlign w:val="superscript"/>
    </w:rPr>
  </w:style>
  <w:style w:type="character" w:customStyle="1" w:styleId="SupBoldItalicUnderline">
    <w:name w:val="SupBoldItalicUnderline"/>
    <w:uiPriority w:val="1"/>
    <w:rsid w:val="004836D7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4836D7"/>
    <w:rPr>
      <w:b/>
      <w:u w:val="single"/>
      <w:vertAlign w:val="superscript"/>
    </w:rPr>
  </w:style>
  <w:style w:type="character" w:customStyle="1" w:styleId="SupItalic">
    <w:name w:val="SupItalic"/>
    <w:uiPriority w:val="1"/>
    <w:rsid w:val="004836D7"/>
    <w:rPr>
      <w:i/>
      <w:vertAlign w:val="superscript"/>
    </w:rPr>
  </w:style>
  <w:style w:type="character" w:customStyle="1" w:styleId="SupItalicUnderline">
    <w:name w:val="SupItalicUnderline"/>
    <w:uiPriority w:val="1"/>
    <w:rsid w:val="004836D7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4836D7"/>
    <w:rPr>
      <w:u w:val="single"/>
      <w:vertAlign w:val="superscript"/>
    </w:rPr>
  </w:style>
  <w:style w:type="paragraph" w:customStyle="1" w:styleId="Normal24a">
    <w:name w:val="Normal24a"/>
    <w:basedOn w:val="Normal"/>
    <w:rsid w:val="004836D7"/>
    <w:pPr>
      <w:spacing w:after="480"/>
    </w:pPr>
  </w:style>
  <w:style w:type="paragraph" w:customStyle="1" w:styleId="Normal12a24b">
    <w:name w:val="Normal12a24b"/>
    <w:basedOn w:val="Normal"/>
    <w:rsid w:val="004836D7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4836D7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rsid w:val="004836D7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4836D7"/>
    <w:rPr>
      <w:rFonts w:ascii="Segoe UI" w:hAnsi="Segoe UI" w:cs="Segoe UI"/>
      <w:snapToGrid w:val="0"/>
      <w:sz w:val="18"/>
      <w:szCs w:val="18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rsid w:val="004836D7"/>
    <w:rPr>
      <w:rFonts w:ascii="Segoe UI" w:hAnsi="Segoe UI" w:cs="Segoe UI"/>
      <w:snapToGrid w:val="0"/>
      <w:sz w:val="18"/>
      <w:szCs w:val="18"/>
      <w:lang w:eastAsia="en-US"/>
    </w:rPr>
  </w:style>
  <w:style w:type="paragraph" w:styleId="Footer">
    <w:name w:val="footer"/>
    <w:basedOn w:val="Normal"/>
    <w:link w:val="FooterChar"/>
    <w:unhideWhenUsed/>
    <w:rsid w:val="004836D7"/>
    <w:pPr>
      <w:tabs>
        <w:tab w:val="center" w:pos="4513"/>
        <w:tab w:val="right" w:pos="9026"/>
      </w:tabs>
    </w:pPr>
    <w:rPr>
      <w:snapToGrid w:val="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836D7"/>
    <w:rPr>
      <w:snapToGrid w:val="0"/>
      <w:sz w:val="24"/>
      <w:lang w:eastAsia="en-US"/>
    </w:rPr>
  </w:style>
  <w:style w:type="paragraph" w:customStyle="1" w:styleId="Footprint12b">
    <w:name w:val="Footprint12b"/>
    <w:basedOn w:val="Normal"/>
    <w:rsid w:val="004836D7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4836D7"/>
    <w:rPr>
      <w:szCs w:val="24"/>
      <w:lang w:val="en-GB"/>
    </w:rPr>
  </w:style>
  <w:style w:type="paragraph" w:customStyle="1" w:styleId="RollCallVotes">
    <w:name w:val="RollCallVotes"/>
    <w:basedOn w:val="Normal"/>
    <w:rsid w:val="004836D7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4836D7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4836D7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4836D7"/>
    <w:pPr>
      <w:spacing w:before="120" w:after="120"/>
    </w:pPr>
    <w:rPr>
      <w:snapToGrid w:val="0"/>
      <w:sz w:val="16"/>
      <w:lang w:val="en-GB" w:eastAsia="en-US"/>
    </w:rPr>
  </w:style>
  <w:style w:type="paragraph" w:styleId="Revision">
    <w:name w:val="Revision"/>
    <w:hidden/>
    <w:uiPriority w:val="99"/>
    <w:semiHidden/>
    <w:rsid w:val="004836D7"/>
    <w:rPr>
      <w:snapToGrid w:val="0"/>
      <w:sz w:val="24"/>
      <w:lang w:eastAsia="en-US"/>
    </w:rPr>
  </w:style>
  <w:style w:type="character" w:styleId="CommentReference">
    <w:name w:val="annotation reference"/>
    <w:basedOn w:val="DefaultParagraphFont"/>
    <w:unhideWhenUsed/>
    <w:rsid w:val="004836D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836D7"/>
    <w:rPr>
      <w:snapToGrid w:val="0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rsid w:val="004836D7"/>
    <w:rPr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836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36D7"/>
    <w:rPr>
      <w:b/>
      <w:bCs/>
      <w:snapToGrid w:val="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36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4836D7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836D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E60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860/637445" TargetMode="External"/><Relationship Id="rId13" Type="http://schemas.openxmlformats.org/officeDocument/2006/relationships/hyperlink" Target="http://data.europa.eu/eli/dir/2003/96/oj" TargetMode="External"/><Relationship Id="rId18" Type="http://schemas.openxmlformats.org/officeDocument/2006/relationships/hyperlink" Target="http://data.europa.eu/eli/dir/2022/2523/oj" TargetMode="External"/><Relationship Id="rId3" Type="http://schemas.openxmlformats.org/officeDocument/2006/relationships/hyperlink" Target="http://data.europa.eu/eli/dir/2022/2523/oj" TargetMode="External"/><Relationship Id="rId21" Type="http://schemas.openxmlformats.org/officeDocument/2006/relationships/hyperlink" Target="http://data.europa.eu/eli/dir/2016/1164/oj" TargetMode="External"/><Relationship Id="rId7" Type="http://schemas.openxmlformats.org/officeDocument/2006/relationships/hyperlink" Target="http://data.europa.eu/eli/C/2024/4165/oj" TargetMode="External"/><Relationship Id="rId12" Type="http://schemas.openxmlformats.org/officeDocument/2006/relationships/hyperlink" Target="https://data.europa.eu/doi/10.2873/180570" TargetMode="External"/><Relationship Id="rId17" Type="http://schemas.openxmlformats.org/officeDocument/2006/relationships/hyperlink" Target="http://data.europa.eu/eli/dir/2006/112/oj" TargetMode="External"/><Relationship Id="rId2" Type="http://schemas.openxmlformats.org/officeDocument/2006/relationships/hyperlink" Target="http://data.europa.eu/eli/dir/2011/96/oj" TargetMode="External"/><Relationship Id="rId16" Type="http://schemas.openxmlformats.org/officeDocument/2006/relationships/hyperlink" Target="http://data.europa.eu/eli/dir/2008/9/oj" TargetMode="External"/><Relationship Id="rId20" Type="http://schemas.openxmlformats.org/officeDocument/2006/relationships/hyperlink" Target="http://data.europa.eu/eli/dir/2011/16/oj" TargetMode="External"/><Relationship Id="rId1" Type="http://schemas.openxmlformats.org/officeDocument/2006/relationships/hyperlink" Target="http://data.europa.eu/eli/dir/2003/49/oj" TargetMode="External"/><Relationship Id="rId6" Type="http://schemas.openxmlformats.org/officeDocument/2006/relationships/hyperlink" Target="http://data.europa.eu/eli/C/2024/492/oj" TargetMode="External"/><Relationship Id="rId11" Type="http://schemas.openxmlformats.org/officeDocument/2006/relationships/hyperlink" Target="https://data.europa.eu/doi/10.2778/10846" TargetMode="External"/><Relationship Id="rId5" Type="http://schemas.openxmlformats.org/officeDocument/2006/relationships/hyperlink" Target="http://data.europa.eu/eli/dir/2025/50/oj" TargetMode="External"/><Relationship Id="rId15" Type="http://schemas.openxmlformats.org/officeDocument/2006/relationships/hyperlink" Target="http://data.europa.eu/eli/dir/2025/516/oj" TargetMode="External"/><Relationship Id="rId23" Type="http://schemas.openxmlformats.org/officeDocument/2006/relationships/hyperlink" Target="http://data.europa.eu/eli/dir/2021/514/oj" TargetMode="External"/><Relationship Id="rId10" Type="http://schemas.openxmlformats.org/officeDocument/2006/relationships/hyperlink" Target="https://ec.europa.eu/commission/presscorner/detail/en/qanda_22_7519" TargetMode="External"/><Relationship Id="rId19" Type="http://schemas.openxmlformats.org/officeDocument/2006/relationships/hyperlink" Target="http://data.europa.eu/eli/dir/2025/50/oj" TargetMode="External"/><Relationship Id="rId4" Type="http://schemas.openxmlformats.org/officeDocument/2006/relationships/hyperlink" Target="https://data.europa.eu/doi/10.2873/180570" TargetMode="External"/><Relationship Id="rId9" Type="http://schemas.openxmlformats.org/officeDocument/2006/relationships/hyperlink" Target="https://data.europa.eu/doi/10.2778/2476549" TargetMode="External"/><Relationship Id="rId14" Type="http://schemas.openxmlformats.org/officeDocument/2006/relationships/hyperlink" Target="http://data.europa.eu/eli/dir/2021/2101/oj" TargetMode="External"/><Relationship Id="rId22" Type="http://schemas.openxmlformats.org/officeDocument/2006/relationships/hyperlink" Target="http://data.europa.eu/eli/dir/2018/8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6883</Words>
  <Characters>40894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2025-11-05T15:28:00Z</dcterms:created>
  <dcterms:modified xsi:type="dcterms:W3CDTF">2025-11-05T15:28:00Z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A10-0155/2025</vt:lpwstr>
  </property>
  <property fmtid="{D5CDD505-2E9C-101B-9397-08002B2CF9AE}" pid="4" name="&lt;Type&gt;">
    <vt:lpwstr>RR</vt:lpwstr>
  </property>
</Properties>
</file>