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126C" w14:paraId="6C8862A1" w14:textId="77777777" w:rsidTr="0010095E">
        <w:trPr>
          <w:trHeight w:hRule="exact" w:val="1418"/>
        </w:trPr>
        <w:tc>
          <w:tcPr>
            <w:tcW w:w="6804" w:type="dxa"/>
            <w:shd w:val="clear" w:color="auto" w:fill="auto"/>
            <w:vAlign w:val="center"/>
          </w:tcPr>
          <w:p w14:paraId="6A017AD1" w14:textId="77777777" w:rsidR="00751A4A" w:rsidRPr="0081126C" w:rsidRDefault="00A76C74" w:rsidP="0010095E">
            <w:pPr>
              <w:pStyle w:val="EPName"/>
            </w:pPr>
            <w:r w:rsidRPr="0081126C">
              <w:t>Ευρωπαϊκό Κοινοβούλιο</w:t>
            </w:r>
          </w:p>
          <w:p w14:paraId="55D18AE0" w14:textId="77777777" w:rsidR="00751A4A" w:rsidRPr="0081126C" w:rsidRDefault="005F1B17" w:rsidP="005F1B17">
            <w:pPr>
              <w:pStyle w:val="EPTerm"/>
              <w:rPr>
                <w:rStyle w:val="HideTWBExt"/>
                <w:noProof w:val="0"/>
                <w:vanish w:val="0"/>
                <w:color w:val="auto"/>
              </w:rPr>
            </w:pPr>
            <w:r w:rsidRPr="0081126C">
              <w:t>2024</w:t>
            </w:r>
            <w:r w:rsidR="00817416" w:rsidRPr="0081126C">
              <w:t>-202</w:t>
            </w:r>
            <w:r w:rsidRPr="0081126C">
              <w:t>9</w:t>
            </w:r>
          </w:p>
        </w:tc>
        <w:tc>
          <w:tcPr>
            <w:tcW w:w="2268" w:type="dxa"/>
            <w:shd w:val="clear" w:color="auto" w:fill="auto"/>
          </w:tcPr>
          <w:p w14:paraId="62C9A33E" w14:textId="77777777" w:rsidR="00751A4A" w:rsidRPr="0081126C" w:rsidRDefault="00187494" w:rsidP="0010095E">
            <w:pPr>
              <w:pStyle w:val="EPLogo"/>
            </w:pPr>
            <w:r w:rsidRPr="0081126C">
              <w:rPr>
                <w:noProof/>
                <w:lang w:eastAsia="ja-JP"/>
              </w:rPr>
              <w:drawing>
                <wp:inline distT="0" distB="0" distL="0" distR="0" wp14:anchorId="66604C74" wp14:editId="1761F4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3CA3EA" w14:textId="77777777" w:rsidR="00D058B8" w:rsidRPr="0081126C" w:rsidRDefault="00D058B8" w:rsidP="004C5D52">
      <w:pPr>
        <w:pStyle w:val="LineTop"/>
      </w:pPr>
    </w:p>
    <w:p w14:paraId="7C69115C" w14:textId="77777777" w:rsidR="00680577" w:rsidRPr="0081126C" w:rsidRDefault="00A76C74" w:rsidP="00680577">
      <w:pPr>
        <w:pStyle w:val="EPBodyTA1"/>
      </w:pPr>
      <w:r w:rsidRPr="0081126C">
        <w:t>ΚΕΙΜΕΝΑ ΠΟΥ ΕΓΚΡΙΘΗΚΑΝ</w:t>
      </w:r>
    </w:p>
    <w:p w14:paraId="65CBEFF4" w14:textId="77777777" w:rsidR="00D058B8" w:rsidRPr="0081126C" w:rsidRDefault="00D058B8" w:rsidP="00D058B8">
      <w:pPr>
        <w:pStyle w:val="LineBottom"/>
      </w:pPr>
    </w:p>
    <w:p w14:paraId="5BC15575" w14:textId="3603EB01" w:rsidR="00A76C74" w:rsidRPr="0081126C" w:rsidRDefault="00A76C74" w:rsidP="00A76C74">
      <w:pPr>
        <w:pStyle w:val="ATHeading1"/>
      </w:pPr>
      <w:bookmarkStart w:id="0" w:name="TANumber"/>
      <w:r w:rsidRPr="0081126C">
        <w:t>P10_TA(2025)0</w:t>
      </w:r>
      <w:r w:rsidR="0081126C">
        <w:t>227</w:t>
      </w:r>
      <w:bookmarkEnd w:id="0"/>
    </w:p>
    <w:p w14:paraId="22F83FF9" w14:textId="346F0E7C" w:rsidR="00A76C74" w:rsidRPr="0081126C" w:rsidRDefault="00E50728" w:rsidP="00A76C74">
      <w:pPr>
        <w:pStyle w:val="ATHeading2"/>
      </w:pPr>
      <w:bookmarkStart w:id="1" w:name="title"/>
      <w:r w:rsidRPr="0081126C">
        <w:t>Ο ρόλος των απλών φορολογικών κανόνων και του φορολογικού κατακερματισμού στην ευρωπαϊκή ανταγωνιστικότητα</w:t>
      </w:r>
      <w:bookmarkEnd w:id="1"/>
    </w:p>
    <w:p w14:paraId="28BAFE76" w14:textId="77777777" w:rsidR="00A76C74" w:rsidRPr="0081126C" w:rsidRDefault="00A76C74" w:rsidP="00A76C74">
      <w:pPr>
        <w:rPr>
          <w:i/>
          <w:vanish/>
        </w:rPr>
      </w:pPr>
      <w:r w:rsidRPr="0081126C">
        <w:rPr>
          <w:i/>
        </w:rPr>
        <w:fldChar w:fldCharType="begin"/>
      </w:r>
      <w:r w:rsidRPr="0081126C">
        <w:rPr>
          <w:i/>
        </w:rPr>
        <w:instrText xml:space="preserve"> TC"(</w:instrText>
      </w:r>
      <w:bookmarkStart w:id="2" w:name="DocNumber"/>
      <w:r w:rsidRPr="0081126C">
        <w:rPr>
          <w:i/>
        </w:rPr>
        <w:instrText>A10-0155/2025</w:instrText>
      </w:r>
      <w:bookmarkEnd w:id="2"/>
      <w:r w:rsidRPr="0081126C">
        <w:rPr>
          <w:i/>
        </w:rPr>
        <w:instrText xml:space="preserve"> - Εισηγητής: Μιχάλης Χατζηπαντέλα)"\l3 \n&gt; \* MERGEFORMAT </w:instrText>
      </w:r>
      <w:r w:rsidRPr="0081126C">
        <w:rPr>
          <w:i/>
        </w:rPr>
        <w:fldChar w:fldCharType="end"/>
      </w:r>
    </w:p>
    <w:p w14:paraId="28C0C7E4" w14:textId="77777777" w:rsidR="00A76C74" w:rsidRPr="0081126C" w:rsidRDefault="00A76C74" w:rsidP="00A76C74">
      <w:pPr>
        <w:rPr>
          <w:vanish/>
        </w:rPr>
      </w:pPr>
      <w:bookmarkStart w:id="3" w:name="Commission"/>
      <w:r w:rsidRPr="0081126C">
        <w:rPr>
          <w:vanish/>
        </w:rPr>
        <w:t>Επιτροπή Οικονομικής και Νομισματικής Πολιτικής</w:t>
      </w:r>
      <w:bookmarkEnd w:id="3"/>
    </w:p>
    <w:p w14:paraId="06C13333" w14:textId="77777777" w:rsidR="00A76C74" w:rsidRPr="0081126C" w:rsidRDefault="00A76C74" w:rsidP="00A76C74">
      <w:pPr>
        <w:rPr>
          <w:vanish/>
        </w:rPr>
      </w:pPr>
      <w:bookmarkStart w:id="4" w:name="PE"/>
      <w:r w:rsidRPr="0081126C">
        <w:rPr>
          <w:vanish/>
        </w:rPr>
        <w:t>PE770.261</w:t>
      </w:r>
      <w:bookmarkEnd w:id="4"/>
    </w:p>
    <w:p w14:paraId="3CD5D5F0" w14:textId="67A8D26D" w:rsidR="00A76C74" w:rsidRPr="0081126C" w:rsidRDefault="00A76C74" w:rsidP="00A76C74">
      <w:pPr>
        <w:pStyle w:val="ATHeading3"/>
      </w:pPr>
      <w:bookmarkStart w:id="5" w:name="Sujet"/>
      <w:r w:rsidRPr="0081126C">
        <w:t xml:space="preserve">Ψήφισμα του Ευρωπαϊκού Κοινοβουλίου </w:t>
      </w:r>
      <w:r w:rsidR="004D6FE8" w:rsidRPr="0081126C">
        <w:t xml:space="preserve">της </w:t>
      </w:r>
      <w:r w:rsidR="00E50728" w:rsidRPr="0081126C">
        <w:t>9</w:t>
      </w:r>
      <w:r w:rsidR="004D6FE8" w:rsidRPr="0081126C">
        <w:t xml:space="preserve">ης Οκτωβρίου 2025 </w:t>
      </w:r>
      <w:r w:rsidRPr="0081126C">
        <w:t>σχετικά με τον ρόλο των απλών φορολογικών κανόνων και του φορολογικού κατακερματισμού στην ευρωπαϊκή ανταγωνιστικότητα</w:t>
      </w:r>
      <w:bookmarkEnd w:id="5"/>
      <w:r w:rsidRPr="0081126C">
        <w:t xml:space="preserve"> </w:t>
      </w:r>
      <w:bookmarkStart w:id="6" w:name="References"/>
      <w:r w:rsidRPr="0081126C">
        <w:t>(2024/2118(INI))</w:t>
      </w:r>
      <w:bookmarkEnd w:id="6"/>
    </w:p>
    <w:p w14:paraId="718A432B" w14:textId="77777777" w:rsidR="0088224E" w:rsidRPr="0081126C" w:rsidRDefault="0088224E" w:rsidP="0088224E">
      <w:pPr>
        <w:pStyle w:val="EPComma"/>
      </w:pPr>
      <w:r w:rsidRPr="0081126C">
        <w:rPr>
          <w:rStyle w:val="Italic"/>
        </w:rPr>
        <w:t>Το Ευρωπαϊκό Κοινοβούλιο,</w:t>
      </w:r>
    </w:p>
    <w:p w14:paraId="603FCBE5" w14:textId="77777777" w:rsidR="0088224E" w:rsidRPr="0081126C" w:rsidRDefault="0088224E" w:rsidP="004D6FE8">
      <w:pPr>
        <w:pStyle w:val="NormalHanging12a"/>
      </w:pPr>
      <w:r w:rsidRPr="0081126C">
        <w:t>–</w:t>
      </w:r>
      <w:r w:rsidRPr="0081126C">
        <w:tab/>
        <w:t>έχοντας υπόψη τη Συνθήκη για τη λειτουργία της Ευρωπαϊκής Ένωσης, και ιδίως το άρθρο 4 και τα άρθρα 63 έως 66 σχετικά με τις αρχές της εσωτερικής αγοράς, της ελεύθερης κυκλοφορίας των εμπορευμάτων, των υπηρεσιών, των κεφαλαίων και των προσώπων, καθώς και τα άρθρα 113, 114 και 115,</w:t>
      </w:r>
    </w:p>
    <w:p w14:paraId="0A7DF307" w14:textId="77777777" w:rsidR="0088224E" w:rsidRPr="0081126C" w:rsidRDefault="0088224E" w:rsidP="004D6FE8">
      <w:pPr>
        <w:pStyle w:val="NormalHanging12a"/>
      </w:pPr>
      <w:r w:rsidRPr="0081126C">
        <w:t>–</w:t>
      </w:r>
      <w:r w:rsidRPr="0081126C">
        <w:tab/>
        <w:t>έχοντας υπόψη την οδηγία 2003/49/ΕΚ του Συμβουλίου, της 3ης Ιουνίου 2003, για την καθιέρωση κοινού συστήματος φορολόγησης των τόκων και των δικαιωμάτων που καταβάλλονται μεταξύ συνδεδεμένων εταιρειών διαφορετικών κρατών μελών</w:t>
      </w:r>
      <w:r w:rsidRPr="0081126C">
        <w:rPr>
          <w:rStyle w:val="FootnoteReference"/>
        </w:rPr>
        <w:footnoteReference w:id="1"/>
      </w:r>
      <w:r w:rsidRPr="0081126C">
        <w:t xml:space="preserve"> (οδηγία για τους τόκους και τα δικαιώματα),</w:t>
      </w:r>
    </w:p>
    <w:p w14:paraId="1CE0F710" w14:textId="77777777" w:rsidR="0088224E" w:rsidRPr="0081126C" w:rsidRDefault="0088224E" w:rsidP="004D6FE8">
      <w:pPr>
        <w:pStyle w:val="NormalHanging12a"/>
      </w:pPr>
      <w:r w:rsidRPr="0081126C">
        <w:t>–</w:t>
      </w:r>
      <w:r w:rsidRPr="0081126C">
        <w:tab/>
        <w:t>έχοντας υπόψη την οδηγία 2011/96/ΕΕ του Συμβουλίου, της 30ής Νοεμβρίου 2011, σχετικά με το κοινό φορολογικό καθεστώς το οποίο ισχύει για τις μητρικές και τις θυγατρικές εταιρείες διαφορετικών κρατών μελών</w:t>
      </w:r>
      <w:r w:rsidRPr="0081126C">
        <w:rPr>
          <w:rStyle w:val="FootnoteReference"/>
        </w:rPr>
        <w:footnoteReference w:id="2"/>
      </w:r>
      <w:r w:rsidRPr="0081126C">
        <w:t xml:space="preserve"> (οδηγία για τις μητρικές και θυγατρικές εταιρείες),</w:t>
      </w:r>
    </w:p>
    <w:p w14:paraId="7D72D808" w14:textId="3EC50C37" w:rsidR="0088224E" w:rsidRPr="0081126C" w:rsidRDefault="0088224E" w:rsidP="004D6FE8">
      <w:pPr>
        <w:pStyle w:val="NormalHanging12a"/>
      </w:pPr>
      <w:r w:rsidRPr="0081126C">
        <w:t>–</w:t>
      </w:r>
      <w:r w:rsidRPr="0081126C">
        <w:tab/>
        <w:t>έχοντας υπόψη την οδηγία (EE) 2022/2523 του Συμβουλίου, της 14ης Δεκεμβρίου 2022, σχετικά με την εξασφάλιση παγκόσμιου ελάχιστου επιπέδου φορολογίας (15</w:t>
      </w:r>
      <w:r w:rsidR="004D6FE8" w:rsidRPr="0081126C">
        <w:t> </w:t>
      </w:r>
      <w:r w:rsidRPr="0081126C">
        <w:t>%) των ομίλων πολυεθνικών επιχειρήσεων και των εγχώριων ομίλων μεγάλης κλίμακας στην Ένωση, η οποία αποτελεί την απάντηση της ΕE</w:t>
      </w:r>
      <w:r w:rsidRPr="0081126C">
        <w:rPr>
          <w:rStyle w:val="FootnoteReference"/>
        </w:rPr>
        <w:footnoteReference w:id="3"/>
      </w:r>
      <w:r w:rsidRPr="0081126C">
        <w:t xml:space="preserve"> στον διεθνή φορολογικό συντονισμό,</w:t>
      </w:r>
    </w:p>
    <w:p w14:paraId="39D6A617" w14:textId="77777777" w:rsidR="0088224E" w:rsidRPr="0081126C" w:rsidRDefault="0088224E" w:rsidP="004D6FE8">
      <w:pPr>
        <w:pStyle w:val="NormalHanging12a"/>
      </w:pPr>
      <w:r w:rsidRPr="0081126C">
        <w:t>–</w:t>
      </w:r>
      <w:r w:rsidRPr="0081126C">
        <w:tab/>
        <w:t>έχοντας υπόψη τις συνεχιζόμενες εξελίξεις όσον αφορά τη λύση των δύο πυλώνων της ΕΕ για την αντιμετώπιση των φορολογικών προκλήσεων που προκύπτουν από την ψηφιοποίηση της οικονομίας,</w:t>
      </w:r>
    </w:p>
    <w:p w14:paraId="7AAE8B81" w14:textId="6E080DB2" w:rsidR="0088224E" w:rsidRPr="0081126C" w:rsidRDefault="0088224E" w:rsidP="004D6FE8">
      <w:pPr>
        <w:pStyle w:val="NormalHanging12a"/>
      </w:pPr>
      <w:r w:rsidRPr="0081126C">
        <w:t>–</w:t>
      </w:r>
      <w:r w:rsidRPr="0081126C">
        <w:tab/>
        <w:t xml:space="preserve">έχοντας υπόψη τις τελικές εκθέσεις του Οκτωβρίου </w:t>
      </w:r>
      <w:r w:rsidR="004D6FE8" w:rsidRPr="0081126C">
        <w:t xml:space="preserve">του </w:t>
      </w:r>
      <w:r w:rsidRPr="0081126C">
        <w:t xml:space="preserve">2015 που δημοσίευσε ο Οργανισμός Οικονομικής Συνεργασίας και Ανάπτυξης (ΟΟΣΑ) σχετικά με το σχέδιο </w:t>
      </w:r>
      <w:r w:rsidRPr="0081126C">
        <w:lastRenderedPageBreak/>
        <w:t>των ΟΟΣΑ/G20 για τη διάβρωση της φορολογικής βάσης και τη μετατόπιση των κερδών (BEPS),</w:t>
      </w:r>
    </w:p>
    <w:p w14:paraId="152ADB30" w14:textId="50C42E9A" w:rsidR="0088224E" w:rsidRPr="0081126C" w:rsidRDefault="0088224E" w:rsidP="004D6FE8">
      <w:pPr>
        <w:pStyle w:val="NormalHanging12a"/>
      </w:pPr>
      <w:r w:rsidRPr="0081126C">
        <w:t>–</w:t>
      </w:r>
      <w:r w:rsidRPr="0081126C">
        <w:tab/>
        <w:t>έχοντας υπόψη τις εκθέσεις σχετικά με τα σχέδια του πρώτου και του δεύτερου πυλώνα που εγκρίθηκαν από το πλαίσιο χωρίς αποκλεισμούς των ΟΟΣΑ/G20 στις 14</w:t>
      </w:r>
      <w:r w:rsidR="004D6FE8" w:rsidRPr="0081126C">
        <w:t> </w:t>
      </w:r>
      <w:r w:rsidRPr="0081126C">
        <w:t>Οκτωβρίου 2020, καθώς και τα αποτελέσματα της οικονομικής ανάλυσης και της εκτίμησης επιπτώσεων του ΟΟΣΑ, της 12ης Οκτωβρίου 2020, με τίτλο «</w:t>
      </w:r>
      <w:proofErr w:type="spellStart"/>
      <w:r w:rsidRPr="0081126C">
        <w:t>Tax</w:t>
      </w:r>
      <w:proofErr w:type="spellEnd"/>
      <w:r w:rsidRPr="0081126C">
        <w:t xml:space="preserve"> </w:t>
      </w:r>
      <w:proofErr w:type="spellStart"/>
      <w:r w:rsidRPr="0081126C">
        <w:t>Challenges</w:t>
      </w:r>
      <w:proofErr w:type="spellEnd"/>
      <w:r w:rsidRPr="0081126C">
        <w:t xml:space="preserve"> </w:t>
      </w:r>
      <w:proofErr w:type="spellStart"/>
      <w:r w:rsidRPr="0081126C">
        <w:t>Arising</w:t>
      </w:r>
      <w:proofErr w:type="spellEnd"/>
      <w:r w:rsidRPr="0081126C">
        <w:t xml:space="preserve"> </w:t>
      </w:r>
      <w:proofErr w:type="spellStart"/>
      <w:r w:rsidRPr="0081126C">
        <w:t>from</w:t>
      </w:r>
      <w:proofErr w:type="spellEnd"/>
      <w:r w:rsidRPr="0081126C">
        <w:t xml:space="preserve"> </w:t>
      </w:r>
      <w:proofErr w:type="spellStart"/>
      <w:r w:rsidRPr="0081126C">
        <w:t>Digitalisation</w:t>
      </w:r>
      <w:proofErr w:type="spellEnd"/>
      <w:r w:rsidRPr="0081126C">
        <w:t xml:space="preserve"> – Economic </w:t>
      </w:r>
      <w:proofErr w:type="spellStart"/>
      <w:r w:rsidRPr="0081126C">
        <w:t>Impact</w:t>
      </w:r>
      <w:proofErr w:type="spellEnd"/>
      <w:r w:rsidRPr="0081126C">
        <w:t xml:space="preserve"> </w:t>
      </w:r>
      <w:proofErr w:type="spellStart"/>
      <w:r w:rsidRPr="0081126C">
        <w:t>Assessment</w:t>
      </w:r>
      <w:proofErr w:type="spellEnd"/>
      <w:r w:rsidRPr="0081126C">
        <w:t>» (Φορολογικές προκλήσεις που προκύπτουν από την ψηφιοποίηση – Εκτίμηση οικονομικών επιπτώσεων),</w:t>
      </w:r>
    </w:p>
    <w:p w14:paraId="282775B7" w14:textId="77777777" w:rsidR="0088224E" w:rsidRPr="0081126C" w:rsidRDefault="0088224E" w:rsidP="004D6FE8">
      <w:pPr>
        <w:pStyle w:val="NormalHanging12a"/>
      </w:pPr>
      <w:r w:rsidRPr="0081126C">
        <w:t>–</w:t>
      </w:r>
      <w:r w:rsidRPr="0081126C">
        <w:tab/>
        <w:t>έχοντας υπόψη τη δήλωση του χωρίς αποκλεισμούς πλαισίου των ΟΟΣΑ/G20 για την BEPS της 8ης Οκτωβρίου 2021 με τίτλο «Δήλωση σχετικά με μια λύση δύο πυλώνων για την αντιμετώπιση των φορολογικών προκλήσεων που προκύπτουν από την ψηφιοποίηση της οικονομίας»·</w:t>
      </w:r>
    </w:p>
    <w:p w14:paraId="0CDBA694" w14:textId="77777777" w:rsidR="0088224E" w:rsidRPr="0081126C" w:rsidRDefault="0088224E" w:rsidP="004D6FE8">
      <w:pPr>
        <w:pStyle w:val="NormalHanging12a"/>
      </w:pPr>
      <w:r w:rsidRPr="0081126C">
        <w:t>–</w:t>
      </w:r>
      <w:r w:rsidRPr="0081126C">
        <w:tab/>
        <w:t>έχοντας υπόψη τους πρότυπους κανόνες του δεύτερου πυλώνα του πλαισίου χωρίς αποκλεισμούς των ΟΟΣΑ/G20 για την BEPS, της 20ής Δεκεμβρίου 2021, για την εγχώρια εφαρμογή παγκόσμιου ελάχιστου φόρου 15 %,</w:t>
      </w:r>
    </w:p>
    <w:p w14:paraId="61923EF9" w14:textId="77777777" w:rsidR="0088224E" w:rsidRPr="0081126C" w:rsidRDefault="0088224E" w:rsidP="004D6FE8">
      <w:pPr>
        <w:pStyle w:val="NormalHanging12a"/>
      </w:pPr>
      <w:r w:rsidRPr="0081126C">
        <w:t>–</w:t>
      </w:r>
      <w:r w:rsidRPr="0081126C">
        <w:tab/>
        <w:t>έχοντας υπόψη τις διατάξεις 117-169 του δημόσιου δικαίου των Ηνωμένων Πολιτειών της 16ης Αυγούστου 2022, γνωστές ως νόμος για τη μείωση του πληθωρισμού,</w:t>
      </w:r>
    </w:p>
    <w:p w14:paraId="4286D409" w14:textId="6D2F2E74" w:rsidR="0088224E" w:rsidRPr="0081126C" w:rsidRDefault="0088224E" w:rsidP="004D6FE8">
      <w:pPr>
        <w:pStyle w:val="NormalHanging12a"/>
      </w:pPr>
      <w:r w:rsidRPr="0081126C">
        <w:t>–</w:t>
      </w:r>
      <w:r w:rsidRPr="0081126C">
        <w:tab/>
        <w:t xml:space="preserve">έχοντας υπόψη τη δήλωση των ηγετών της G20 στο Ρίο ντε </w:t>
      </w:r>
      <w:proofErr w:type="spellStart"/>
      <w:r w:rsidRPr="0081126C">
        <w:t>Τζανέιρο</w:t>
      </w:r>
      <w:proofErr w:type="spellEnd"/>
      <w:r w:rsidRPr="0081126C">
        <w:t>, της 19ης</w:t>
      </w:r>
      <w:r w:rsidR="004D6FE8" w:rsidRPr="0081126C">
        <w:t> </w:t>
      </w:r>
      <w:r w:rsidRPr="0081126C">
        <w:t xml:space="preserve">Νοεμβρίου 2024, και την υπουργική δήλωση της G20 του Ρίο ντε </w:t>
      </w:r>
      <w:proofErr w:type="spellStart"/>
      <w:r w:rsidRPr="0081126C">
        <w:t>Τζανέιρο</w:t>
      </w:r>
      <w:proofErr w:type="spellEnd"/>
      <w:r w:rsidRPr="0081126C">
        <w:t xml:space="preserve"> σχετικά με τη διεθνή φορολογική συνεργασία, της 25ης Ιουλίου 2024,</w:t>
      </w:r>
    </w:p>
    <w:p w14:paraId="49814798" w14:textId="77777777" w:rsidR="0088224E" w:rsidRPr="0081126C" w:rsidRDefault="0088224E" w:rsidP="004D6FE8">
      <w:pPr>
        <w:pStyle w:val="NormalHanging12a"/>
      </w:pPr>
      <w:r w:rsidRPr="0081126C">
        <w:t>–</w:t>
      </w:r>
      <w:r w:rsidRPr="0081126C">
        <w:tab/>
        <w:t>έχοντας υπόψη το ψήφισμα 79/235 της Γενικής Συνέλευσης των Ηνωμένων Εθνών, της 24ης Δεκεμβρίου 2024, σχετικά με την προώθηση της αποτελεσματικής διεθνούς φορολογικής συνεργασίας χωρίς αποκλεισμούς στα Ηνωμένα Έθνη,</w:t>
      </w:r>
    </w:p>
    <w:p w14:paraId="7FA46263" w14:textId="46161293" w:rsidR="0088224E" w:rsidRPr="0081126C" w:rsidRDefault="0088224E" w:rsidP="004D6FE8">
      <w:pPr>
        <w:pStyle w:val="NormalHanging12a"/>
      </w:pPr>
      <w:r w:rsidRPr="0081126C">
        <w:t>–</w:t>
      </w:r>
      <w:r w:rsidRPr="0081126C">
        <w:tab/>
        <w:t>έχοντας υπόψη την ανακοίνωση της Επιτροπής, της 15ης Ιουλίου 2020, με τίτλο «Σχέδιο δράσης για δίκαιη και απλή φορολόγηση που στηρίζει τη στρατηγική ανάκαμψης» (</w:t>
      </w:r>
      <w:r w:rsidR="004D6FE8" w:rsidRPr="0081126C">
        <w:t>COM(2020)0312</w:t>
      </w:r>
      <w:r w:rsidRPr="0081126C">
        <w:t>),</w:t>
      </w:r>
    </w:p>
    <w:p w14:paraId="605F7DCD" w14:textId="57D363BF" w:rsidR="0088224E" w:rsidRPr="0081126C" w:rsidRDefault="0088224E" w:rsidP="004D6FE8">
      <w:pPr>
        <w:pStyle w:val="NormalHanging12a"/>
      </w:pPr>
      <w:r w:rsidRPr="0081126C">
        <w:t>–</w:t>
      </w:r>
      <w:r w:rsidRPr="0081126C">
        <w:tab/>
        <w:t>έχοντας υπόψη την ανακοίνωση της Επιτροπής, της 18ης Μαΐου 2021, με τίτλο «Φορολογία των επιχειρήσεων για τον 21ο αιώνα» (</w:t>
      </w:r>
      <w:r w:rsidR="004D6FE8" w:rsidRPr="0081126C">
        <w:t>COM(2021)0251</w:t>
      </w:r>
      <w:r w:rsidRPr="0081126C">
        <w:t>),</w:t>
      </w:r>
    </w:p>
    <w:p w14:paraId="4A6A1BD5" w14:textId="63A68820" w:rsidR="0088224E" w:rsidRPr="0081126C" w:rsidRDefault="0088224E" w:rsidP="004D6FE8">
      <w:pPr>
        <w:pStyle w:val="NormalHanging12a"/>
      </w:pPr>
      <w:r w:rsidRPr="0081126C">
        <w:t>–</w:t>
      </w:r>
      <w:r w:rsidRPr="0081126C">
        <w:tab/>
        <w:t>έχοντας υπόψη την πρόταση της Επιτροπής, της 22ας Δεκεμβρίου 2021, σχετικά με την οδηγία του Συμβουλίου που αφορά την εξασφάλιση παγκόσμιου ελάχιστου επιπέδου φορολογίας των πολυεθνικών ομίλων στην Ένωση (</w:t>
      </w:r>
      <w:r w:rsidR="004D6FE8" w:rsidRPr="0081126C">
        <w:t>COM(2021)0823</w:t>
      </w:r>
      <w:r w:rsidRPr="0081126C">
        <w:t>), καθώς και τη θέση του Κοινοβουλίου, της 19ης Μαΐου 2022, σχετικά με την πρόταση αυτή</w:t>
      </w:r>
      <w:r w:rsidRPr="0081126C">
        <w:rPr>
          <w:rStyle w:val="FootnoteReference"/>
        </w:rPr>
        <w:footnoteReference w:id="4"/>
      </w:r>
      <w:r w:rsidRPr="0081126C">
        <w:t>,</w:t>
      </w:r>
    </w:p>
    <w:p w14:paraId="63BA859B" w14:textId="77777777" w:rsidR="0088224E" w:rsidRPr="0081126C" w:rsidRDefault="0088224E" w:rsidP="004D6FE8">
      <w:pPr>
        <w:pStyle w:val="NormalHanging12a"/>
      </w:pPr>
      <w:r w:rsidRPr="0081126C">
        <w:t>–</w:t>
      </w:r>
      <w:r w:rsidRPr="0081126C">
        <w:tab/>
        <w:t>έχοντας υπόψη τη μελέτη της Επιτροπής, του Ιανουαρίου του 2022, με τίτλο «</w:t>
      </w:r>
      <w:proofErr w:type="spellStart"/>
      <w:r w:rsidRPr="0081126C">
        <w:t>Tax</w:t>
      </w:r>
      <w:proofErr w:type="spellEnd"/>
      <w:r w:rsidRPr="0081126C">
        <w:t xml:space="preserve"> </w:t>
      </w:r>
      <w:proofErr w:type="spellStart"/>
      <w:r w:rsidRPr="0081126C">
        <w:t>compliance</w:t>
      </w:r>
      <w:proofErr w:type="spellEnd"/>
      <w:r w:rsidRPr="0081126C">
        <w:t xml:space="preserve"> </w:t>
      </w:r>
      <w:proofErr w:type="spellStart"/>
      <w:r w:rsidRPr="0081126C">
        <w:t>costs</w:t>
      </w:r>
      <w:proofErr w:type="spellEnd"/>
      <w:r w:rsidRPr="0081126C">
        <w:t xml:space="preserve"> for </w:t>
      </w:r>
      <w:proofErr w:type="spellStart"/>
      <w:r w:rsidRPr="0081126C">
        <w:t>SMEs</w:t>
      </w:r>
      <w:proofErr w:type="spellEnd"/>
      <w:r w:rsidRPr="0081126C">
        <w:t xml:space="preserve"> – </w:t>
      </w:r>
      <w:proofErr w:type="spellStart"/>
      <w:r w:rsidRPr="0081126C">
        <w:t>An</w:t>
      </w:r>
      <w:proofErr w:type="spellEnd"/>
      <w:r w:rsidRPr="0081126C">
        <w:t xml:space="preserve"> </w:t>
      </w:r>
      <w:proofErr w:type="spellStart"/>
      <w:r w:rsidRPr="0081126C">
        <w:t>update</w:t>
      </w:r>
      <w:proofErr w:type="spellEnd"/>
      <w:r w:rsidRPr="0081126C">
        <w:t xml:space="preserve"> and a </w:t>
      </w:r>
      <w:proofErr w:type="spellStart"/>
      <w:r w:rsidRPr="0081126C">
        <w:t>complement</w:t>
      </w:r>
      <w:proofErr w:type="spellEnd"/>
      <w:r w:rsidRPr="0081126C">
        <w:t xml:space="preserve">: </w:t>
      </w:r>
      <w:proofErr w:type="spellStart"/>
      <w:r w:rsidRPr="0081126C">
        <w:t>final</w:t>
      </w:r>
      <w:proofErr w:type="spellEnd"/>
      <w:r w:rsidRPr="0081126C">
        <w:t xml:space="preserve"> </w:t>
      </w:r>
      <w:proofErr w:type="spellStart"/>
      <w:r w:rsidRPr="0081126C">
        <w:t>report</w:t>
      </w:r>
      <w:proofErr w:type="spellEnd"/>
      <w:r w:rsidRPr="0081126C">
        <w:t xml:space="preserve">» (Κόστος </w:t>
      </w:r>
      <w:r w:rsidRPr="0081126C">
        <w:lastRenderedPageBreak/>
        <w:t>φορολογικής συμμόρφωσης για τις ΜΜΕ – Επικαιροποίηση και συμπλήρωμα: τελική έκθεση)</w:t>
      </w:r>
      <w:r w:rsidRPr="0081126C">
        <w:rPr>
          <w:rStyle w:val="FootnoteReference"/>
        </w:rPr>
        <w:footnoteReference w:id="5"/>
      </w:r>
      <w:r w:rsidRPr="0081126C">
        <w:t>,</w:t>
      </w:r>
    </w:p>
    <w:p w14:paraId="05A4733D" w14:textId="06C1297E" w:rsidR="0088224E" w:rsidRPr="0081126C" w:rsidRDefault="0088224E" w:rsidP="004D6FE8">
      <w:pPr>
        <w:pStyle w:val="NormalHanging12a"/>
      </w:pPr>
      <w:r w:rsidRPr="0081126C">
        <w:t>–</w:t>
      </w:r>
      <w:r w:rsidRPr="0081126C">
        <w:tab/>
        <w:t>έχοντας υπόψη την πρόταση της Επιτροπής, της 11ης Μαΐου 2022, για οδηγία του Συμβουλίου σχετικά με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 (</w:t>
      </w:r>
      <w:r w:rsidR="004D6FE8" w:rsidRPr="0081126C">
        <w:t>COM(2022)0216</w:t>
      </w:r>
      <w:r w:rsidRPr="0081126C">
        <w:t>),</w:t>
      </w:r>
    </w:p>
    <w:p w14:paraId="10E59C2B" w14:textId="3B616F89" w:rsidR="0088224E" w:rsidRPr="0081126C" w:rsidRDefault="0088224E" w:rsidP="004D6FE8">
      <w:pPr>
        <w:pStyle w:val="NormalHanging12a"/>
      </w:pPr>
      <w:r w:rsidRPr="0081126C">
        <w:t>–</w:t>
      </w:r>
      <w:r w:rsidRPr="0081126C">
        <w:tab/>
        <w:t>έχοντας υπόψη την πρόταση της Επιτροπής, της 8ης Δεκεμβρίου 2022, για την τροποποίηση της οδηγίας 2006/112/ΕΚ όσον αφορά τους κανόνες στον τομέα του ΦΠΑ για την ψηφιακή εποχή (</w:t>
      </w:r>
      <w:r w:rsidR="004D6FE8" w:rsidRPr="0081126C">
        <w:t>COM(2022)0701</w:t>
      </w:r>
      <w:r w:rsidRPr="0081126C">
        <w:t>),</w:t>
      </w:r>
    </w:p>
    <w:p w14:paraId="53A4C927" w14:textId="2400AD6B" w:rsidR="0088224E" w:rsidRPr="0081126C" w:rsidRDefault="0088224E" w:rsidP="004D6FE8">
      <w:pPr>
        <w:pStyle w:val="NormalHanging12a"/>
      </w:pPr>
      <w:r w:rsidRPr="0081126C">
        <w:t>–</w:t>
      </w:r>
      <w:r w:rsidRPr="0081126C">
        <w:tab/>
        <w:t>έχοντας υπόψη την πρόταση της Επιτροπής, της 8ης Δεκεμβρίου 2022, για κανονισμό του Συμβουλίου για την τροποποίηση του κανονισμού (ΕΕ) αριθ. 904/2010 όσον αφορά τις απαιτούμενες ρυθμίσεις διοικητικής συνεργασίας στον τομέα του ΦΠΑ για την ψηφιακή εποχή (</w:t>
      </w:r>
      <w:r w:rsidR="004D6FE8" w:rsidRPr="0081126C">
        <w:t>COM(2022)0703</w:t>
      </w:r>
      <w:r w:rsidRPr="0081126C">
        <w:t>),</w:t>
      </w:r>
    </w:p>
    <w:p w14:paraId="73C5CB76" w14:textId="4909A2C2" w:rsidR="0088224E" w:rsidRPr="0081126C" w:rsidRDefault="0088224E" w:rsidP="004D6FE8">
      <w:pPr>
        <w:pStyle w:val="NormalHanging12a"/>
      </w:pPr>
      <w:r w:rsidRPr="0081126C">
        <w:t>–</w:t>
      </w:r>
      <w:r w:rsidRPr="0081126C">
        <w:tab/>
        <w:t>έχοντας υπόψη την πρόταση της Επιτροπής, της 8ης Ιουλίου 2024, για οδηγία του Συμβουλίου για την τροποποίηση της οδηγίας 2006/112/ΕΚ όσον αφορά το ηλεκτρονικό πιστοποιητικό απαλλαγής από τον φόρο προστιθέμενης αξίας (</w:t>
      </w:r>
      <w:r w:rsidR="004D6FE8" w:rsidRPr="0081126C">
        <w:t>COM(2024)0278</w:t>
      </w:r>
      <w:r w:rsidRPr="0081126C">
        <w:t>),</w:t>
      </w:r>
    </w:p>
    <w:p w14:paraId="061B5619" w14:textId="77777777" w:rsidR="0088224E" w:rsidRPr="0081126C" w:rsidRDefault="0088224E" w:rsidP="004D6FE8">
      <w:pPr>
        <w:pStyle w:val="NormalHanging12a"/>
      </w:pPr>
      <w:r w:rsidRPr="0081126C">
        <w:t>–</w:t>
      </w:r>
      <w:r w:rsidRPr="0081126C">
        <w:tab/>
        <w:t>έχοντας υπόψη τη συμφωνία του Συμβουλίου σχετικά με τη δέσμη μέτρων για τον ΦΠΑ στην ψηφιακή εποχή, της 5ης Νοεμβρίου 2024,</w:t>
      </w:r>
    </w:p>
    <w:p w14:paraId="61C2A3AB" w14:textId="77777777" w:rsidR="0088224E" w:rsidRPr="0081126C" w:rsidRDefault="0088224E" w:rsidP="004D6FE8">
      <w:pPr>
        <w:pStyle w:val="NormalHanging12a"/>
      </w:pPr>
      <w:r w:rsidRPr="0081126C">
        <w:t>–</w:t>
      </w:r>
      <w:r w:rsidRPr="0081126C">
        <w:tab/>
        <w:t>έχοντας υπόψη την οδηγία (ΕΕ) 2025/50 του Συμβουλίου, της 10ης Δεκεμβρίου 2024, σχετικά με την ταχύτερη και ασφαλέστερη ελάφρυνση της υπερβάλλουσας παρακράτησης φόρου</w:t>
      </w:r>
      <w:r w:rsidRPr="0081126C">
        <w:rPr>
          <w:rStyle w:val="FootnoteReference"/>
        </w:rPr>
        <w:footnoteReference w:id="6"/>
      </w:r>
      <w:r w:rsidRPr="0081126C">
        <w:t xml:space="preserve"> (FASTER),</w:t>
      </w:r>
    </w:p>
    <w:p w14:paraId="030DC5DF" w14:textId="11B5D1DC" w:rsidR="0088224E" w:rsidRPr="0081126C" w:rsidRDefault="0088224E" w:rsidP="004D6FE8">
      <w:pPr>
        <w:pStyle w:val="NormalHanging12a"/>
      </w:pPr>
      <w:r w:rsidRPr="0081126C">
        <w:t>–</w:t>
      </w:r>
      <w:r w:rsidRPr="0081126C">
        <w:tab/>
        <w:t>έχοντας υπόψη την πρόταση της Επιτροπής, της 12ης Σεπτεμβρίου 2023, για οδηγία του Συμβουλίου σχετικά με τις επιχειρήσεις στην Ευρώπη: Πλαίσιο για τη φορολογία εισοδήματος (BEFIT) (</w:t>
      </w:r>
      <w:r w:rsidR="004D6FE8" w:rsidRPr="0081126C">
        <w:t>COM(2023)0532</w:t>
      </w:r>
      <w:r w:rsidRPr="0081126C">
        <w:t>),</w:t>
      </w:r>
    </w:p>
    <w:p w14:paraId="426C9AF5" w14:textId="07408F2F" w:rsidR="0088224E" w:rsidRPr="0081126C" w:rsidRDefault="0088224E" w:rsidP="004D6FE8">
      <w:pPr>
        <w:pStyle w:val="NormalHanging12a"/>
      </w:pPr>
      <w:r w:rsidRPr="0081126C">
        <w:t>–</w:t>
      </w:r>
      <w:r w:rsidRPr="0081126C">
        <w:tab/>
        <w:t>έχοντας υπόψη την πρόταση της Επιτροπής, της 12ης Σεπτεμβρίου 2023, για οδηγία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 (</w:t>
      </w:r>
      <w:r w:rsidR="004D6FE8" w:rsidRPr="0081126C">
        <w:t>COM(2023)0528</w:t>
      </w:r>
      <w:r w:rsidRPr="0081126C">
        <w:t>),</w:t>
      </w:r>
    </w:p>
    <w:p w14:paraId="5B818385" w14:textId="52C1C2A2" w:rsidR="0088224E" w:rsidRPr="0081126C" w:rsidRDefault="0088224E" w:rsidP="004D6FE8">
      <w:pPr>
        <w:pStyle w:val="NormalHanging12a"/>
      </w:pPr>
      <w:r w:rsidRPr="0081126C">
        <w:t>–</w:t>
      </w:r>
      <w:r w:rsidRPr="0081126C">
        <w:tab/>
        <w:t>έχοντας υπόψη την πρόταση της Επιτροπής, της 12ης Σεπτεμβρίου 2023, για οδηγία του Συμβουλίου σχετικά με τη μεταβιβαστική τιμολόγηση (</w:t>
      </w:r>
      <w:r w:rsidR="004D6FE8" w:rsidRPr="0081126C">
        <w:t>COM(2023)0529</w:t>
      </w:r>
      <w:r w:rsidRPr="0081126C">
        <w:t>),</w:t>
      </w:r>
    </w:p>
    <w:p w14:paraId="129F5FFC" w14:textId="77777777" w:rsidR="0088224E" w:rsidRPr="0081126C" w:rsidRDefault="0088224E" w:rsidP="004D6FE8">
      <w:pPr>
        <w:pStyle w:val="NormalHanging12a"/>
      </w:pPr>
      <w:r w:rsidRPr="0081126C">
        <w:t>–</w:t>
      </w:r>
      <w:r w:rsidRPr="0081126C">
        <w:tab/>
        <w:t>έχοντας υπόψη τα συμπεράσματα του Ευρωπαϊκού Συμβουλίου, της 17ης και της 18ης Απριλίου 2024, σχετικά με τη νέα ευρωπαϊκή συμφωνία για την ανταγωνιστικότητα,</w:t>
      </w:r>
    </w:p>
    <w:p w14:paraId="0731F1C9" w14:textId="77777777" w:rsidR="0088224E" w:rsidRPr="0081126C" w:rsidRDefault="0088224E" w:rsidP="004D6FE8">
      <w:pPr>
        <w:pStyle w:val="NormalHanging12a"/>
      </w:pPr>
      <w:r w:rsidRPr="0081126C">
        <w:lastRenderedPageBreak/>
        <w:t>–</w:t>
      </w:r>
      <w:r w:rsidRPr="0081126C">
        <w:tab/>
        <w:t>έχοντας υπόψη τα συμπεράσματα του Συμβουλίου, της 24ης Μαΐου 2024, σχετικά με μία ενιαία αγορά προς όφελος όλων,</w:t>
      </w:r>
    </w:p>
    <w:p w14:paraId="22155814" w14:textId="6E54A268" w:rsidR="0088224E" w:rsidRPr="0081126C" w:rsidRDefault="0088224E" w:rsidP="004D6FE8">
      <w:pPr>
        <w:pStyle w:val="NormalHanging12a"/>
      </w:pPr>
      <w:r w:rsidRPr="0081126C">
        <w:t>–</w:t>
      </w:r>
      <w:r w:rsidRPr="0081126C">
        <w:tab/>
        <w:t>έχοντας υπόψη τη Δήλωση της Βουδαπέστης του Ευρωπαϊκού Συμβουλίου σχετικά με τη Νέα Ευρωπαϊκή Συμφωνία για την Ανταγωνιστικότητα, που εγκρίθηκε στις 8</w:t>
      </w:r>
      <w:r w:rsidR="004D6FE8" w:rsidRPr="0081126C">
        <w:t> </w:t>
      </w:r>
      <w:r w:rsidRPr="0081126C">
        <w:t>Νοεμβρίου 2024,</w:t>
      </w:r>
    </w:p>
    <w:p w14:paraId="27E0C99D" w14:textId="77777777" w:rsidR="0088224E" w:rsidRPr="0081126C" w:rsidRDefault="0088224E" w:rsidP="004D6FE8">
      <w:pPr>
        <w:pStyle w:val="NormalHanging12a"/>
      </w:pPr>
      <w:r w:rsidRPr="0081126C">
        <w:t>–</w:t>
      </w:r>
      <w:r w:rsidRPr="0081126C">
        <w:tab/>
        <w:t>έχοντας υπόψη τα συμπεράσματα του Συμβουλίου, της 11ης Μαρτίου 2025, σχετικά με θεματολόγιο αποκάθαρσης και απλούστευσης της φορολογίας που να συμβάλλει στην ανταγωνιστικότητα της ΕΕ,</w:t>
      </w:r>
    </w:p>
    <w:p w14:paraId="75A35769" w14:textId="77777777" w:rsidR="0088224E" w:rsidRPr="0081126C" w:rsidRDefault="0088224E" w:rsidP="004D6FE8">
      <w:pPr>
        <w:pStyle w:val="NormalHanging12a"/>
      </w:pPr>
      <w:r w:rsidRPr="0081126C">
        <w:t>–</w:t>
      </w:r>
      <w:r w:rsidRPr="0081126C">
        <w:tab/>
        <w:t>έχοντας υπόψη τα συμπεράσματα του Ευρωπαϊκού Συμβουλίου της 20ής Μαρτίου 2025 σχετικά με την ανταγωνιστικότητα, με έμφαση στην απλούστευση και τη μείωση του κανονιστικού και διοικητικού φόρτου,</w:t>
      </w:r>
    </w:p>
    <w:p w14:paraId="165D4D02" w14:textId="3FE75CA7" w:rsidR="0088224E" w:rsidRPr="0081126C" w:rsidRDefault="0088224E" w:rsidP="004D6FE8">
      <w:pPr>
        <w:pStyle w:val="NormalHanging12a"/>
      </w:pPr>
      <w:r w:rsidRPr="0081126C">
        <w:t>–</w:t>
      </w:r>
      <w:r w:rsidRPr="0081126C">
        <w:tab/>
        <w:t>έχοντας υπόψη το ψήφισμά του της 16ης Φεβρουαρίου 2022 σχετικά με την εφαρμογή της έκτης οδηγίας ΦΠΑ: τι χρειάζεται για να περιοριστεί το έλλειμμα ΦΠΑ στην ΕΕ</w:t>
      </w:r>
      <w:r w:rsidRPr="0081126C">
        <w:rPr>
          <w:rStyle w:val="FootnoteReference"/>
        </w:rPr>
        <w:footnoteReference w:id="7"/>
      </w:r>
      <w:r w:rsidRPr="0081126C">
        <w:t>,</w:t>
      </w:r>
    </w:p>
    <w:p w14:paraId="146014EE" w14:textId="77777777" w:rsidR="0088224E" w:rsidRPr="0081126C" w:rsidRDefault="0088224E" w:rsidP="004D6FE8">
      <w:pPr>
        <w:pStyle w:val="NormalHanging12a"/>
      </w:pPr>
      <w:r w:rsidRPr="0081126C">
        <w:t>–</w:t>
      </w:r>
      <w:r w:rsidRPr="0081126C">
        <w:tab/>
        <w:t>έχοντας υπόψη το ψήφισμά του της 7ης Οκτωβρίου 2021 σχετικά με τη μεταρρύθμιση της πολιτικής της ΕΕ για τις επιζήμιες φορολογικές πρακτικές (συμπεριλαμβανομένης της μεταρρύθμισης της Ομάδας «Κώδικας δεοντολογίας»)</w:t>
      </w:r>
      <w:r w:rsidRPr="0081126C">
        <w:rPr>
          <w:rStyle w:val="FootnoteReference"/>
        </w:rPr>
        <w:footnoteReference w:id="8"/>
      </w:r>
      <w:r w:rsidRPr="0081126C">
        <w:t>,</w:t>
      </w:r>
    </w:p>
    <w:p w14:paraId="450FA1B6" w14:textId="77777777" w:rsidR="0088224E" w:rsidRPr="0081126C" w:rsidRDefault="0088224E" w:rsidP="004D6FE8">
      <w:pPr>
        <w:pStyle w:val="NormalHanging12a"/>
      </w:pPr>
      <w:r w:rsidRPr="0081126C">
        <w:t>–</w:t>
      </w:r>
      <w:r w:rsidRPr="0081126C">
        <w:tab/>
        <w:t>έχοντας υπόψη το ψήφισμά του της 15ης Φεβρουαρίου 2022 σχετικά με τον αντίκτυπο των εθνικών φορολογικών μεταρρυθμίσεων στην οικονομία της ΕΕ</w:t>
      </w:r>
      <w:r w:rsidRPr="0081126C">
        <w:rPr>
          <w:rStyle w:val="FootnoteReference"/>
        </w:rPr>
        <w:footnoteReference w:id="9"/>
      </w:r>
      <w:r w:rsidRPr="0081126C">
        <w:t>,</w:t>
      </w:r>
    </w:p>
    <w:p w14:paraId="03BBA640" w14:textId="77777777" w:rsidR="0088224E" w:rsidRPr="0081126C" w:rsidRDefault="0088224E" w:rsidP="004D6FE8">
      <w:pPr>
        <w:pStyle w:val="NormalHanging12a"/>
      </w:pPr>
      <w:r w:rsidRPr="0081126C">
        <w:t>–</w:t>
      </w:r>
      <w:r w:rsidRPr="0081126C">
        <w:tab/>
        <w:t>έχοντας υπόψη το ψήφισμά του της 10ης Μαρτίου 2022 σχετικά με ένα ευρωπαϊκό πλαίσιο για την παρακράτηση φόρου</w:t>
      </w:r>
      <w:r w:rsidRPr="0081126C">
        <w:rPr>
          <w:rStyle w:val="FootnoteReference"/>
        </w:rPr>
        <w:footnoteReference w:id="10"/>
      </w:r>
      <w:r w:rsidRPr="0081126C">
        <w:t>, με το οποίο ζητείται ένα τυποποιημένο πλαίσιο για την παρακράτηση φόρου στην πηγή,</w:t>
      </w:r>
    </w:p>
    <w:p w14:paraId="50E5A4A3" w14:textId="77777777" w:rsidR="0088224E" w:rsidRPr="0081126C" w:rsidRDefault="0088224E" w:rsidP="004D6FE8">
      <w:pPr>
        <w:pStyle w:val="NormalHanging12a"/>
      </w:pPr>
      <w:r w:rsidRPr="0081126C">
        <w:t>–</w:t>
      </w:r>
      <w:r w:rsidRPr="0081126C">
        <w:tab/>
        <w:t xml:space="preserve">έχοντας υπόψη το ψήφισμά του της 4ης Οκτωβρίου 2022 σχετικά με τον αντίκτυπο των νέων τεχνολογιών στη φορολογία: </w:t>
      </w:r>
      <w:proofErr w:type="spellStart"/>
      <w:r w:rsidRPr="0081126C">
        <w:t>κρυπτονομίσματα</w:t>
      </w:r>
      <w:proofErr w:type="spellEnd"/>
      <w:r w:rsidRPr="0081126C">
        <w:t xml:space="preserve"> και </w:t>
      </w:r>
      <w:proofErr w:type="spellStart"/>
      <w:r w:rsidRPr="0081126C">
        <w:t>blockchain</w:t>
      </w:r>
      <w:proofErr w:type="spellEnd"/>
      <w:r w:rsidRPr="0081126C">
        <w:rPr>
          <w:rStyle w:val="FootnoteReference"/>
        </w:rPr>
        <w:footnoteReference w:id="11"/>
      </w:r>
      <w:r w:rsidRPr="0081126C">
        <w:t>,</w:t>
      </w:r>
    </w:p>
    <w:p w14:paraId="14E9F4AF" w14:textId="77777777" w:rsidR="0088224E" w:rsidRPr="0081126C" w:rsidRDefault="0088224E" w:rsidP="004D6FE8">
      <w:pPr>
        <w:pStyle w:val="NormalHanging12a"/>
      </w:pPr>
      <w:r w:rsidRPr="0081126C">
        <w:t>–</w:t>
      </w:r>
      <w:r w:rsidRPr="0081126C">
        <w:tab/>
        <w:t>έχοντας υπόψη το ψήφισμά του της 10ης Μαρτίου 2022 με συστάσεις προς την Επιτροπή σχετικά με τη δίκαιη και απλή φορολόγηση για τη στήριξη της στρατηγικής ανάκαμψης (συνέχεια που δίδεται από το ΕΚ στο σχέδιο δράσης της Επιτροπής του Ιουλίου και στις 25 πρωτοβουλίες της στον τομέα του ΦΠΑ, των επιχειρήσεων και της ατομικής φορολόγησης)</w:t>
      </w:r>
      <w:r w:rsidRPr="0081126C">
        <w:rPr>
          <w:rStyle w:val="FootnoteReference"/>
        </w:rPr>
        <w:footnoteReference w:id="12"/>
      </w:r>
      <w:r w:rsidRPr="0081126C">
        <w:t>,</w:t>
      </w:r>
    </w:p>
    <w:p w14:paraId="6E5C8D87" w14:textId="3648ADD0" w:rsidR="0088224E" w:rsidRPr="0081126C" w:rsidRDefault="0088224E" w:rsidP="004D6FE8">
      <w:pPr>
        <w:pStyle w:val="NormalHanging12a"/>
      </w:pPr>
      <w:r w:rsidRPr="0081126C">
        <w:t>–</w:t>
      </w:r>
      <w:r w:rsidRPr="0081126C">
        <w:tab/>
        <w:t>έχοντας υπόψη το ψήφισμά του της 4ης Μαΐου 2022 σχετικά με τη συνέχεια στα συμπεράσματα της Διάσκεψης για το μέλλον της Ευρώπης</w:t>
      </w:r>
      <w:r w:rsidRPr="0081126C">
        <w:rPr>
          <w:rStyle w:val="FootnoteReference"/>
        </w:rPr>
        <w:footnoteReference w:id="13"/>
      </w:r>
      <w:r w:rsidRPr="0081126C">
        <w:t>,</w:t>
      </w:r>
    </w:p>
    <w:p w14:paraId="6FAE5778" w14:textId="1D40E11A" w:rsidR="0088224E" w:rsidRPr="0081126C" w:rsidRDefault="0088224E" w:rsidP="004D6FE8">
      <w:pPr>
        <w:pStyle w:val="NormalHanging12a"/>
      </w:pPr>
      <w:r w:rsidRPr="0081126C">
        <w:t>–</w:t>
      </w:r>
      <w:r w:rsidRPr="0081126C">
        <w:tab/>
        <w:t>έχοντας υπόψη τη μελέτη του Κοινού Κέντρου Ερευνών της Επιτροπής, της 19ης</w:t>
      </w:r>
      <w:r w:rsidR="004D6FE8" w:rsidRPr="0081126C">
        <w:t> </w:t>
      </w:r>
      <w:r w:rsidRPr="0081126C">
        <w:t>Απριλίου 2022, με τίτλο «</w:t>
      </w:r>
      <w:proofErr w:type="spellStart"/>
      <w:r w:rsidRPr="0081126C">
        <w:t>Local</w:t>
      </w:r>
      <w:proofErr w:type="spellEnd"/>
      <w:r w:rsidRPr="0081126C">
        <w:t xml:space="preserve"> </w:t>
      </w:r>
      <w:proofErr w:type="spellStart"/>
      <w:r w:rsidRPr="0081126C">
        <w:t>taxes</w:t>
      </w:r>
      <w:proofErr w:type="spellEnd"/>
      <w:r w:rsidRPr="0081126C">
        <w:t xml:space="preserve"> on </w:t>
      </w:r>
      <w:proofErr w:type="spellStart"/>
      <w:r w:rsidRPr="0081126C">
        <w:t>economic</w:t>
      </w:r>
      <w:proofErr w:type="spellEnd"/>
      <w:r w:rsidRPr="0081126C">
        <w:t xml:space="preserve"> </w:t>
      </w:r>
      <w:proofErr w:type="spellStart"/>
      <w:r w:rsidRPr="0081126C">
        <w:t>activity</w:t>
      </w:r>
      <w:proofErr w:type="spellEnd"/>
      <w:r w:rsidRPr="0081126C">
        <w:t xml:space="preserve"> in </w:t>
      </w:r>
      <w:proofErr w:type="spellStart"/>
      <w:r w:rsidRPr="0081126C">
        <w:t>municipalities</w:t>
      </w:r>
      <w:proofErr w:type="spellEnd"/>
      <w:r w:rsidRPr="0081126C">
        <w:t xml:space="preserve"> in </w:t>
      </w:r>
      <w:r w:rsidRPr="0081126C">
        <w:lastRenderedPageBreak/>
        <w:t xml:space="preserve">EU </w:t>
      </w:r>
      <w:proofErr w:type="spellStart"/>
      <w:r w:rsidRPr="0081126C">
        <w:t>Member</w:t>
      </w:r>
      <w:proofErr w:type="spellEnd"/>
      <w:r w:rsidRPr="0081126C">
        <w:t xml:space="preserve"> States» (Τοπικοί φόροι επί της οικονομικής δραστηριότητας στους δήμους των κρατών μελών της ΕΕ),</w:t>
      </w:r>
    </w:p>
    <w:p w14:paraId="0E5E984C" w14:textId="77777777" w:rsidR="0088224E" w:rsidRPr="0081126C" w:rsidRDefault="0088224E" w:rsidP="004D6FE8">
      <w:pPr>
        <w:pStyle w:val="NormalHanging12a"/>
      </w:pPr>
      <w:r w:rsidRPr="0081126C">
        <w:t>–</w:t>
      </w:r>
      <w:r w:rsidRPr="0081126C">
        <w:tab/>
        <w:t xml:space="preserve">έχοντας υπόψη το ψήφισμά του της 15ης Ιουνίου 2023 σχετικά με τα διδάγματα που αντλήθηκαν από τα </w:t>
      </w:r>
      <w:proofErr w:type="spellStart"/>
      <w:r w:rsidRPr="0081126C">
        <w:t>Pandora</w:t>
      </w:r>
      <w:proofErr w:type="spellEnd"/>
      <w:r w:rsidRPr="0081126C">
        <w:t xml:space="preserve"> </w:t>
      </w:r>
      <w:proofErr w:type="spellStart"/>
      <w:r w:rsidRPr="0081126C">
        <w:t>Papers</w:t>
      </w:r>
      <w:proofErr w:type="spellEnd"/>
      <w:r w:rsidRPr="0081126C">
        <w:t xml:space="preserve"> και τις λοιπές αποκαλύψεις</w:t>
      </w:r>
      <w:r w:rsidRPr="0081126C">
        <w:rPr>
          <w:rStyle w:val="FootnoteReference"/>
        </w:rPr>
        <w:footnoteReference w:id="14"/>
      </w:r>
      <w:r w:rsidRPr="0081126C">
        <w:t>, με το οποίο ζητείται επίσης η βελτίωση της υποβολής εκθέσεων και της ανταλλαγής πληροφοριών,</w:t>
      </w:r>
    </w:p>
    <w:p w14:paraId="5E055F45" w14:textId="77777777" w:rsidR="0088224E" w:rsidRPr="0081126C" w:rsidRDefault="0088224E" w:rsidP="004D6FE8">
      <w:pPr>
        <w:pStyle w:val="NormalHanging12a"/>
      </w:pPr>
      <w:r w:rsidRPr="0081126C">
        <w:t>–</w:t>
      </w:r>
      <w:r w:rsidRPr="0081126C">
        <w:tab/>
        <w:t>έχοντας υπόψη το ψήφισμά του της 12ης Δεκεμβρίου 2023 σχετικά με την περαιτέρω μεταρρύθμιση των κανόνων για τη φορολόγηση των εταιρειών</w:t>
      </w:r>
      <w:r w:rsidRPr="0081126C">
        <w:rPr>
          <w:rStyle w:val="FootnoteReference"/>
        </w:rPr>
        <w:footnoteReference w:id="15"/>
      </w:r>
      <w:r w:rsidRPr="0081126C">
        <w:t>,</w:t>
      </w:r>
    </w:p>
    <w:p w14:paraId="0F24B4BC" w14:textId="77777777" w:rsidR="0088224E" w:rsidRPr="0081126C" w:rsidRDefault="0088224E" w:rsidP="004D6FE8">
      <w:pPr>
        <w:pStyle w:val="NormalHanging12a"/>
      </w:pPr>
      <w:r w:rsidRPr="0081126C">
        <w:t>–</w:t>
      </w:r>
      <w:r w:rsidRPr="0081126C">
        <w:tab/>
        <w:t>έχοντας υπόψη την έκθεση της 9ης Μαΐου 2022 σχετικά με τα τελικά αποτελέσματα της Διάσκεψης για το Μέλλον της Ευρώπης</w:t>
      </w:r>
      <w:r w:rsidRPr="0081126C">
        <w:rPr>
          <w:rStyle w:val="FootnoteReference"/>
        </w:rPr>
        <w:footnoteReference w:id="16"/>
      </w:r>
      <w:r w:rsidRPr="0081126C">
        <w:t>,</w:t>
      </w:r>
    </w:p>
    <w:p w14:paraId="0E363B89" w14:textId="12409721" w:rsidR="0088224E" w:rsidRPr="0081126C" w:rsidRDefault="0088224E" w:rsidP="004D6FE8">
      <w:pPr>
        <w:pStyle w:val="NormalHanging12a"/>
      </w:pPr>
      <w:r w:rsidRPr="0081126C">
        <w:t>–</w:t>
      </w:r>
      <w:r w:rsidRPr="0081126C">
        <w:tab/>
        <w:t xml:space="preserve">έχοντας υπόψη την έκθεση του </w:t>
      </w:r>
      <w:proofErr w:type="spellStart"/>
      <w:r w:rsidRPr="0081126C">
        <w:t>Enrico</w:t>
      </w:r>
      <w:proofErr w:type="spellEnd"/>
      <w:r w:rsidRPr="0081126C">
        <w:t xml:space="preserve"> </w:t>
      </w:r>
      <w:proofErr w:type="spellStart"/>
      <w:r w:rsidRPr="0081126C">
        <w:t>Letta</w:t>
      </w:r>
      <w:proofErr w:type="spellEnd"/>
      <w:r w:rsidRPr="0081126C">
        <w:t xml:space="preserve">, </w:t>
      </w:r>
      <w:r w:rsidR="00304E17">
        <w:t>του</w:t>
      </w:r>
      <w:r w:rsidRPr="0081126C">
        <w:t xml:space="preserve"> Απριλίου 2024, με τίτλο «</w:t>
      </w:r>
      <w:proofErr w:type="spellStart"/>
      <w:r w:rsidRPr="0081126C">
        <w:t>Much</w:t>
      </w:r>
      <w:proofErr w:type="spellEnd"/>
      <w:r w:rsidRPr="0081126C">
        <w:t xml:space="preserve"> </w:t>
      </w:r>
      <w:proofErr w:type="spellStart"/>
      <w:r w:rsidRPr="0081126C">
        <w:t>more</w:t>
      </w:r>
      <w:proofErr w:type="spellEnd"/>
      <w:r w:rsidRPr="0081126C">
        <w:t xml:space="preserve"> </w:t>
      </w:r>
      <w:proofErr w:type="spellStart"/>
      <w:r w:rsidRPr="0081126C">
        <w:t>than</w:t>
      </w:r>
      <w:proofErr w:type="spellEnd"/>
      <w:r w:rsidRPr="0081126C">
        <w:t xml:space="preserve"> a </w:t>
      </w:r>
      <w:proofErr w:type="spellStart"/>
      <w:r w:rsidRPr="0081126C">
        <w:t>market</w:t>
      </w:r>
      <w:proofErr w:type="spellEnd"/>
      <w:r w:rsidRPr="0081126C">
        <w:t>» (Πολύ περισσότερο από μια απλή αγορά)</w:t>
      </w:r>
      <w:r w:rsidRPr="0081126C">
        <w:rPr>
          <w:rStyle w:val="FootnoteReference"/>
        </w:rPr>
        <w:footnoteReference w:id="17"/>
      </w:r>
      <w:r w:rsidRPr="0081126C">
        <w:t>,</w:t>
      </w:r>
    </w:p>
    <w:p w14:paraId="5196A2D4" w14:textId="77777777" w:rsidR="0088224E" w:rsidRPr="0081126C" w:rsidRDefault="0088224E" w:rsidP="004D6FE8">
      <w:pPr>
        <w:pStyle w:val="NormalHanging12a"/>
      </w:pPr>
      <w:r w:rsidRPr="0081126C">
        <w:t>–</w:t>
      </w:r>
      <w:r w:rsidRPr="0081126C">
        <w:tab/>
        <w:t xml:space="preserve">έχοντας υπόψη την έκθεση του </w:t>
      </w:r>
      <w:proofErr w:type="spellStart"/>
      <w:r w:rsidRPr="0081126C">
        <w:t>Mario</w:t>
      </w:r>
      <w:proofErr w:type="spellEnd"/>
      <w:r w:rsidRPr="0081126C">
        <w:t xml:space="preserve"> </w:t>
      </w:r>
      <w:proofErr w:type="spellStart"/>
      <w:r w:rsidRPr="0081126C">
        <w:t>Draghi</w:t>
      </w:r>
      <w:proofErr w:type="spellEnd"/>
      <w:r w:rsidRPr="0081126C">
        <w:t>, της 9ης Σεπτεμβρίου 2024, με τίτλο «Το μέλλον της ευρωπαϊκής ανταγωνιστικότητας»</w:t>
      </w:r>
      <w:r w:rsidRPr="0081126C">
        <w:rPr>
          <w:rStyle w:val="FootnoteReference"/>
        </w:rPr>
        <w:footnoteReference w:id="18"/>
      </w:r>
      <w:r w:rsidRPr="0081126C">
        <w:t>,</w:t>
      </w:r>
    </w:p>
    <w:p w14:paraId="1AF1715D" w14:textId="77777777" w:rsidR="0088224E" w:rsidRPr="0081126C" w:rsidRDefault="0088224E" w:rsidP="004D6FE8">
      <w:pPr>
        <w:pStyle w:val="NormalHanging12a"/>
      </w:pPr>
      <w:r w:rsidRPr="0081126C">
        <w:t>–</w:t>
      </w:r>
      <w:r w:rsidRPr="0081126C">
        <w:tab/>
        <w:t>έχοντας υπόψη το άρθρο 55 του Κανονισμού του,</w:t>
      </w:r>
    </w:p>
    <w:p w14:paraId="3B96C82A" w14:textId="77777777" w:rsidR="0088224E" w:rsidRPr="0081126C" w:rsidRDefault="0088224E" w:rsidP="004D6FE8">
      <w:pPr>
        <w:pStyle w:val="NormalHanging12a"/>
      </w:pPr>
      <w:r w:rsidRPr="0081126C">
        <w:t>–</w:t>
      </w:r>
      <w:r w:rsidRPr="0081126C">
        <w:tab/>
        <w:t>έχοντας υπόψη την έκθεση της Επιτροπής Οικονομικής και Νομισματικής Πολιτικής (A10-0155/2025),</w:t>
      </w:r>
    </w:p>
    <w:p w14:paraId="2289C2C2" w14:textId="77777777" w:rsidR="0088224E" w:rsidRPr="0081126C" w:rsidRDefault="0088224E" w:rsidP="004D6FE8">
      <w:pPr>
        <w:pStyle w:val="NormalHanging12a"/>
      </w:pPr>
      <w:r w:rsidRPr="0081126C">
        <w:t>Α.</w:t>
      </w:r>
      <w:r w:rsidRPr="0081126C">
        <w:tab/>
        <w:t>λαμβάνοντας υπόψη ότι οι αποτελεσματικές, δίκαιες και αποδοτικές φορολογικές πολιτικές διαδραματίζουν καίριο ρόλο στην προώθηση της μακροπρόθεσμης βιώσιμης ανάπτυξης και των κοινωνιών χωρίς αποκλεισμούς·</w:t>
      </w:r>
    </w:p>
    <w:p w14:paraId="1A015B9A" w14:textId="77777777" w:rsidR="0088224E" w:rsidRPr="0081126C" w:rsidRDefault="0088224E" w:rsidP="004D6FE8">
      <w:pPr>
        <w:pStyle w:val="NormalHanging12a"/>
      </w:pPr>
      <w:r w:rsidRPr="0081126C">
        <w:t>Β.</w:t>
      </w:r>
      <w:r w:rsidRPr="0081126C">
        <w:tab/>
        <w:t>λαμβάνοντας υπόψη ότι τα κράτη μέλη της ΕΕ εισέπραξαν 6 712 δισεκατομμύρια EUR σε φόρους το 2023 (συμπεριλαμβανομένων των υποχρεωτικών πραγματικών κοινωνικών εισφορών), ποσό που αντιπροσωπεύει αύξηση κατά 4,7 % σε σχέση με το 2022</w:t>
      </w:r>
      <w:r w:rsidRPr="0081126C">
        <w:rPr>
          <w:rStyle w:val="FootnoteReference"/>
        </w:rPr>
        <w:footnoteReference w:id="19"/>
      </w:r>
      <w:r w:rsidRPr="0081126C">
        <w:t>·</w:t>
      </w:r>
    </w:p>
    <w:p w14:paraId="4123F597" w14:textId="77777777" w:rsidR="0088224E" w:rsidRPr="0081126C" w:rsidRDefault="0088224E" w:rsidP="004D6FE8">
      <w:pPr>
        <w:pStyle w:val="NormalHanging12a"/>
      </w:pPr>
      <w:r w:rsidRPr="0081126C">
        <w:t>Γ.</w:t>
      </w:r>
      <w:r w:rsidRPr="0081126C">
        <w:tab/>
        <w:t xml:space="preserve">λαμβάνοντας υπόψη ότι η ΕΕ αντιμετωπίζει σημαντικό επενδυτικό κενό· λαμβάνοντας υπόψη ότι η κάλυψη του κενού αυτού είναι κρίσιμη για τη διασφάλιση βιώσιμης </w:t>
      </w:r>
      <w:r w:rsidRPr="0081126C">
        <w:lastRenderedPageBreak/>
        <w:t>οικονομικής μεγέθυνσης, την ενίσχυση της ανταγωνιστικότητας και την επίτευξη των στόχων της ΕΕ για την πράσινη και ψηφιακή μετάβαση·</w:t>
      </w:r>
    </w:p>
    <w:p w14:paraId="1B91891C" w14:textId="77777777" w:rsidR="0088224E" w:rsidRPr="0081126C" w:rsidRDefault="0088224E" w:rsidP="004D6FE8">
      <w:pPr>
        <w:pStyle w:val="NormalHanging12a"/>
      </w:pPr>
      <w:r w:rsidRPr="0081126C">
        <w:t>Δ.</w:t>
      </w:r>
      <w:r w:rsidRPr="0081126C">
        <w:tab/>
        <w:t>λαμβάνοντας υπόψη ότι το 2023 η φορολογική επιβάρυνση (δηλαδή τα συνολικά φορολογικά έσοδα ως ποσοστό του ΑΕΠ) στην ΕΕ ανήλθε στο 39,0 % του ΑΕΠ, συνιστώντας ελαφρά μείωση σε σύγκριση με το 2022</w:t>
      </w:r>
      <w:r w:rsidRPr="0081126C">
        <w:rPr>
          <w:rStyle w:val="FootnoteReference"/>
        </w:rPr>
        <w:footnoteReference w:id="20"/>
      </w:r>
      <w:r w:rsidRPr="0081126C">
        <w:t>, αλλά εξακολουθώντας να βρίσκεται σε αρκετά υψηλά επίπεδα·</w:t>
      </w:r>
    </w:p>
    <w:p w14:paraId="3945B630" w14:textId="77777777" w:rsidR="0088224E" w:rsidRPr="0081126C" w:rsidRDefault="0088224E" w:rsidP="004D6FE8">
      <w:pPr>
        <w:pStyle w:val="NormalHanging12a"/>
      </w:pPr>
      <w:r w:rsidRPr="0081126C">
        <w:t>Ε.</w:t>
      </w:r>
      <w:r w:rsidRPr="0081126C">
        <w:tab/>
        <w:t>λαμβάνοντας υπόψη ότι, σύμφωνα με εκτιμήσεις, τα συνολικά μη εισπραχθέντα φορολογικά έσοδα ανέρχονται σε περίπου 500 δισεκατομμύρια EUR, εκ των οποίων περίπου 100 δισεκατομμύρια EUR δεν εισπράττονται από τον χώρο της ΕΕ· λαμβάνοντας υπόψη ότι τα πρόσθετα έσοδα επηρεάζονται από περιπτώσεις φορολογικής μη συμμόρφωσης και στρατηγικών επιθετικού φορολογικού σχεδιασμού· λαμβάνοντας υπόψη ότι οι απώλειες αυτές στερούν από τα κράτη μέλη ουσιαστική δημόσια χρηματοδότηση·</w:t>
      </w:r>
    </w:p>
    <w:p w14:paraId="426B200F" w14:textId="77777777" w:rsidR="0088224E" w:rsidRPr="0081126C" w:rsidRDefault="0088224E" w:rsidP="004D6FE8">
      <w:pPr>
        <w:pStyle w:val="NormalHanging12a"/>
      </w:pPr>
      <w:r w:rsidRPr="0081126C">
        <w:t>ΣΤ.</w:t>
      </w:r>
      <w:r w:rsidRPr="0081126C">
        <w:tab/>
        <w:t>λαμβάνοντας υπόψη ότι το 2023 ο λόγος των εσόδων ΦΠΑ προς το ΑΕΠ ανήλθε στο 7,1 % του ΑΕΠ της ΕΕ και στο 18,3 % των συνολικών δημόσιων εσόδων</w:t>
      </w:r>
      <w:r w:rsidRPr="0081126C">
        <w:rPr>
          <w:rStyle w:val="FootnoteReference"/>
        </w:rPr>
        <w:footnoteReference w:id="21"/>
      </w:r>
      <w:r w:rsidRPr="0081126C">
        <w:t>·</w:t>
      </w:r>
    </w:p>
    <w:p w14:paraId="22B9CA60" w14:textId="77777777" w:rsidR="0088224E" w:rsidRPr="0081126C" w:rsidRDefault="0088224E" w:rsidP="004D6FE8">
      <w:pPr>
        <w:pStyle w:val="NormalHanging12a"/>
      </w:pPr>
      <w:r w:rsidRPr="0081126C">
        <w:t>Ζ.</w:t>
      </w:r>
      <w:r w:rsidRPr="0081126C">
        <w:tab/>
        <w:t>λαμβάνοντας υπόψη ότι, σύμφωνα με την Επιτροπή</w:t>
      </w:r>
      <w:r w:rsidRPr="0081126C">
        <w:rPr>
          <w:rStyle w:val="FootnoteReference"/>
        </w:rPr>
        <w:footnoteReference w:id="22"/>
      </w:r>
      <w:r w:rsidRPr="0081126C">
        <w:t>, το 2022 το έλλειμμα συμμόρφωσης με τον ΦΠΑ μόνο ανήλθε σε 89,3 δισεκατομμύρια EUR, ή περίπου στο 7 % των συνολικών αναμενόμενων εσόδων ΦΠΑ· λαμβάνοντας υπόψη ότι, σύμφωνα με εκτιμήσεις, το ένα τέταρτο του ελλείμματος συμμόρφωσης με τον ΦΠΑ συνδέεται άμεσα με ποινικές απάτες περί τον ΦΠΑ</w:t>
      </w:r>
      <w:r w:rsidRPr="0081126C">
        <w:rPr>
          <w:rStyle w:val="FootnoteReference"/>
        </w:rPr>
        <w:footnoteReference w:id="23"/>
      </w:r>
      <w:r w:rsidRPr="0081126C">
        <w:t>·</w:t>
      </w:r>
    </w:p>
    <w:p w14:paraId="4C958011" w14:textId="77777777" w:rsidR="0088224E" w:rsidRPr="0081126C" w:rsidRDefault="0088224E" w:rsidP="004D6FE8">
      <w:pPr>
        <w:pStyle w:val="NormalHanging12a"/>
      </w:pPr>
      <w:r w:rsidRPr="0081126C">
        <w:t>Η.</w:t>
      </w:r>
      <w:r w:rsidRPr="0081126C">
        <w:tab/>
        <w:t>λαμβάνοντας υπόψη ότι υπάρχουν διαφορές μεταξύ των κρατών μελών όσον αφορά την εξάρτησή τους από τη φορολογία, τους φόρους που επιβάλλουν για την είσπραξη αυτών των εσόδων και τον τρόπο με τον οποίο έχουν αλλάξει το φορολογικό τους μείγμα κατά την τελευταία δεκαετία</w:t>
      </w:r>
      <w:r w:rsidRPr="0081126C">
        <w:rPr>
          <w:rStyle w:val="FootnoteReference"/>
        </w:rPr>
        <w:footnoteReference w:id="24"/>
      </w:r>
      <w:r w:rsidRPr="0081126C">
        <w:t>·</w:t>
      </w:r>
    </w:p>
    <w:p w14:paraId="1E5EF90D" w14:textId="77777777" w:rsidR="0088224E" w:rsidRPr="0081126C" w:rsidRDefault="0088224E" w:rsidP="004D6FE8">
      <w:pPr>
        <w:pStyle w:val="NormalHanging12a"/>
      </w:pPr>
      <w:r w:rsidRPr="0081126C">
        <w:t>Θ.</w:t>
      </w:r>
      <w:r w:rsidRPr="0081126C">
        <w:tab/>
        <w:t>λαμβάνοντας υπόψη ότι το κόστος φορολογικής συμμόρφωσης συνιστά πρόσθετη οικονομική επιβάρυνση για τις εταιρείες, επιπλέον της ίδιας της φορολογικής υποχρέωσης, απορροφώντας χρόνο και πόρους από άλλες επενδυτικές ευκαιρίες·</w:t>
      </w:r>
    </w:p>
    <w:p w14:paraId="3C851847" w14:textId="5D08626F" w:rsidR="0088224E" w:rsidRPr="0081126C" w:rsidRDefault="0088224E" w:rsidP="004D6FE8">
      <w:pPr>
        <w:pStyle w:val="NormalHanging12a"/>
      </w:pPr>
      <w:r w:rsidRPr="0081126C">
        <w:lastRenderedPageBreak/>
        <w:t>Ι.</w:t>
      </w:r>
      <w:r w:rsidRPr="0081126C">
        <w:tab/>
        <w:t>λαμβάνοντας υπόψη ότι, σύμφωνα με εκτιμήσεις, το συνολικό κόστος φορολογικής συμμόρφωσης στα 27 κράτη μέλη της ΕΕ συν το Ηνωμένο Βασίλειο εκτιμάται σε 204</w:t>
      </w:r>
      <w:r w:rsidR="004D6FE8" w:rsidRPr="0081126C">
        <w:t> </w:t>
      </w:r>
      <w:r w:rsidRPr="0081126C">
        <w:t>δισεκατομμύρια EUR, ποσό που αντιστοιχεί στο 1,3 % του συνολικού ΑΕΠ τους· λαμβάνοντας υπόψη ότι οι πολύ μικρές επιχειρήσεις επωμίζονται τη συντριπτική πλειονότητα του κόστους αυτού (87 %), ακολουθούμενες από τις μικρές επιχειρήσεις (10 %), με αποτέλεσμα να επιβαρύνονται δυσανάλογα οι μικρότερες εταιρείες</w:t>
      </w:r>
      <w:r w:rsidRPr="0081126C">
        <w:rPr>
          <w:rStyle w:val="FootnoteReference"/>
        </w:rPr>
        <w:footnoteReference w:id="25"/>
      </w:r>
      <w:r w:rsidRPr="0081126C">
        <w:t>·</w:t>
      </w:r>
    </w:p>
    <w:p w14:paraId="59012A3E" w14:textId="77777777" w:rsidR="0088224E" w:rsidRPr="0081126C" w:rsidRDefault="0088224E" w:rsidP="004D6FE8">
      <w:pPr>
        <w:pStyle w:val="NormalHanging12a"/>
      </w:pPr>
      <w:r w:rsidRPr="0081126C">
        <w:t>ΙΑ.</w:t>
      </w:r>
      <w:r w:rsidRPr="0081126C">
        <w:tab/>
        <w:t>λαμβάνοντας υπόψη ότι τα κράτη μέλη βρίσκονται αντιμέτωπα με μεγάλες προκλήσεις που θα μπορούσαν να επηρεάσουν τα φορολογικά τους έσοδα και το φορολογικό τους μείγμα, όπως οι σημαντικές δημογραφικές αλλαγές, η κλιματική αλλαγή, η ψηφιοποίηση και η αυτοματοποίηση·</w:t>
      </w:r>
    </w:p>
    <w:p w14:paraId="1CBE6D2F" w14:textId="77777777" w:rsidR="0088224E" w:rsidRPr="0081126C" w:rsidRDefault="0088224E" w:rsidP="004D6FE8">
      <w:pPr>
        <w:pStyle w:val="NormalHanging12a"/>
      </w:pPr>
      <w:r w:rsidRPr="0081126C">
        <w:t>ΙΒ.</w:t>
      </w:r>
      <w:r w:rsidRPr="0081126C">
        <w:tab/>
        <w:t>λαμβάνοντας υπόψη ότι, σύμφωνα με τις Συνθήκες, η φορολογία αποτελεί κυρίως αρμοδιότητα των κρατών μελών·</w:t>
      </w:r>
    </w:p>
    <w:p w14:paraId="506F63B0" w14:textId="77777777" w:rsidR="0088224E" w:rsidRPr="0081126C" w:rsidRDefault="0088224E" w:rsidP="004D6FE8">
      <w:pPr>
        <w:pStyle w:val="NormalHanging12a"/>
      </w:pPr>
      <w:r w:rsidRPr="0081126C">
        <w:t>ΙΓ.</w:t>
      </w:r>
      <w:r w:rsidRPr="0081126C">
        <w:tab/>
        <w:t>λαμβάνοντας υπόψη ότι η αυξανόμενη κινητικότητα κεφαλαίου, σε συνδυασμό με τις ευρύτερες τάσεις της παγκοσμιοποίησης και της ψηφιοποίησης τις τελευταίες δεκαετίες, είχε τον ακούσιο αντίκτυπο της σταδιακής μείωσης της ικανότητας των επιμέρους χωρών να διασφαλίζουν την αποτελεσματικότητα των φορολογικών πολιτικών τους·</w:t>
      </w:r>
    </w:p>
    <w:p w14:paraId="5C5038F1" w14:textId="77777777" w:rsidR="0088224E" w:rsidRPr="0081126C" w:rsidRDefault="0088224E" w:rsidP="004D6FE8">
      <w:pPr>
        <w:pStyle w:val="NormalHanging12a"/>
      </w:pPr>
      <w:r w:rsidRPr="0081126C">
        <w:t>ΙΔ.</w:t>
      </w:r>
      <w:r w:rsidRPr="0081126C">
        <w:tab/>
        <w:t>λαμβάνοντας υπόψη ότι, σύμφωνα με μελέτη της Επιτροπής του 2022, εκτιμάται ότι το 2019 οι επιχειρήσεις εντός της ΕΕ των 28 επιβαρύνθηκαν κατά μέσο όρο με ετήσιο κόστος φορολογικής συμμόρφωσης ίσο με το 1,9 % του κύκλου εργασιών τους· λαμβάνοντας υπόψη ότι, μεταξύ των διαφόρων φόρων, οι επιχειρήσεις θεωρούν πως ο ΦΠΑ και ο φόρος εταιρειών συνεπάγονται τη μεγαλύτερη επιβάρυνση συμμόρφωσης·</w:t>
      </w:r>
    </w:p>
    <w:p w14:paraId="0CA565DF" w14:textId="77777777" w:rsidR="0088224E" w:rsidRPr="0081126C" w:rsidRDefault="0088224E" w:rsidP="004D6FE8">
      <w:pPr>
        <w:pStyle w:val="NormalHanging12a"/>
      </w:pPr>
      <w:r w:rsidRPr="0081126C">
        <w:t>ΙΕ.</w:t>
      </w:r>
      <w:r w:rsidRPr="0081126C">
        <w:tab/>
        <w:t xml:space="preserve">λαμβάνοντας υπόψη ότι στην ολοκληρωμένη έκθεσή του σχετικά με την οικονομική κατάσταση της ΕΕ ο </w:t>
      </w:r>
      <w:proofErr w:type="spellStart"/>
      <w:r w:rsidRPr="0081126C">
        <w:t>Mario</w:t>
      </w:r>
      <w:proofErr w:type="spellEnd"/>
      <w:r w:rsidRPr="0081126C">
        <w:t xml:space="preserve"> </w:t>
      </w:r>
      <w:proofErr w:type="spellStart"/>
      <w:r w:rsidRPr="0081126C">
        <w:t>Draghi</w:t>
      </w:r>
      <w:proofErr w:type="spellEnd"/>
      <w:r w:rsidRPr="0081126C">
        <w:t xml:space="preserve"> προειδοποιεί για τη φθίνουσα παραγωγικότητα και ανταγωνιστικότητα της ΕΕ και επισημάνθηκε ότι, εάν δεν αναληφθεί αποφασιστική δράση, η ΕΕ θα αντιμετωπίσει μια «αργή και αγωνιώδη παρακμή», υπογραμμίζοντας επίσης την ανάγκη για συντονισμένες πολιτικές, μεταξύ άλλων, για παράδειγμα, εξάλειψη των περιττών φραγμών και μείωση των γραφειοκρατικών φορολογικών εμποδίων·</w:t>
      </w:r>
    </w:p>
    <w:p w14:paraId="4041DA34" w14:textId="77777777" w:rsidR="0088224E" w:rsidRPr="0081126C" w:rsidRDefault="0088224E" w:rsidP="004D6FE8">
      <w:pPr>
        <w:pStyle w:val="NormalHanging12a"/>
      </w:pPr>
      <w:r w:rsidRPr="0081126C">
        <w:t>ΙΣΤ.</w:t>
      </w:r>
      <w:r w:rsidRPr="0081126C">
        <w:tab/>
        <w:t xml:space="preserve">λαμβάνοντας υπόψη ότι ο κατακερματισμός της φορολογικής πολιτικής και ο υπερβολικά περίπλοκος σχεδιασμός της φορολογικής πολιτικής δημιουργούν διάφορα εμπόδια για τις εταιρείες και τους πολίτες στην ενιαία αγορά, όπως η ανασφάλεια δικαίου, η γραφειοκρατία, ο κίνδυνος διπλής φορολόγησης και οι δυσκολίες στην υποβολή αιτήσεων επιστροφής φόρου· λαμβάνοντας υπόψη ότι οι φραγμοί αυτοί αποθαρρύνουν τη διασυνοριακή οικονομική δραστηριότητα στην ενιαία αγορά και δημιουργούν κινδύνους για τις φορολογικές αρχές, όπως η διπλή μη φορολόγηση και οι ευκαιρίες για επιλογή ευνοϊκότερου φορολογικού καθεστώτος· λαμβάνοντας υπόψη ότι η ολοκληρωμένη έκθεση </w:t>
      </w:r>
      <w:proofErr w:type="spellStart"/>
      <w:r w:rsidRPr="0081126C">
        <w:t>Draghi</w:t>
      </w:r>
      <w:proofErr w:type="spellEnd"/>
      <w:r w:rsidRPr="0081126C">
        <w:t xml:space="preserve"> επισημαίνει επίσης την ανάγκη να αρθούν τα φορολογικά εμπόδια στις διασυνοριακές επενδύσεις στην ΕΕ ώστε να μειωθεί ο </w:t>
      </w:r>
      <w:r w:rsidRPr="0081126C">
        <w:lastRenderedPageBreak/>
        <w:t>κατακερματισμός της κεφαλαιαγοράς, και τονίζει ότι «οι πολίτες της ΕΕ θα πρέπει να είναι σε θέση να επενδύουν σε άλλα κράτη μέλη χωρίς πολύπλοκες φορολογικές διαδικασίες, οι οποίες οδηγούν ουσιαστικά σε διπλή φορολόγηση»·</w:t>
      </w:r>
    </w:p>
    <w:p w14:paraId="395CCD97" w14:textId="77777777" w:rsidR="0088224E" w:rsidRPr="0081126C" w:rsidRDefault="0088224E" w:rsidP="004D6FE8">
      <w:pPr>
        <w:pStyle w:val="NormalHanging12a"/>
      </w:pPr>
      <w:r w:rsidRPr="0081126C">
        <w:t>ΙΖ.</w:t>
      </w:r>
      <w:r w:rsidRPr="0081126C">
        <w:tab/>
        <w:t xml:space="preserve">λαμβάνοντας υπόψη ότι η έκθεση </w:t>
      </w:r>
      <w:proofErr w:type="spellStart"/>
      <w:r w:rsidRPr="0081126C">
        <w:t>Letta</w:t>
      </w:r>
      <w:proofErr w:type="spellEnd"/>
      <w:r w:rsidRPr="0081126C">
        <w:t xml:space="preserve"> επισημαίνει πως ο φορολογικός κατακερματισμός εξακολουθεί να αποτελεί σημαντικό φραγμό για τις επιχειρήσεις της ΕΕ και, ιδίως, τις μικρές και μεσαίες επιχειρήσεις (ΜΜΕ), και πως η καλύτερη ευθυγράμμιση χάρη μέσω συνεργασίας σε ένα ενωσιακό φορολογικό πλαίσιο είναι καίριας σημασίας για τη διευκόλυνση της ελεύθερης κυκλοφορίας των εργαζομένων, των αγαθών και των υπηρεσιών και για τη στήριξη της ανάπτυξης και των ιδιωτικών επενδύσεων</w:t>
      </w:r>
      <w:r w:rsidRPr="0081126C">
        <w:rPr>
          <w:rStyle w:val="FootnoteReference"/>
        </w:rPr>
        <w:footnoteReference w:id="26"/>
      </w:r>
      <w:r w:rsidRPr="0081126C">
        <w:t>· λαμβάνοντας υπόψη ότι η ισχυρή και δίκαιη φορολόγηση αποτελεί βασικό μέσο για τη δημιουργία των εσόδων που απαιτούνται για τις επενδύσεις και τη διατήρηση των υπηρεσιών κοινής ωφελείας σε όλες τις περιφέρειες της ΕΕ·</w:t>
      </w:r>
    </w:p>
    <w:p w14:paraId="3847E562" w14:textId="77777777" w:rsidR="0088224E" w:rsidRPr="0081126C" w:rsidRDefault="0088224E" w:rsidP="004D6FE8">
      <w:pPr>
        <w:pStyle w:val="Normal12a24b"/>
        <w:widowControl/>
        <w:spacing w:before="0"/>
        <w:ind w:left="567" w:hanging="567"/>
      </w:pPr>
      <w:r w:rsidRPr="0081126C">
        <w:rPr>
          <w:rStyle w:val="BoldItalic"/>
        </w:rPr>
        <w:t>Φορολογία και επιχειρηματικό περιβάλλον</w:t>
      </w:r>
    </w:p>
    <w:p w14:paraId="3937BE0A" w14:textId="375D8725" w:rsidR="0088224E" w:rsidRPr="0081126C" w:rsidRDefault="0081126C" w:rsidP="0081126C">
      <w:pPr>
        <w:pStyle w:val="NormalHanging12a"/>
        <w:ind w:left="570" w:hanging="570"/>
      </w:pPr>
      <w:r w:rsidRPr="0081126C">
        <w:t>1.</w:t>
      </w:r>
      <w:r w:rsidRPr="0081126C">
        <w:tab/>
      </w:r>
      <w:r w:rsidR="0088224E" w:rsidRPr="0081126C">
        <w:t>τονίζει ότι η θέσπιση απλών και προβλέψιμων φορολογικών κανόνων θα διευκόλυνε τους φορολογούμενους να πληρώνουν τους φόρους τους και τις κυβερνήσεις να διαχειρίζονται και να εισπράττουν τα έσοδα· τονίζει την ανάγκη να δημιουργηθεί μια ΕΕ που θα ευνοεί τη συμμόρφωση και θα στηρίζει τις επιχειρήσεις και στην οποία οι παραγωγικοί τομείς θα μπορούν να ανταγωνίζονται και να ευδοκιμούν και οι εργαζόμενοι θα μπορούν να έχουν αξιοπρεπείς μισθούς, στηρίζοντας παράλληλα τη διττή μετάβαση· τονίζει ότι οι υπερβολικά περίπλοκοι φορολογικοί κανόνες ενέχουν τον κίνδυνο να αποτρέψουν τις επενδύσεις, επισημαίνοντας παράλληλα ότι ο σχεδιασμός της φορολογικής πολιτικής θα πρέπει να αποφεύγει τη στρέβλωση της διαδικασίας λήψης αποφάσεων των οικονομικών παραγόντων·</w:t>
      </w:r>
    </w:p>
    <w:p w14:paraId="2A824C84" w14:textId="4C5D6E4E" w:rsidR="0088224E" w:rsidRPr="0081126C" w:rsidRDefault="0081126C" w:rsidP="0081126C">
      <w:pPr>
        <w:pStyle w:val="NormalHanging12a"/>
        <w:ind w:left="570" w:hanging="570"/>
      </w:pPr>
      <w:r w:rsidRPr="0081126C">
        <w:t>2.</w:t>
      </w:r>
      <w:r w:rsidRPr="0081126C">
        <w:tab/>
      </w:r>
      <w:r w:rsidR="0088224E" w:rsidRPr="0081126C">
        <w:t>εκφράζει τη βαθιά του ανησυχία για την απειλή κατά της φορολογικής κυριαρχίας της ΕΕ που εκτόξευσε ο πρόεδρος των ΗΠΑ στις από 2ας Απριλίου 2025 δηλώσεις του σχετικά με τον ΦΠΑ στα κράτη μέλη της ΕΕ στο πλαίσιο της αιτιολόγησης της επιβολής δασμών στις εισαγωγές από την ΕΕ στις ΗΠΑ· τονίζει ότι οι εμπορικοί πόλεμοι υπονομεύουν τις επιχειρήσεις και παροτρύνει την Επιτροπή και τα κράτη μέλη να περιορίσουν την αντίστοιχη εμπορική αναταραχή και να διαβουλεύονται με τους ευρωπαϊκούς ενδιαφερόμενους φορείς κατά τη λήψη αποφάσεων για την αντιμετώπιση των εν λόγω δασμών·</w:t>
      </w:r>
    </w:p>
    <w:p w14:paraId="63BE3759" w14:textId="12F7ED75" w:rsidR="0088224E" w:rsidRPr="0081126C" w:rsidRDefault="0081126C" w:rsidP="0081126C">
      <w:pPr>
        <w:pStyle w:val="NormalHanging12a"/>
        <w:ind w:left="570" w:hanging="570"/>
      </w:pPr>
      <w:r w:rsidRPr="0081126C">
        <w:t>3.</w:t>
      </w:r>
      <w:r w:rsidRPr="0081126C">
        <w:tab/>
      </w:r>
      <w:r w:rsidR="0088224E" w:rsidRPr="0081126C">
        <w:t xml:space="preserve">τονίζει ότι, όπως αναφέρεται στην έκθεση </w:t>
      </w:r>
      <w:proofErr w:type="spellStart"/>
      <w:r w:rsidR="0088224E" w:rsidRPr="0081126C">
        <w:t>Draghi</w:t>
      </w:r>
      <w:proofErr w:type="spellEnd"/>
      <w:r w:rsidR="0088224E" w:rsidRPr="0081126C">
        <w:t xml:space="preserve">, οι αποκλίνοντες φορολογικοί κανόνες σε ολόκληρη την ΕΕ αποτελούν σημαντικό εμπόδιο για την επίτευξη μιας πραγματικής ενιαίας αγοράς· αναγνωρίζει ότι το φορολογικό πλαίσιο της ΕΕ πρέπει να τηρεί αυστηρά τις αρχές της επικουρικότητας και της αναλογικότητας, καθώς και τη συνεργασία, προκειμένου να μειωθεί το κόστος συμμόρφωσης για τις επιχειρήσεις· τονίζει ότι τα κράτη μέλη έχουν το δικαίωμα να προσαρμόζουν τα φορολογικά τους συστήματα στις ειδικές εθνικές ανάγκες τους, τηρώντας παράλληλα κοινά πρότυπα, και συντονίζοντας τις προσπάθειες για την καταπολέμηση της φορολογικής απάτης και της φοροδιαφυγής, τη διασφάλιση έγκαιρης ανταλλαγής πληροφοριών και την προώθηση </w:t>
      </w:r>
      <w:r w:rsidR="0088224E" w:rsidRPr="0081126C">
        <w:lastRenderedPageBreak/>
        <w:t>ισότιμων όρων ανταγωνισμού· πιστεύει ότι τα αποτελέσματα αυτά μπορούν να επιτευχθούν, συγκεκριμένα, με την επίτευξη ισορροπίας μεταξύ του σεβασμού των εθνικών αρμοδιοτήτων και της διασφάλισης συνεκτικής ερμηνείας·</w:t>
      </w:r>
    </w:p>
    <w:p w14:paraId="135E318B" w14:textId="3E20FF89" w:rsidR="0088224E" w:rsidRPr="0081126C" w:rsidRDefault="0081126C" w:rsidP="0081126C">
      <w:pPr>
        <w:pStyle w:val="NormalHanging12a"/>
        <w:ind w:left="570" w:hanging="570"/>
      </w:pPr>
      <w:r w:rsidRPr="0081126C">
        <w:t>4.</w:t>
      </w:r>
      <w:r w:rsidRPr="0081126C">
        <w:tab/>
      </w:r>
      <w:r w:rsidR="0088224E" w:rsidRPr="0081126C">
        <w:t>τονίζει ότι, εκτός από τις προσπάθειες εναρμόνισης, μπορεί να επιτευχθεί μεγάλη πρόοδος όσον αφορά την απλούστευση της φορολογικής συμμόρφωσης και την εξάλειψη των διοικητικών εμποδίων στην εσωτερική αγορά χάρη σε κοινά εργαλεία εφαρμογής, για παράδειγμα, τυποποιημένα πρότυπα για τη συλλογή δεδομένων και την υποβολή εκθέσεων, την καθοδήγηση από την Επιτροπή, τον διάλογο και την ανταλλαγή βέλτιστων πρακτικών μεταξύ των κρατών μελών·</w:t>
      </w:r>
    </w:p>
    <w:p w14:paraId="1F9F5DAA" w14:textId="558082A6" w:rsidR="0088224E" w:rsidRPr="0081126C" w:rsidRDefault="0081126C" w:rsidP="0081126C">
      <w:pPr>
        <w:pStyle w:val="NormalHanging12a"/>
        <w:ind w:left="570" w:hanging="570"/>
      </w:pPr>
      <w:r w:rsidRPr="0081126C">
        <w:t>5.</w:t>
      </w:r>
      <w:r w:rsidRPr="0081126C">
        <w:tab/>
      </w:r>
      <w:r w:rsidR="0088224E" w:rsidRPr="0081126C">
        <w:t>σημειώνει ότι οι εταιρείες της ΕΕ, και ιδίως οι ΜΜΕ, αποτελούν βασικούς μοχλούς οικονομικής ανάπτυξης και δημιουργίας θέσεων εργασίας σε ολόκληρη την ήπειρο· υπενθυμίζει ότι οι ΜΜΕ αντιμετωπίζουν σημαντικές δημοσιονομικές προκλήσεις λόγω των πολύπλοκων φορολογικών κανονισμών και των κατακερματισμένων φορολογικών συστημάτων, τα οποία επιβάλλουν υψηλό διοικητικό φόρτο και κόστος συμμόρφωσης, με το κόστος συμμόρφωσης των ΜΜΕ να εκτιμάται σε περίπου 30 % των καταβληθέντων φόρων, σε σύγκριση με περίπου 2 % για τις μεγάλες επιχειρήσεις, εμποδίζοντας την ανάπτυξή τους και την καινοτομία· παροτρύνει την Επιτροπή να εκτιμήσει τον αντίκτυπο των τρεχουσών και των μελλοντικών προτάσεων στις ΜΜΕ και να διερευνήσει λύσεις που να απλουστεύουν τις φορολογικές διαδικασίες και να μειώνουν το κόστος συμμόρφωσης, σε στενή συνεργασία με τις εθνικές φορολογικές αρχές· καλεί, επιπλέον, την Επιτροπή να εκτιμήσει τους λόγους για τους οποίους η προτεινόμενη οδηγία για τη θέσπιση φορολογικού συστήματος με βάση την έδρα για τις ΜΜΕ δεν έχει προσελκύσει το Συμβούλιο και ζητεί απτή πρόοδο και εφικτές λύσεις για την επίτευξη προόδου· καλεί να αναπτυχθεί μια ολοκληρωμένη, φιλική προς τον χρήστη εργαλειοθήκη για τις ΜΜΕ και τις νεοφυείς επιχειρήσεις, η οποία θα περιλαμβάνει κατευθυντήριες γραμμές, υποδείγματα και επιλογές αυτοματοποιημένης υποβολής φορολογικών δηλώσεων για ΦΠΑ, φόρο εταιρειών, μισθοδοσία και άλλες υποχρεώσεις, που θα διατίθενται ελεύθερα και θα επικαιροποιούνται τακτικά·</w:t>
      </w:r>
    </w:p>
    <w:p w14:paraId="3FD91721" w14:textId="7AF2F3D1" w:rsidR="0088224E" w:rsidRPr="0081126C" w:rsidRDefault="0081126C" w:rsidP="0081126C">
      <w:pPr>
        <w:pStyle w:val="NormalHanging12a"/>
        <w:ind w:left="570" w:hanging="570"/>
      </w:pPr>
      <w:r w:rsidRPr="0081126C">
        <w:t>6.</w:t>
      </w:r>
      <w:r w:rsidRPr="0081126C">
        <w:tab/>
      </w:r>
      <w:r w:rsidR="0088224E" w:rsidRPr="0081126C">
        <w:t xml:space="preserve">λαμβάνει υπό σημείωση την έκθεση </w:t>
      </w:r>
      <w:proofErr w:type="spellStart"/>
      <w:r w:rsidR="0088224E" w:rsidRPr="0081126C">
        <w:t>Draghi</w:t>
      </w:r>
      <w:proofErr w:type="spellEnd"/>
      <w:r w:rsidR="0088224E" w:rsidRPr="0081126C">
        <w:t xml:space="preserve"> σχετικά με τις ειδικές ανά τομέα προτάσεις για τη φορολογία, και συγκεκριμένα τις συστάσεις για τη μείωση του κόστους της κατανάλωσης ηλεκτρικής ενέργειας χωρίς να υπονομεύεται η ανταγωνιστικότητα της ΕΕ, να αποτρέπονται οι επενδύσεις, να βλάπτεται η δημιουργία θέσεων εργασίας ή να αποδυναμώνεται η εμπιστοσύνη των επιχειρήσεων· αναγνωρίζει, στο πλαίσιο αυτό, τον άτυπο προβληματισμό των υπουργών Οικονομικών της ΕΕ, του Ιανουαρίου του 2025, σχετικά με τις υψηλές τιμές της ενέργειας και την προτεραιότητά τους· λαμβάνει υπόψη του τις εν εξελίξει εργασίες για την αναθεώρηση της οδηγίας για τη φορολογία της ενέργειας</w:t>
      </w:r>
      <w:r w:rsidR="0088224E" w:rsidRPr="0081126C">
        <w:rPr>
          <w:rStyle w:val="FootnoteReference"/>
        </w:rPr>
        <w:footnoteReference w:id="27"/>
      </w:r>
      <w:r w:rsidR="0088224E" w:rsidRPr="0081126C">
        <w:t>, υπογραμμίζοντας τη σημασία των φιλοδοξιών για το κλίμα, της τρέχουσας οικονομικής πραγματικότητας, των υψηλών τιμών της ενέργειας, καθώς και των αναγκών συνδεσιμότητας·</w:t>
      </w:r>
    </w:p>
    <w:p w14:paraId="065914B3" w14:textId="77777777" w:rsidR="0088224E" w:rsidRPr="0081126C" w:rsidRDefault="0088224E" w:rsidP="004D6FE8">
      <w:pPr>
        <w:pStyle w:val="Normal12a24b"/>
        <w:widowControl/>
        <w:spacing w:before="0"/>
      </w:pPr>
      <w:r w:rsidRPr="0081126C">
        <w:rPr>
          <w:rStyle w:val="BoldItalic"/>
        </w:rPr>
        <w:t>Ανταγωνιστικότητα και οικονομική μεγέθυνση</w:t>
      </w:r>
    </w:p>
    <w:p w14:paraId="227BC3FD" w14:textId="65F4C9EA" w:rsidR="0088224E" w:rsidRPr="0081126C" w:rsidRDefault="0081126C" w:rsidP="0081126C">
      <w:pPr>
        <w:pStyle w:val="NormalHanging12a"/>
        <w:ind w:left="570" w:hanging="570"/>
      </w:pPr>
      <w:r w:rsidRPr="0081126C">
        <w:lastRenderedPageBreak/>
        <w:t>7.</w:t>
      </w:r>
      <w:r w:rsidRPr="0081126C">
        <w:tab/>
      </w:r>
      <w:r w:rsidR="0088224E" w:rsidRPr="0081126C">
        <w:t>επισημαίνει ότι η ανταγωνιστικότητα είναι ένας ευρύς όρος ο οποίος αναφέρεται στο ποσοστό παραγωγικότητας που δύναται να δώσει ώθηση στη βιώσιμη ανάπτυξη και, κατά συνέπεια, στο εισόδημα και στην ευημερία για όλους· τονίζει ότι μια ανταγωνιστική οικονομία δεν είναι απλώς φιλική προς τις επιχειρήσεις, αλλά εξασφαλίζει και υψηλά επίπεδα απασχόλησης και κοινωνικής ευημερίας, παρέχει δε δυνατότητες καινοτομίας, επαρκείς εκπαιδευτικές ευκαιρίες και υποδομές, και ισχυρούς θεσμούς και πρότυπα για το κράτος δικαίου· αναγνωρίζει ότι η αποδοτική και αποτελεσματική φορολογία, συμπεριλαμβανομένων μέτρων για τον περιορισμό του επιζήμιου φορολογικού ανταγωνισμού και του ανταγωνισμού προς τα κάτω, σε όρους φορολογικών συντελεστών, είναι κρίσιμη για τη δημιουργία των δημόσιων πόρων που απαιτούνται για βιώσιμες δημόσιες και ιδιωτικές επενδύσεις οι οποίες θα ενισχύσουν την ανταγωνιστικότητα, την κοινωνική και οικονομική συνοχή και την ανάπτυξη της ΕΕ·</w:t>
      </w:r>
    </w:p>
    <w:p w14:paraId="011A73CA" w14:textId="5476A069" w:rsidR="0088224E" w:rsidRPr="0081126C" w:rsidRDefault="0081126C" w:rsidP="0081126C">
      <w:pPr>
        <w:pStyle w:val="NormalHanging12a"/>
        <w:ind w:left="570" w:hanging="570"/>
      </w:pPr>
      <w:r w:rsidRPr="0081126C">
        <w:t>8.</w:t>
      </w:r>
      <w:r w:rsidRPr="0081126C">
        <w:tab/>
      </w:r>
      <w:r w:rsidR="0088224E" w:rsidRPr="0081126C">
        <w:t>εκφράζει επιδοκιμασία για τα συμπεράσματα του Ευρωπαϊκού Συμβουλίου σχετικά με τη Νέα Ευρωπαϊκή Συμφωνία για την Ανταγωνιστικότητα· εκφράζει, στο πλαίσιο αυτό, τη λύπη του για την παράλειψη του τομέα της φορολογίας για τη βελτίωση της ανταγωνιστικότητας της Ευρώπης· ζητεί να βελτιωθεί η φορολογική συνεργασία εντός της ΕΕ, με τη μείωση του κατακερματισμού και της πολυπλοκότητας και με παράλληλη προώθηση της ενίσχυσης της συνεργασίας και της εμπιστοσύνης μεταξύ των κρατών μελών, καθώς αυτό είναι απαραίτητο για να τονωθεί η ανταγωνιστικότητα της ευρωπαϊκής οικονομίας·</w:t>
      </w:r>
    </w:p>
    <w:p w14:paraId="6ED8CCAB" w14:textId="7E3F10DB" w:rsidR="0088224E" w:rsidRPr="0081126C" w:rsidRDefault="0081126C" w:rsidP="0081126C">
      <w:pPr>
        <w:pStyle w:val="NormalHanging12a"/>
        <w:ind w:left="570" w:hanging="570"/>
      </w:pPr>
      <w:r w:rsidRPr="0081126C">
        <w:t>9.</w:t>
      </w:r>
      <w:r w:rsidRPr="0081126C">
        <w:tab/>
      </w:r>
      <w:r w:rsidR="0088224E" w:rsidRPr="0081126C">
        <w:t>καλεί την Επιτροπή και τα κράτη μέλη να συμφωνήσουν όσον αφορά μια συντονισμένη προσέγγιση για την ενίσχυση της διαφάνειας των κυβερνητικών φορολογικών δαπανών, ώστε να διασφαλιστεί ότι οι επιθυμητοί στόχοι πολιτικής σύμφωνα με τους κοινούς στόχους και προτεραιότητες της ΕΕ επιτυγχάνονται με οικονομικά αποδοτικό τρόπο, χωρίς απρόβλεπτες ή αρνητικές επιπτώσεις στην εσωτερική αγορά, και δεν δημιουργούν ευκαιρίες για φοροδιαφυγή και επιθετικό φορολογικό σχεδιασμό·</w:t>
      </w:r>
    </w:p>
    <w:p w14:paraId="0E30B67C" w14:textId="42DB9DBC" w:rsidR="0088224E" w:rsidRPr="0081126C" w:rsidRDefault="0081126C" w:rsidP="0081126C">
      <w:pPr>
        <w:pStyle w:val="NormalHanging12a"/>
        <w:ind w:left="570" w:hanging="570"/>
      </w:pPr>
      <w:r w:rsidRPr="0081126C">
        <w:t>10.</w:t>
      </w:r>
      <w:r w:rsidRPr="0081126C">
        <w:tab/>
      </w:r>
      <w:r w:rsidR="0088224E" w:rsidRPr="0081126C">
        <w:t>εκφράζει επιδοκιμασία για τα συμπεράσματα του Ευρωπαϊκού Συμβουλίου σχετικά με την αποκάθαρση και την απλούστευση της φορολογίας· τονίζει ότι οι μελλοντικές πρωτοβουλίες της ΕΕ για τη φορολογία θα πρέπει να επικεντρώνονται δίνοντας προτεραιότητα στη διοικητική απλούστευση, την εξάλειψη (κατά περίπτωση) των αλληλεπικαλυπτόμενων φορολογικών κανόνων, την αύξηση της σαφήνειας και τον εξορθολογισμό της εφαρμογής των φορολογικών κανόνων και για την αντιμετώπιση εντοπισμένων αποκλίσεων ή ανεπαρκειών που ενδέχεται να επηρεάσουν τη λειτουργία της ενιαίας αγοράς· τονίζει ότι η Επιτροπή θα πρέπει να διευκολύνει και να ενθαρρύνει μια στενότερη συνεργασία μεταξύ των κρατών μελών και των εθνικών φορολογικών αρχών, ώστε να καταστεί δυνατή η συνεκτικότερη ερμηνεία της νομοθεσίας για την άμεση και έμμεση φορολογία·</w:t>
      </w:r>
    </w:p>
    <w:p w14:paraId="7DD56386" w14:textId="24E36663" w:rsidR="0088224E" w:rsidRPr="0081126C" w:rsidRDefault="0081126C" w:rsidP="0081126C">
      <w:pPr>
        <w:pStyle w:val="NormalHanging12a"/>
        <w:ind w:left="570" w:hanging="570"/>
      </w:pPr>
      <w:r w:rsidRPr="0081126C">
        <w:t>11.</w:t>
      </w:r>
      <w:r w:rsidRPr="0081126C">
        <w:tab/>
      </w:r>
      <w:r w:rsidR="0088224E" w:rsidRPr="0081126C">
        <w:t>σημειώνει την έρευνα που πραγματοποίησε το Κοινό Κέντρο Ερευνών της Επιτροπής το 2022, σύμφωνα με την οποία τα έσοδα στους τοπικούς προϋπολογισμούς τα οποία προέρχονται από φόρους επί τοπικών οικονομικών δραστηριοτήτων μπορούν να λειτουργήσουν ως κίνητρο για να αναλάβουν οι δήμοι δράση σε τοπικό επίπεδο και να τονώσουν τις τοπικές οικονομικές δραστηριότητες· καλεί, εν προκειμένω, την Επιτροπή να εντείνει την έρευνα αυτή και να δρομολογήσει διαδικασία αμοιβαίας μάθησης σε συνεργασία με τα κράτη μέλη, ώστε να ενθαρρυνθούν οι δήμοι να μεριμνούν για τις επιχειρήσεις τους, και έτσι να ελευθερωθεί το αναξιοποίητο δυναμικό για μεγαλύτερη οικονομική ανάπτυξη σε ολόκληρη την ΕΕ·</w:t>
      </w:r>
    </w:p>
    <w:p w14:paraId="7E57F985" w14:textId="751E4253" w:rsidR="0088224E" w:rsidRPr="0081126C" w:rsidRDefault="0081126C" w:rsidP="0081126C">
      <w:pPr>
        <w:pStyle w:val="NormalHanging12a"/>
        <w:ind w:left="570" w:hanging="570"/>
      </w:pPr>
      <w:r w:rsidRPr="0081126C">
        <w:lastRenderedPageBreak/>
        <w:t>12.</w:t>
      </w:r>
      <w:r w:rsidRPr="0081126C">
        <w:tab/>
      </w:r>
      <w:r w:rsidR="0088224E" w:rsidRPr="0081126C">
        <w:t>τονίζει ότι τα καλά σχεδιασμένα και δικαιολογημένα φορολογικά κίνητρα με οικονομική υπόσταση και κοινωνικοοικονομικά οφέλη μπορούν να στηρίξουν οικονομικές δραστηριότητες που προωθούν τους δημόσιους στόχους, συμπεριλαμβανομένων των περιφερειακών και άλλων γεωγραφικά μειονεκτουσών περιοχών στην ΕΕ· σημειώνει ότι τα φορολογικά κίνητρα θα πρέπει όχι μόνο να συμμορφώνονται με τις Συνθήκες και τους περιορισμούς που σχετίζονται με τα δημοσιονομικά περιθώρια, αλλά και να μην οδηγούν σε κατακερματισμό της εσωτερικής αγοράς, και ζητεί ένα σύνολο εργαλείων για τη διασφάλιση του διαλόγου, της διαφάνειας και του συντονισμού μεταξύ των κρατών μελών όσον αφορά τα φορολογικά κίνητρα· εκφράζει την ικανοποίησή του για την πρόθεση της Επιτροπής να εκδώσει μη δεσμευτικές κατευθυντήριες γραμμές σχετικά με τα φορολογικά κίνητρα και ζητεί την εκπόνηση περαιτέρω μελέτης σχετικά με τον αντίκτυπο της εφαρμογής των κανόνων του δεύτερου πυλώνα του ΟΟΣΑ στα φορολογικά κίνητρα και την έκδοση συστάσεων για τη διασφάλιση της αποτελεσματικότητάς τους εντός του πλαισίου του δεύτερου πυλώνα· υπογραμμίζει τη σημασία να διασφαλιστεί ότι τα φορολογικά κίνητρα εξακολουθούν να συνάδουν με το ενωσιακό πλαίσιο για τις κρατικές ενισχύσεις· υπενθυμίζει τις δεσμεύσεις της ΕΕ για την κλιματική αλλαγή και τη συνεχή στήριξη του Κοινοβουλίου για τους στόχους αυτούς, και παροτρύνει την Επιτροπή και τα κράτη μέλη να συντονίσουν τις προσπάθειές τους και να εξετάσουν τα πιθανά οφέλη των φορολογικών κινήτρων για πράσινες επενδύσεις·</w:t>
      </w:r>
    </w:p>
    <w:p w14:paraId="100C6E9D" w14:textId="47E69CE8" w:rsidR="0088224E" w:rsidRPr="0081126C" w:rsidRDefault="0081126C" w:rsidP="0081126C">
      <w:pPr>
        <w:pStyle w:val="NormalHanging12a"/>
        <w:ind w:left="570" w:hanging="570"/>
      </w:pPr>
      <w:r w:rsidRPr="0081126C">
        <w:t>13.</w:t>
      </w:r>
      <w:r w:rsidRPr="0081126C">
        <w:tab/>
      </w:r>
      <w:r w:rsidR="0088224E" w:rsidRPr="0081126C">
        <w:t>υπενθυμίζει ότι σε αρκετές νομοθετικές πρωτοβουλίες στον τομέα της φορολογίας δεν σημειώνεται πρόοδος· υπογραμμίζει, εν προκειμένω, την ανάγκη παροχής ασφάλειας δικαίου και προβλεψιμότητας στις επιχειρήσεις της ΕΕ· σημειώνει τις διευκρινίσεις της Επιτροπής σχετικά με τις πρωτοβουλίες που πρέπει να αποσυρθούν στον τομέα της φορολογίας·</w:t>
      </w:r>
    </w:p>
    <w:p w14:paraId="47FC23EC" w14:textId="77777777" w:rsidR="0088224E" w:rsidRPr="0081126C" w:rsidRDefault="0088224E" w:rsidP="004D6FE8">
      <w:pPr>
        <w:pStyle w:val="Normal12a24b"/>
        <w:widowControl/>
        <w:spacing w:before="0"/>
      </w:pPr>
      <w:r w:rsidRPr="0081126C">
        <w:rPr>
          <w:rStyle w:val="BoldItalic"/>
        </w:rPr>
        <w:t>Φορολογική απλούστευση και ψηφιοποίηση</w:t>
      </w:r>
    </w:p>
    <w:p w14:paraId="2EFAF8FD" w14:textId="0E9010F1" w:rsidR="0088224E" w:rsidRPr="0081126C" w:rsidRDefault="0081126C" w:rsidP="0081126C">
      <w:pPr>
        <w:pStyle w:val="NormalHanging12a"/>
        <w:ind w:left="570" w:hanging="570"/>
      </w:pPr>
      <w:r w:rsidRPr="0081126C">
        <w:t>14.</w:t>
      </w:r>
      <w:r w:rsidRPr="0081126C">
        <w:tab/>
      </w:r>
      <w:r w:rsidR="0088224E" w:rsidRPr="0081126C">
        <w:t>υπενθυμίζει την προτεραιότητα της Επιτροπής να διασφαλίσει την απλούστευση των επιχειρήσεων σε όλες τις πολιτικές, συμπεριλαμβανομένης της φορολογίας στο πλαίσιο των αρμοδιοτήτων της, με στόχο τη μείωση των απαιτήσεων υποβολής εκθέσεων κατά τουλάχιστον 25 % (και για τις ΜΜΕ κατά τουλάχιστον 35 %)· καλεί, στο πλαίσιο αυτό, την Επιτροπή να διενεργεί, σε στενό και συνεχή διάλογο με τα κράτη μέλη, συστηματικά εκ των προτέρων εκτιμήσεις επιπτώσεων όλων των νέων νομοθετικών προτάσεων που σχετίζονται με τη φορολογία, καθώς και έλεγχο των υφιστάμενων μέτρων με γνώμονα την ανταγωνιστικότητα, με σκοπό τον ποσοτικό προσδιορισμό της αναμενόμενης μείωσης του διοικητικού φόρτου και την εξασφάλιση της ευθυγράμμισης των νέων κανόνων με τους στόχους οικονομικής ανάπτυξης της ΕΕ, καθώς και με τους στόχους της πράσινης και ψηφιακής μετάβασης·</w:t>
      </w:r>
    </w:p>
    <w:p w14:paraId="6D2EDD18" w14:textId="45F62256" w:rsidR="0088224E" w:rsidRPr="0081126C" w:rsidRDefault="0081126C" w:rsidP="0081126C">
      <w:pPr>
        <w:pStyle w:val="NormalHanging12a"/>
        <w:ind w:left="570" w:hanging="570"/>
      </w:pPr>
      <w:r w:rsidRPr="0081126C">
        <w:t>15.</w:t>
      </w:r>
      <w:r w:rsidRPr="0081126C">
        <w:tab/>
      </w:r>
      <w:r w:rsidR="0088224E" w:rsidRPr="0081126C">
        <w:t xml:space="preserve">προτρέπει την Επιτροπή να εντοπίσει και να εξαλείψει όλες τις περιπτώσεις διπλής υποβολής στοιχείων και να θεσπίσει ένα σύστημα για την αποδοτική ανταλλαγή δεδομένων μεταξύ φορολογικών αρχών, απαλλάσσοντας έτσι τους φορολογούμενους από τις υποχρεώσεις διπλής υποβολής στοιχείων· σημειώνει ότι, στο πλαίσιο αυτό, θα μπορούσαν να προκύψουν απλά οφέλη, π.χ. από την τροποποίηση της οδηγίας </w:t>
      </w:r>
      <w:r w:rsidR="0088224E" w:rsidRPr="0081126C">
        <w:lastRenderedPageBreak/>
        <w:t>(ΕΕ)</w:t>
      </w:r>
      <w:r w:rsidR="004D6FE8" w:rsidRPr="0081126C">
        <w:t> </w:t>
      </w:r>
      <w:r w:rsidR="0088224E" w:rsidRPr="0081126C">
        <w:t>2021/2101</w:t>
      </w:r>
      <w:r w:rsidR="0088224E" w:rsidRPr="0081126C">
        <w:rPr>
          <w:rStyle w:val="FootnoteReference"/>
        </w:rPr>
        <w:footnoteReference w:id="28"/>
      </w:r>
      <w:r w:rsidR="0088224E" w:rsidRPr="0081126C">
        <w:t xml:space="preserve"> όσον αφορά τη δημόσια υποβολή εκθέσεων ανά χώρα, ώστε να εξασφαλιστεί η ισοδυναμία των ενωσιακών κανόνων με το πρότυπο 207 της πρωτοβουλίας για την υποβολή εκθέσεων για τη φορολογία παγκοσμίως· καλεί την Επιτροπή να αξιολογήσει τα πλεονεκτήματα αυτής της ισοδυναμίας·</w:t>
      </w:r>
    </w:p>
    <w:p w14:paraId="39E4E418" w14:textId="0EE36DC0" w:rsidR="0088224E" w:rsidRPr="0081126C" w:rsidRDefault="0081126C" w:rsidP="0081126C">
      <w:pPr>
        <w:pStyle w:val="NormalHanging12a"/>
        <w:ind w:left="570" w:hanging="570"/>
      </w:pPr>
      <w:r w:rsidRPr="0081126C">
        <w:t>16.</w:t>
      </w:r>
      <w:r w:rsidRPr="0081126C">
        <w:tab/>
      </w:r>
      <w:r w:rsidR="0088224E" w:rsidRPr="0081126C">
        <w:t>καλεί την Επιτροπή και τα κράτη μέλη να εξορθολογίσουν τις φορολογικές υποχρεώσεις για την αμυντική βιομηχανία, επεκτείνοντας και απλουστεύοντας τις απαλλαγές από τον ΦΠΑ για τις δημόσιες συμβάσεις στο πλαίσιο κοινών αμυντικών πρωτοβουλιών της ΕΕ·</w:t>
      </w:r>
    </w:p>
    <w:p w14:paraId="1D0F48A9" w14:textId="5207C37D" w:rsidR="0088224E" w:rsidRPr="0081126C" w:rsidRDefault="0081126C" w:rsidP="0081126C">
      <w:pPr>
        <w:pStyle w:val="NormalHanging12a"/>
        <w:ind w:left="570" w:hanging="570"/>
      </w:pPr>
      <w:r w:rsidRPr="0081126C">
        <w:t>17.</w:t>
      </w:r>
      <w:r w:rsidRPr="0081126C">
        <w:tab/>
      </w:r>
      <w:r w:rsidR="0088224E" w:rsidRPr="0081126C">
        <w:t>ζητεί να δημιουργηθεί κόμβος φορολογικών δεδομένων της ΕΕ ώστε να βελτιωθεί η αυτόματη ανταλλαγή φορολογικών πληροφοριών και να μειωθεί ο διοικητικός φόρτος· ενθαρρύνει την Επιτροπή και τα κράτη μέλη να αξιοποιήσουν τα υφιστάμενα εργαλεία, όπως το σύστημα ανταλλαγής πληροφοριών ΦΠΑ (VIES) και το σύστημα διακίνησης και ελέγχου των προϊόντων που υπόκεινται σε ειδικούς φόρους κατανάλωσης (EMCS), και να διερευνήσουν την επέκταση της εφαρμογής τους σε τομείς όπως η άμεση φορολογία· τονίζει ότι ένας τέτοιος κόμβος θα πρέπει να καθιστά δυνατή την από κοινού ανάλυση πληροφοριών σχετικών με τη διαδικασία ελέγχου της φορολογίας με διασυνοριακή συνιστώσα, να αποτρέπει τις αλληλεπικαλύψεις και να χρησιμεύει ως ενιαίο σημείο πρόσβασης για τις φορολογικές αρχές σε ολόκληρη την ΕΕ·</w:t>
      </w:r>
    </w:p>
    <w:p w14:paraId="6E6329FF" w14:textId="77A36287" w:rsidR="0088224E" w:rsidRPr="0081126C" w:rsidRDefault="0081126C" w:rsidP="0081126C">
      <w:pPr>
        <w:pStyle w:val="NormalHanging12a"/>
        <w:ind w:left="570" w:hanging="570"/>
      </w:pPr>
      <w:r w:rsidRPr="0081126C">
        <w:t>18.</w:t>
      </w:r>
      <w:r w:rsidRPr="0081126C">
        <w:tab/>
      </w:r>
      <w:r w:rsidR="0088224E" w:rsidRPr="0081126C">
        <w:t>υπογραμμίζει τον βασικό ρόλο που η ηλεκτρονική τιμολόγηση μπορεί να διαδραματίσει στην ενίσχυση της διαφάνειας, τη μείωση του διοικητικού φόρτου και τη διευκόλυνση της πρακτικής και αποδοτικής χρήσης των υποβαλλόμενων δεδομένων·</w:t>
      </w:r>
    </w:p>
    <w:p w14:paraId="6D4F1B16" w14:textId="01AA26E9" w:rsidR="0088224E" w:rsidRPr="0081126C" w:rsidRDefault="0081126C" w:rsidP="0081126C">
      <w:pPr>
        <w:pStyle w:val="NormalHanging12a"/>
        <w:ind w:left="570" w:hanging="570"/>
      </w:pPr>
      <w:r w:rsidRPr="0081126C">
        <w:t>19.</w:t>
      </w:r>
      <w:r w:rsidRPr="0081126C">
        <w:tab/>
      </w:r>
      <w:r w:rsidR="0088224E" w:rsidRPr="0081126C">
        <w:t>υπενθυμίζει ότι, εάν δεν υπάρχουν αξιόπιστες διαδικασίες υποβολής στοιχείων, οι φορολογικές αρχές δεν διαθέτουν τις βασικές πληροφορίες που απαιτούνται για τον εντοπισμό, τη διερεύνηση και την πρόληψη καταχρηστικών φορολογικών πρακτικών· υπογραμμίζει ότι η πρόσβαση σε έγκαιρα και ολοκληρωμένα φορολογικά δεδομένα είναι απαραίτητη για την εξασφάλιση της δικαιοσύνης των φορολογικών συστημάτων και την προστασία των δημόσιων εσόδων·</w:t>
      </w:r>
    </w:p>
    <w:p w14:paraId="0ECF1A26" w14:textId="7FBC9B99" w:rsidR="0088224E" w:rsidRPr="0081126C" w:rsidRDefault="0081126C" w:rsidP="0081126C">
      <w:pPr>
        <w:pStyle w:val="NormalHanging12a"/>
        <w:ind w:left="570" w:hanging="570"/>
      </w:pPr>
      <w:r w:rsidRPr="0081126C">
        <w:t>20.</w:t>
      </w:r>
      <w:r w:rsidRPr="0081126C">
        <w:tab/>
      </w:r>
      <w:r w:rsidR="0088224E" w:rsidRPr="0081126C">
        <w:t>αναγνωρίζει ότι, για να δικαιολογηθεί το κόστος συμμόρφωσης με τις απαιτήσεις υποβολής στοιχείων, υπάρχει ανάγκη για αποδοτικές φορολογικές αρχές με επαρκείς πόρους, εξοπλισμένες με κατάλληλα εκπαιδευμένο προσωπικό και σύγχρονες ψηφιακές υποδομές· τονίζει την ανάγκη επενδύσεων στην ικανότητα των φορολογικών αρχών να διασφαλίζουν ότι οι υφιστάμενες υποχρεώσεις υποβολής στοιχείων αξιοποιούνται στο έπακρο·</w:t>
      </w:r>
    </w:p>
    <w:p w14:paraId="3A2AE0B9" w14:textId="78E18BC9" w:rsidR="0088224E" w:rsidRPr="0081126C" w:rsidRDefault="0081126C" w:rsidP="0081126C">
      <w:pPr>
        <w:pStyle w:val="NormalHanging12a"/>
        <w:ind w:left="570" w:hanging="570"/>
      </w:pPr>
      <w:r w:rsidRPr="0081126C">
        <w:t>21.</w:t>
      </w:r>
      <w:r w:rsidRPr="0081126C">
        <w:tab/>
      </w:r>
      <w:r w:rsidR="0088224E" w:rsidRPr="0081126C">
        <w:t xml:space="preserve">υπενθυμίζει ότι η ύπαρξη απλών, σταθερών και προβλέψιμων φορολογικών κανόνων είναι ουσιαστική προϋπόθεση για μια ανταγωνιστική οικονομία και θα συμβάλουν στη δημιουργία θέσεων εργασίας και στην οικονομική μεγέθυνση· καλεί την Επιτροπή να εκδώσει συστάσεις για ένα απλουστευμένο, ανταγωνιστικό φορολογικό σύστημα για τη μείωση του διοικητικού φόρτου για τις εταιρείες και τους πολίτες, όπου κρίνεται σκόπιμο, για παράδειγμα με τον εξορθολογισμό της χρήσης του αριθμού φορολογικού </w:t>
      </w:r>
      <w:r w:rsidR="0088224E" w:rsidRPr="0081126C">
        <w:lastRenderedPageBreak/>
        <w:t>μητρώου σε όλα τα κράτη μέλη, καθώς και στον τομέα των φορολογικών κινήτρων· αναγνωρίζει ότι η φορολογική ασφάλεια και η απλούστευση των διαδικασιών επιστροφής και των εκπτώσεων αποτελούν καθοριστικής σημασίας λύσεις για τη μείωση του διοικητικού φόρτου, ιδίως για τις ΜΜΕ·</w:t>
      </w:r>
    </w:p>
    <w:p w14:paraId="19FBE689" w14:textId="43DFB9A3" w:rsidR="0088224E" w:rsidRPr="0081126C" w:rsidRDefault="0081126C" w:rsidP="0081126C">
      <w:pPr>
        <w:pStyle w:val="NormalHanging12a"/>
        <w:ind w:left="570" w:hanging="570"/>
      </w:pPr>
      <w:r w:rsidRPr="0081126C">
        <w:t>22.</w:t>
      </w:r>
      <w:r w:rsidRPr="0081126C">
        <w:tab/>
      </w:r>
      <w:r w:rsidR="0088224E" w:rsidRPr="0081126C">
        <w:t>επισημαίνει τη σημασία της φορολογικής απλούστευσης σε όλους τους τομείς· τονίζει την ανάγκη να αυξηθεί η συμμετοχή του λιανικού εμπορίου στις κεφαλαιαγορές μέσω της απλούστευσης των διαδικασιών υποβολής φορολογικών δηλώσεων για τους λογαριασμούς αποταμίευσης και επενδύσεων, ιδίως όταν οι λογαριασμοί αυτοί συνοδεύονται από φορολογικά κίνητρα· σημειώνει περαιτέρω τα πιλοτικά σχέδια της Επιτροπής σχετικά με τη συνεργατική συμμόρφωση των επιχειρήσεων, τα οποία αποσκοπούν στη μείωση των ελέγχων και στη βελτίωση της επίλυσης διαφορών για εταιρείες που πληρούν υψηλά πρότυπα συμμόρφωσης·</w:t>
      </w:r>
    </w:p>
    <w:p w14:paraId="6FC7DAA0" w14:textId="44928406" w:rsidR="0088224E" w:rsidRPr="0081126C" w:rsidRDefault="0081126C" w:rsidP="0081126C">
      <w:pPr>
        <w:pStyle w:val="NormalHanging12a"/>
        <w:ind w:left="570" w:hanging="570"/>
      </w:pPr>
      <w:r w:rsidRPr="0081126C">
        <w:t>23.</w:t>
      </w:r>
      <w:r w:rsidRPr="0081126C">
        <w:tab/>
      </w:r>
      <w:r w:rsidR="0088224E" w:rsidRPr="0081126C">
        <w:t>υπογραμμίζει τις δυνατότητες της ψηφιοποίησης, ιδίως της τεχνητής νοημοσύνης, ως εργαλείου για τη μείωση του διοικητικού φόρτου και του κόστους συμμόρφωσης για τις εταιρείες, ιδίως τις ΜΜΕ, και για τη στήριξη του εντοπισμού της απάτης στον τομέα του ΦΠΑ, διατηρώντας παράλληλα ένα ανθρώπινο στοιχείο για τους ποιοτικούς ελέγχους και για τη διασφάλιση διασφαλίσεων έναντι των κινδύνων διακρίσεων· σημειώνει ότι η ψηφιοποίηση μπορεί επίσης να ενισχύσει τη δημόσια φορολογική διοίκηση, δεδομένου ότι εξασφαλίζονται η διαφάνεια και η επαρκής εποπτεία της αυτοματοποιημένης λήψης αποφάσεων στον φορολογικό τομέα· παροτρύνει την Επιτροπή και τα κράτη μέλη να προωθήσουν την ψηφιοποίηση και την απλούστευση της φορολογικής διοίκησης, ενισχύοντας παράλληλα τη συνεργασία , τον συντονισμό και την ανταλλαγή βέλτιστων πρακτικών και τεχνογνωσίας μεταξύ των εθνικών αρχών, με την Επιτροπή να ενεργεί ως διαμεσολαβητής·</w:t>
      </w:r>
    </w:p>
    <w:p w14:paraId="611B298E" w14:textId="374A9DBF" w:rsidR="0088224E" w:rsidRPr="0081126C" w:rsidRDefault="0081126C" w:rsidP="0081126C">
      <w:pPr>
        <w:pStyle w:val="NormalHanging12a"/>
        <w:ind w:left="570" w:hanging="570"/>
      </w:pPr>
      <w:r w:rsidRPr="0081126C">
        <w:t>24.</w:t>
      </w:r>
      <w:r w:rsidRPr="0081126C">
        <w:tab/>
      </w:r>
      <w:r w:rsidR="0088224E" w:rsidRPr="0081126C">
        <w:t xml:space="preserve">τονίζει ότι τα κράτη μέλη θα πρέπει να διαθέσουν επαρκείς ανθρώπινους και οικονομικούς πόρους για την εφαρμογή οποιασδήποτε νέας φορολογικής νομοθεσίας και τον εκσυγχρονισμό των φορολογικών διοικήσεων, ιδίως μέσω επενδύσεων σε προσωπικό, κατάρτιση και ολοκληρωμένα, διαλειτουργικά συστήματα ΤΠ και διαβουλεύσεις με τον ιδιωτικό τομέα· καλεί την Επιτροπή να ενισχύσει τη στήριξή της μέσω του προγράμματος </w:t>
      </w:r>
      <w:proofErr w:type="spellStart"/>
      <w:r w:rsidR="0088224E" w:rsidRPr="0081126C">
        <w:t>Fiscalis</w:t>
      </w:r>
      <w:proofErr w:type="spellEnd"/>
      <w:r w:rsidR="0088224E" w:rsidRPr="0081126C">
        <w:t xml:space="preserve"> και να διερευνήσει ένα ειδικό χρηματοδοτικό πρόγραμμα της ΕΕ για την περαιτέρω στήριξη των εν λόγω επενδύσεων·</w:t>
      </w:r>
    </w:p>
    <w:p w14:paraId="6A16091F" w14:textId="04EDF131" w:rsidR="0088224E" w:rsidRPr="0081126C" w:rsidRDefault="0081126C" w:rsidP="0081126C">
      <w:pPr>
        <w:pStyle w:val="NormalHanging12a"/>
        <w:ind w:left="570" w:hanging="570"/>
      </w:pPr>
      <w:r w:rsidRPr="0081126C">
        <w:t>25.</w:t>
      </w:r>
      <w:r w:rsidRPr="0081126C">
        <w:tab/>
      </w:r>
      <w:r w:rsidR="0088224E" w:rsidRPr="0081126C">
        <w:t>καλεί την Επιτροπή να αξιολογήσει και να απλουστεύσει, εντός των ορίων της αρμοδιότητάς της και σε στενό και συνεχή διάλογο με τα κράτη μέλη, το ισχύον πλαίσιο ΦΠΑ, να μειώσει τον διοικητικό φόρτο, μεταξύ άλλων για επιχειρήσεις και κοινοτικές οργανώσεις, να ενισχύσει την ανταγωνιστικότητα και να μειώσει το χάσμα μεταξύ των αναμενόμενων εσόδων και του ποσού που πραγματικά εισπράττεται (έλλειμμα ΦΠΑ)· επαναλαμβάνει την έκκλησή του να καθιερωθεί ένα απλουστευμένο και εκσυγχρονισμένο σύστημα ΦΠΑ με όρια στις απαλλαγές και τους μειωμένους συντελεστές, με σκοπό την προώθηση του δίκαιου ανταγωνισμού, τη μείωση του κόστους συμμόρφωσης και τη βελτίωση της εθελοντικής συμμόρφωσης· σημειώνει τη δέσμη μέτρων για τον ΦΠΑ στην ψηφιακή εποχή (</w:t>
      </w:r>
      <w:proofErr w:type="spellStart"/>
      <w:r w:rsidR="0088224E" w:rsidRPr="0081126C">
        <w:t>ViDA</w:t>
      </w:r>
      <w:proofErr w:type="spellEnd"/>
      <w:r w:rsidR="0088224E" w:rsidRPr="0081126C">
        <w:t>) και καλεί την Επιτροπή να εκδώσει σαφείς και συνεπείς κατευθυντήριες γραμμές ώστε να εξασφαλιστεί η ομαλή εφαρμογή της οδηγίας (ΕΕ) 2025/516</w:t>
      </w:r>
      <w:r w:rsidR="0088224E" w:rsidRPr="0081126C">
        <w:rPr>
          <w:rStyle w:val="FootnoteReference"/>
        </w:rPr>
        <w:footnoteReference w:id="29"/>
      </w:r>
      <w:r w:rsidR="0088224E" w:rsidRPr="0081126C">
        <w:t xml:space="preserve">, ιδίως όσον αφορά την ενωσιακή απαίτηση για </w:t>
      </w:r>
      <w:r w:rsidR="0088224E" w:rsidRPr="0081126C">
        <w:lastRenderedPageBreak/>
        <w:t xml:space="preserve">ψηφιακή υποβολή στοιχείων· επισημαίνει ότι το έλλειμμα συμμόρφωσης με τον ΦΠΑ ποικίλλει σημαντικά μεταξύ των κρατών μελών και εκφράζει την ικανοποίησή του για τη δέσμη μέτρων </w:t>
      </w:r>
      <w:proofErr w:type="spellStart"/>
      <w:r w:rsidR="0088224E" w:rsidRPr="0081126C">
        <w:t>ViDA</w:t>
      </w:r>
      <w:proofErr w:type="spellEnd"/>
      <w:r w:rsidR="0088224E" w:rsidRPr="0081126C">
        <w:t xml:space="preserve"> ως εργαλείο για την ενίσχυση της διαφάνειας και τη μείωση της απάτης· ζητεί τη συντονισμένη εφαρμογή σε εθνικό επίπεδο, προκειμένου να διασφαλιστεί η συνοχή και ότι το μοντέλο της μονοαπευθυντικής θυρίδας για τον ΦΠΑ είναι αποτελεσματικό και φιλικό προς τον χρήστη, ιδίως για τις ΜΜΕ· ζητεί περαιτέρω μεταρρυθμίσεις για τη διευκόλυνση της ηλεκτρονικής εγγραφής των μικρών επιχειρήσεων στα μητρώα ΦΠΑ και την αύξηση της ψηφιοποίησης της είσπραξης του ΦΠΑ· καλεί την Επιτροπή να αξιοποιήσει και να επεκτείνει τη μονοαπευθυντική θυρίδα για τον ΦΠΑ σε σχέση με το διασυνοριακό ηλεκτρονικό εμπόριο μεταξύ επιχειρήσεων και καταναλωτών, προκειμένου να μειωθούν ο διοικητικός φόρτος και το κόστος συμμόρφωσης·</w:t>
      </w:r>
    </w:p>
    <w:p w14:paraId="6A68D09D" w14:textId="059D7714" w:rsidR="0088224E" w:rsidRPr="0081126C" w:rsidRDefault="0081126C" w:rsidP="0081126C">
      <w:pPr>
        <w:pStyle w:val="NormalHanging12a"/>
        <w:ind w:left="570" w:hanging="570"/>
      </w:pPr>
      <w:r w:rsidRPr="0081126C">
        <w:t>26.</w:t>
      </w:r>
      <w:r w:rsidRPr="0081126C">
        <w:tab/>
      </w:r>
      <w:r w:rsidR="0088224E" w:rsidRPr="0081126C">
        <w:t xml:space="preserve">σημειώνει τη σημαντική μεταβολή στην αγοραστική συμπεριφορά κατά την τελευταία δεκαετία, με απότομη αύξηση του ηλεκτρονικού εμπορίου κατά τη διάρκεια της πανδημίας </w:t>
      </w:r>
      <w:r w:rsidR="000A2222" w:rsidRPr="0081126C">
        <w:t xml:space="preserve">της </w:t>
      </w:r>
      <w:r w:rsidR="0088224E" w:rsidRPr="0081126C">
        <w:t>COVID-19, η οποία παραμένει έως σήμερα· αναγνωρίζει ότι οι διαδικτυακές αγορές θα πρέπει να συμβάλλουν σε μεγαλύτερη συμμόρφωση με τον ΦΠΑ λόγω της ηλεκτρονικής διαδρομής ελέγχου, ωστόσο η έκθεση της Επιτροπής για το έλλειμμα ΦΠΑ του 2024 επισημαίνει πως η συσχέτιση δεν είναι τόσο σαφής λόγω της πολυπλοκότητας που συνεπάγονται οι διαδικτυακές πωλήσεις· προτρέπει την Επιτροπή να αξιολογήσει κατά πόσον το κεκτημένο στον τομέα του ΦΠΑ είναι κατάλληλο για τον επιδιωκόμενο σκοπό, δεδομένου ότι το ηλεκτρονικό εμπόριο είναι ολοένα και πιο δημοφιλές·</w:t>
      </w:r>
    </w:p>
    <w:p w14:paraId="5217F585" w14:textId="4444271E" w:rsidR="0088224E" w:rsidRPr="0081126C" w:rsidRDefault="0081126C" w:rsidP="0081126C">
      <w:pPr>
        <w:pStyle w:val="NormalHanging12a"/>
        <w:ind w:left="570" w:hanging="570"/>
      </w:pPr>
      <w:r w:rsidRPr="0081126C">
        <w:t>27.</w:t>
      </w:r>
      <w:r w:rsidRPr="0081126C">
        <w:tab/>
      </w:r>
      <w:r w:rsidR="0088224E" w:rsidRPr="0081126C">
        <w:t>ζητεί τη βελτίωση της οδηγίας 2008/9/ΕΚ του Συμβουλίου</w:t>
      </w:r>
      <w:r w:rsidR="0088224E" w:rsidRPr="0081126C">
        <w:rPr>
          <w:rStyle w:val="FootnoteReference"/>
        </w:rPr>
        <w:footnoteReference w:id="30"/>
      </w:r>
      <w:r w:rsidR="0088224E" w:rsidRPr="0081126C">
        <w:t>· υπογραμμίζει τη σημασία να διερευνηθεί η ενσωμάτωση των διασυνοριακών επιστροφών ΦΠΑ στο μοντέλο μονοαπευθυντικής θυρίδας, προκειμένου να απλουστευθεί περαιτέρω η συμμόρφωση με τον ΦΠΑ για τις επιχειρήσεις που ασχολούνται με διασυνοριακό εμπόριο, και παράλληλα να εξασφαλιστεί η ευθυγράμμιση με τις υφιστάμενες υποχρεώσεις ΦΠΑ σε όλα τα κράτη μέλη·</w:t>
      </w:r>
    </w:p>
    <w:p w14:paraId="43A3B1F8" w14:textId="6235C7F0" w:rsidR="0088224E" w:rsidRPr="0081126C" w:rsidRDefault="0081126C" w:rsidP="0081126C">
      <w:pPr>
        <w:pStyle w:val="NormalHanging12a"/>
        <w:ind w:left="570" w:hanging="570"/>
      </w:pPr>
      <w:r w:rsidRPr="0081126C">
        <w:t>28.</w:t>
      </w:r>
      <w:r w:rsidRPr="0081126C">
        <w:tab/>
      </w:r>
      <w:r w:rsidR="0088224E" w:rsidRPr="0081126C">
        <w:t>ζητεί να εφαρμόζονται με συνέπεια οι βασικές έννοιες και να εξορθολογιστούν οι ορισμοί ώστε να είναι αποτελεσματικότερο το σύστημα ΦΠΑ, συμπεριλαμβανομένης, για παράδειγμα, της εφαρμογής κοινών ερμηνειών για τα «αγαθά που εγκαθίστανται και συναρμολογούνται», όπως περιγράφεται στο άρθρο 36 της οδηγίας ΦΠΑ</w:t>
      </w:r>
      <w:r w:rsidR="0088224E" w:rsidRPr="0081126C">
        <w:rPr>
          <w:rStyle w:val="FootnoteReference"/>
        </w:rPr>
        <w:footnoteReference w:id="31"/>
      </w:r>
      <w:r w:rsidR="0088224E" w:rsidRPr="0081126C">
        <w:t>, και με τη συνεπή εφαρμογή των ορισμών των μόνιμων εγκαταστάσεων και των σταθερών ή άλλων εγκαταστάσεων·</w:t>
      </w:r>
    </w:p>
    <w:p w14:paraId="79EF5C9E" w14:textId="78A161E7" w:rsidR="0088224E" w:rsidRPr="0081126C" w:rsidRDefault="0081126C" w:rsidP="0081126C">
      <w:pPr>
        <w:pStyle w:val="NormalHanging12a"/>
        <w:ind w:left="570" w:hanging="570"/>
      </w:pPr>
      <w:r w:rsidRPr="0081126C">
        <w:t>29.</w:t>
      </w:r>
      <w:r w:rsidRPr="0081126C">
        <w:tab/>
      </w:r>
      <w:r w:rsidR="0088224E" w:rsidRPr="0081126C">
        <w:t xml:space="preserve">υπογραμμίζει την ανάγκη για ένα πιο βιώσιμο και δίκαιο σύστημα ΦΠΑ με περαιτέρω εξέταση του τρόπου με τον οποίον οι συντελεστές ΦΠΑ μπορούν να χρησιμοποιηθούν για την επίτευξη των στόχων βιωσιμότητας· προτείνει να αξιολογήσει η Επιτροπή κατά </w:t>
      </w:r>
      <w:r w:rsidR="0088224E" w:rsidRPr="0081126C">
        <w:lastRenderedPageBreak/>
        <w:t>πόσον μπορούν να εξαλειφθούν οι επιβαρύνσεις ΦΠΑ για αγαθά που παραδίδονται δωρεάν προς κοινωνικό και περιβαλλοντικό όφελος·</w:t>
      </w:r>
    </w:p>
    <w:p w14:paraId="6EC11E52" w14:textId="6B24AA2D" w:rsidR="0088224E" w:rsidRPr="0081126C" w:rsidRDefault="0081126C" w:rsidP="0081126C">
      <w:pPr>
        <w:pStyle w:val="NormalHanging12a"/>
        <w:ind w:left="570" w:hanging="570"/>
      </w:pPr>
      <w:r w:rsidRPr="0081126C">
        <w:t>30.</w:t>
      </w:r>
      <w:r w:rsidRPr="0081126C">
        <w:tab/>
      </w:r>
      <w:r w:rsidR="0088224E" w:rsidRPr="0081126C">
        <w:t>σημειώνει ότι, ενώ οι μειωμένοι συντελεστές ΦΠΑ έχουν θεμιτό σκοπό να στηρίξουν τους ευρείς κοινωνικούς και οικονομικούς στόχους των κρατών μελών, συμπεριλαμβανομένης της στήριξης των ευάλωτων μελών της κοινωνίας και των παιδιών, η ευρύτερη εφαρμογή τους αυξάνει την ανασφάλεια δικαίου και την πολυπλοκότητα του φορολογικού συστήματος· επισημαίνει ότι ενώ οι μειωμένοι συντελεστές ΦΠΑ μπορούν να οδηγήσουν σε μείωση της τιμής για τον καταναλωτή, αυτό εξαρτάται επίσης από άλλους παράγοντες· θεωρεί, επομένως, ότι, με γνώμονα την απλούστευση, θα ήταν χρήσιμο να επανεξετάζεται και να αξιολογείται περιοδικά ποιοι μειωμένοι συντελεστές ΦΠΑ εξακολουθούν να είναι αναγκαίοι και αποτελεσματικοί για την επίτευξη των επιδιωκόμενων στόχων πολιτικής των κρατών μελών·</w:t>
      </w:r>
    </w:p>
    <w:p w14:paraId="01B512A0" w14:textId="51F62635" w:rsidR="0088224E" w:rsidRPr="0081126C" w:rsidRDefault="0081126C" w:rsidP="0081126C">
      <w:pPr>
        <w:pStyle w:val="NormalHanging12a"/>
        <w:ind w:left="570" w:hanging="570"/>
      </w:pPr>
      <w:r w:rsidRPr="0081126C">
        <w:t>31.</w:t>
      </w:r>
      <w:r w:rsidRPr="0081126C">
        <w:tab/>
      </w:r>
      <w:r w:rsidR="0088224E" w:rsidRPr="0081126C">
        <w:t xml:space="preserve">επαναλαμβάνει τη θέση του Κοινοβουλίου σχετικά με το προτεινόμενο φορολογικό σύστημα με βάση την έδρα για τις ΜΜΕ, την προτεινόμενη οδηγία </w:t>
      </w:r>
      <w:proofErr w:type="spellStart"/>
      <w:r w:rsidR="0088224E" w:rsidRPr="0081126C">
        <w:t>Unshell</w:t>
      </w:r>
      <w:proofErr w:type="spellEnd"/>
      <w:r w:rsidR="0088224E" w:rsidRPr="0081126C">
        <w:t xml:space="preserve"> και την προτεινόμενη έκπτωση φόρου για τη μείωση της στρέβλωσης που προκαλείται από την ευνοϊκή μεταχείριση του χρέους έναντι του μετοχικού κεφαλαίου (DEBRA)·</w:t>
      </w:r>
    </w:p>
    <w:p w14:paraId="1A9827B8" w14:textId="5707668D" w:rsidR="0088224E" w:rsidRPr="0081126C" w:rsidRDefault="0081126C" w:rsidP="0081126C">
      <w:pPr>
        <w:pStyle w:val="NormalHanging12a"/>
        <w:ind w:left="570" w:hanging="570"/>
      </w:pPr>
      <w:r w:rsidRPr="0081126C">
        <w:t>32.</w:t>
      </w:r>
      <w:r w:rsidRPr="0081126C">
        <w:tab/>
      </w:r>
      <w:r w:rsidR="0088224E" w:rsidRPr="0081126C">
        <w:t>τονίζει ότι η πολυπλοκότητα και οι αποκλίσεις στις αλληλεπιδράσεις μεταξύ των διαφόρων εθνικών φορολογικών συστημάτων μπορούν να δημιουργήσουν άνισους όρους ανταγωνισμού και να έχουν αρνητικές επιπτώσεις στη λειτουργία της εσωτερικής αγοράς· τονίζει ότι αυτό μπορεί να αποθαρρύνει τις διασυνοριακές επενδύσεις, γεγονός που μπορεί να θέτει σε ιδιαίτερα μειονεκτική θέση τις ΜΜΕ και τις αμιγώς εγχώριες επιχειρήσεις, οι οποίες δεν διαθέτουν τους πόρους για να αξιοποιήσουν πολύπλοκα συστήματα φορολογικού σχεδιασμού και, επομένως, βρίσκονται αντιμέτωπες με ένα άδικο ανταγωνιστικό περιβάλλον που δεν είναι επιρρεπές σε κλιμάκωση·</w:t>
      </w:r>
    </w:p>
    <w:p w14:paraId="5A387C09" w14:textId="47CE7911" w:rsidR="0088224E" w:rsidRPr="0081126C" w:rsidRDefault="0081126C" w:rsidP="0081126C">
      <w:pPr>
        <w:pStyle w:val="NormalHanging12a"/>
        <w:ind w:left="570" w:hanging="570"/>
      </w:pPr>
      <w:r w:rsidRPr="0081126C">
        <w:t>33.</w:t>
      </w:r>
      <w:r w:rsidRPr="0081126C">
        <w:tab/>
      </w:r>
      <w:r w:rsidR="0088224E" w:rsidRPr="0081126C">
        <w:t>λαμβάνει υπό σημείωση τις εργασίες σχετικά με την πρόταση για τις επιχειρήσεις στην Ευρώπη: Πλαίσιο για τη φορολογία εισοδήματος (BEFIT)· υπενθυμίζει τους στόχους της Επιτροπής, προτείνοντας το BEFIT, να μειώσει την πολυπλοκότητα των φορολογικών κανόνων και το κόστος συμμόρφωσης για τις επιχειρήσεις της ΕΕ με διασυνοριακές δραστηριότητες· λαμβάνει υπό σημείωση τις δυνατότητές του να μειώσει τον κατακερματισμό και να δημιουργήσει ισότιμους όρους ανταγωνισμού για τις επιχειρήσεις εντός της εσωτερικής αγοράς· τονίζει ότι κάθε πρωτοβουλία της ΕΕ πρέπει να αποφέρει προστιθέμενη αξία τόσο από νομική όσο και από οικονομική άποψη, και ζητεί μια αποτελεσματική και ισορροπημένη προσέγγιση που θα ωφελεί όλα τα κράτη μέλη, θα σέβεται την αρχή της επικουρικότητας και θα ευθυγραμμίζεται συνεκτικά με την εφαρμογή των κανόνων του δεύτερου πυλώνα του ΟΟΣΑ·</w:t>
      </w:r>
    </w:p>
    <w:p w14:paraId="43FB4CF8" w14:textId="77777777" w:rsidR="0088224E" w:rsidRPr="0081126C" w:rsidRDefault="0088224E" w:rsidP="004D6FE8">
      <w:pPr>
        <w:pStyle w:val="Normal12a24b"/>
        <w:widowControl/>
        <w:spacing w:before="0"/>
      </w:pPr>
      <w:r w:rsidRPr="0081126C">
        <w:rPr>
          <w:rStyle w:val="BoldItalic"/>
        </w:rPr>
        <w:t>Πυλώνες 1 και 2 του ΟΟΣΑ και διεθνής φορολογία</w:t>
      </w:r>
    </w:p>
    <w:p w14:paraId="1AC4AEEC" w14:textId="5BD2FA05" w:rsidR="0088224E" w:rsidRPr="0081126C" w:rsidRDefault="0081126C" w:rsidP="0081126C">
      <w:pPr>
        <w:pStyle w:val="NormalHanging12a"/>
        <w:ind w:left="570" w:hanging="570"/>
      </w:pPr>
      <w:r w:rsidRPr="0081126C">
        <w:t>34.</w:t>
      </w:r>
      <w:r w:rsidRPr="0081126C">
        <w:tab/>
      </w:r>
      <w:r w:rsidR="0088224E" w:rsidRPr="0081126C">
        <w:t xml:space="preserve">επαναλαμβάνει την ενισχυμένη δέσμευση της ΕΕ για εφαρμογή της προσέγγισης δύο πυλώνων του Πλαισίου χωρίς αποκλεισμούς των ΟΟΣΑ/G20, λαμβάνοντας παράλληλα υπόψη την τρέχουσα κατάσταση όσον αφορά τους κανόνες του πυλώνα 2, συμπεριλαμβανομένου του πρόσφατου εκτελεστικού διατάγματος που εξέδωσε ο Πρόεδρος των ΗΠΑ στις 20 Ιανουαρίου 2025, στο οποίο δηλώνεται ότι η Παγκόσμια Φορολογική Συμφωνία του ΟΟΣΑ δεν ισχύει ούτε εφαρμόζεται στις Ηνωμένες Πολιτείες· παροτρύνει την Επιτροπή να δώσει προτεραιότητα στις εργασίες που διατηρούν και προστατεύουν τη συμφωνία, προκειμένου να αποφευχθεί η επιστροφή σε επιζήμιο φορολογικό ανταγωνισμό εις βάρος των δημόσιων εσόδων και των </w:t>
      </w:r>
      <w:r w:rsidR="0088224E" w:rsidRPr="0081126C">
        <w:lastRenderedPageBreak/>
        <w:t>συμφερόντων της ΕΕ· παροτρύνει την Επιτροπή να ενημερώσει το Κοινοβούλιο σχετικά με τα σχέδια έκτακτης ανάγκης και να αναλάβει άμεση και στοχευμένη δράση για τη διασφάλιση της ακεραιότητας και αποτελεσματικότητας της οδηγίας για τον πυλώνα 2</w:t>
      </w:r>
      <w:r w:rsidR="0088224E" w:rsidRPr="0081126C">
        <w:rPr>
          <w:rStyle w:val="FootnoteReference"/>
        </w:rPr>
        <w:footnoteReference w:id="32"/>
      </w:r>
      <w:r w:rsidR="0088224E" w:rsidRPr="0081126C">
        <w:t>, την προστασία των συμφερόντων της ΕΕ και την πρόληψη αντιποίνων· σημειώνει τη δυνατότητα διοικητικής απλούστευσης κατά την εφαρμογή της οδηγίας για τον πυλώνα 2·</w:t>
      </w:r>
    </w:p>
    <w:p w14:paraId="06774BA2" w14:textId="49018EE0" w:rsidR="0088224E" w:rsidRPr="0081126C" w:rsidRDefault="0081126C" w:rsidP="0081126C">
      <w:pPr>
        <w:pStyle w:val="NormalHanging12a"/>
        <w:ind w:left="570" w:hanging="570"/>
      </w:pPr>
      <w:r w:rsidRPr="0081126C">
        <w:t>35.</w:t>
      </w:r>
      <w:r w:rsidRPr="0081126C">
        <w:tab/>
      </w:r>
      <w:r w:rsidR="0088224E" w:rsidRPr="0081126C">
        <w:t>τονίζει ότι ο πυλώνας 2 θα πρέπει να εξασφαλίζει παγκόσμιο ελάχιστο επίπεδο φορολογίας των πολυεθνικών και των μεγάλης κλίμακας εγχώριων ομίλων στην ΕΕ· εκφράζει την ικανοποίησή του για την μεταφορά του στο εθνικό δίκαιο· ζητεί νομική σαφήνεια, λαμβανομένων υπόψη των διαφορών μεταξύ των κανόνων του πυλώνα 2 του ΟΟΣΑ και της εφαρμογής τους από τα κράτη μέλη, ειδικότερα στις ναυτιλιακές δραστηριότητες, ώστε να μην δημιουργηθούν αντικρουόμενα φορολογικά καθεστώτα που μπορεί να προκαλέσουν σύγχυση· αναμένει ότι η διαδικασία διαπραγμάτευσης και δημοσίευσης των διοικητικών κατευθυντήριων γραμμών θα τερματιστεί σύντομα και θα παρασχεθεί στις εταιρείες που εμπίπτουν στο πεδίο εφαρμογής του πυλώνα 2 η αναγκαία ασφάλεια· αναμένει περαιτέρω εξελίξεις όσον αφορά τους υφιστάμενους ασφαλείς λιμένες για τη διευκόλυνση της συμμόρφωσης, όπως η ανάπτυξη μόνιμου ασφαλούς λιμένα·</w:t>
      </w:r>
    </w:p>
    <w:p w14:paraId="299D4CA9" w14:textId="0C8442C1" w:rsidR="0088224E" w:rsidRPr="0081126C" w:rsidRDefault="0081126C" w:rsidP="0081126C">
      <w:pPr>
        <w:pStyle w:val="NormalHanging12a"/>
        <w:ind w:left="570" w:hanging="570"/>
      </w:pPr>
      <w:r w:rsidRPr="0081126C">
        <w:t>36.</w:t>
      </w:r>
      <w:r w:rsidRPr="0081126C">
        <w:tab/>
      </w:r>
      <w:r w:rsidR="0088224E" w:rsidRPr="0081126C">
        <w:t>επισημαίνει τον σημαντικό ρόλο που διαδραμάτισαν η Ευρωπαϊκή Εισαγγελία και η Ευρωπαϊκή Υπηρεσία Καταπολέμησης της Απάτης (OLAF) στον εντοπισμό και τη διερεύνηση της φορολογικής απάτης και της φοροδιαφυγής, και τονίζει την ανάγκη για αποτελεσματική συνεργασία μεταξύ των εν λόγω φορέων και με τις εθνικές φορολογικές αρχές·</w:t>
      </w:r>
    </w:p>
    <w:p w14:paraId="1292BBD3" w14:textId="410F8C40" w:rsidR="0088224E" w:rsidRPr="0081126C" w:rsidRDefault="0081126C" w:rsidP="0081126C">
      <w:pPr>
        <w:pStyle w:val="NormalHanging12a"/>
        <w:ind w:left="570" w:hanging="570"/>
      </w:pPr>
      <w:r w:rsidRPr="0081126C">
        <w:t>37.</w:t>
      </w:r>
      <w:r w:rsidRPr="0081126C">
        <w:tab/>
      </w:r>
      <w:r w:rsidR="0088224E" w:rsidRPr="0081126C">
        <w:t>λαμβάνει υπόψη του τη δημοσίευση από τον ΟΟΣΑ τον Οκτώβριο</w:t>
      </w:r>
      <w:r w:rsidR="000A2222" w:rsidRPr="0081126C">
        <w:t xml:space="preserve"> του</w:t>
      </w:r>
      <w:r w:rsidR="0088224E" w:rsidRPr="0081126C">
        <w:t xml:space="preserve"> 2023 της πολυμερούς σύμβασης, στην οποία ορίζονται οι τεχνικοί κανόνες για την εφαρμογή του ποσού Α στον πυλώνα 1 καθώς και τις εν εξελίξει διαπραγματεύσεις· καλεί την Επιτροπή να αξιολογήσει τις πιθανές επιπτώσεις ενός φόρου ψηφιακών υπηρεσιών·</w:t>
      </w:r>
    </w:p>
    <w:p w14:paraId="223C4B9F" w14:textId="77777777" w:rsidR="0088224E" w:rsidRPr="0081126C" w:rsidRDefault="0088224E" w:rsidP="004D6FE8">
      <w:pPr>
        <w:pStyle w:val="Normal12a24b"/>
        <w:widowControl/>
        <w:spacing w:before="0"/>
      </w:pPr>
      <w:r w:rsidRPr="0081126C">
        <w:rPr>
          <w:rStyle w:val="BoldItalic"/>
        </w:rPr>
        <w:t>Φορολογικοί φραγμοί στην ενιαία αγορά</w:t>
      </w:r>
    </w:p>
    <w:p w14:paraId="7E2DCE8D" w14:textId="1222186B" w:rsidR="0088224E" w:rsidRPr="0081126C" w:rsidRDefault="0081126C" w:rsidP="0081126C">
      <w:pPr>
        <w:pStyle w:val="NormalHanging12a"/>
        <w:ind w:left="570" w:hanging="570"/>
      </w:pPr>
      <w:r w:rsidRPr="0081126C">
        <w:t>38.</w:t>
      </w:r>
      <w:r w:rsidRPr="0081126C">
        <w:tab/>
      </w:r>
      <w:r w:rsidR="0088224E" w:rsidRPr="0081126C">
        <w:t xml:space="preserve">σημειώνει την έκθεση </w:t>
      </w:r>
      <w:proofErr w:type="spellStart"/>
      <w:r w:rsidR="0088224E" w:rsidRPr="0081126C">
        <w:t>Letta</w:t>
      </w:r>
      <w:proofErr w:type="spellEnd"/>
      <w:r w:rsidR="0088224E" w:rsidRPr="0081126C">
        <w:t xml:space="preserve"> και την αναφορά σε εθελοντικό 28ο καθεστώς, που εστιάζει στην προσέλκυση και διατήρηση καινοτόμων νεοφυών επιχειρήσεων στην ΕΕ· σημειώνει ότι το κατακερματισμένο φορολογικό τοπίο της ΕΕ δημιουργεί πολυπλοκότητα, αβεβαιότητα και υψηλό κόστος συμμόρφωσης για τις επιχειρήσεις της ΕΕ και, ιδίως, τις ΜΜΕ, και καλεί την Επιτροπή να διερευνήσει και να εκτιμήσει τα οφέλη και τα μειονεκτήματα της επιλογής του 28ου καθεστώτος· υπογραμμίζει ότι πρέπει να αντιμετωπιστούν τα φορολογικά εμπόδια στις διασυνοριακές επενδύσεις και να μειωθεί η υπερβολική εξάρτηση από το χρέος και να αυξηθεί η χρηματοδότηση των επιχειρήσεων· υπενθυμίζει, εν προκειμένω, την έκθεση </w:t>
      </w:r>
      <w:proofErr w:type="spellStart"/>
      <w:r w:rsidR="0088224E" w:rsidRPr="0081126C">
        <w:t>Draghi</w:t>
      </w:r>
      <w:proofErr w:type="spellEnd"/>
      <w:r w:rsidR="0088224E" w:rsidRPr="0081126C">
        <w:t xml:space="preserve">, στην οποία τονίζεται το γεγονός ότι οι πολίτες της ΕΕ θα πρέπει να είναι σε θέση να επενδύουν σε άλλα κράτη μέλη χωρίς πολύπλοκες φορολογικές διαδικασίες και η οποία οδηγεί ουσιαστικά σε διπλή φορολόγηση· επισημαίνει ότι η τήρηση των αρχών αυτών είναι καίριας σημασίας για να καταστεί η ΕΕ ανταγωνιστικός κόμβος επενδύσεων και καινοτομίας· </w:t>
      </w:r>
      <w:r w:rsidR="0088224E" w:rsidRPr="0081126C">
        <w:lastRenderedPageBreak/>
        <w:t>υπογραμμίζει ότι είναι σημαντικό να διερευνηθούν τρόποι για την απλούστευση και την τυποποίηση των κανόνων τεκμηρίωσης της μεταβιβαστικής τιμολόγησης σε ολόκληρη την ΕΕ, συμπεριλαμβανομένης μιας προσεκτικής και ισορροπημένης αξιολόγησης των υφιστάμενων κατώτατων ορίων και κριτηρίων σημαντικότητας, λαμβάνοντας παράλληλα υπόψη τις ιδιαιτερότητες των κρατών μελών, με στόχο τη μείωση του κόστους συμμόρφωσης για τις συναλλαγές, χωρίς να υπονομεύονται τα πρότυπα διαφάνειας και χωρίς να διευκολύνεται ο επιθετικός φορολογικός σχεδιασμός και η φοροδιαφυγή·</w:t>
      </w:r>
    </w:p>
    <w:p w14:paraId="3E59F57A" w14:textId="40AB993A" w:rsidR="0088224E" w:rsidRPr="0081126C" w:rsidRDefault="0081126C" w:rsidP="0081126C">
      <w:pPr>
        <w:pStyle w:val="NormalHanging12a"/>
        <w:ind w:left="570" w:hanging="570"/>
      </w:pPr>
      <w:r w:rsidRPr="0081126C">
        <w:t>39.</w:t>
      </w:r>
      <w:r w:rsidRPr="0081126C">
        <w:tab/>
      </w:r>
      <w:r w:rsidR="0088224E" w:rsidRPr="0081126C">
        <w:t>εκφράζει τη λύπη του διότι η Πυξίδα Ανταγωνιστικότητας της Επιτροπής στερείται συγκεκριμένης καθοδήγησης σχετικά με την άρση των φορολογικών φραγμών στις διασυνοριακές επενδύσεις· καλεί την Επιτροπή να διενεργήσει στοχευμένες μελέτες για την αξιολόγηση των οικονομικών και ανταγωνιστικών επιπτώσεων του κατακερματισμού αυτού, εστιάζοντας στον εντοπισμό των τομέων που πλήττονται περισσότερο και στην υποβολή πρότασης με συγκεκριμένα μέτρα για την απλούστευση των φορολογικών συστημάτων και την ενίσχυση της αμοιβαίας εμπιστοσύνης μεταξύ των κρατών μελών, ιδίως προς στήριξη των ΜΜΕ·</w:t>
      </w:r>
    </w:p>
    <w:p w14:paraId="1C2B25B6" w14:textId="17A21927" w:rsidR="0088224E" w:rsidRPr="0081126C" w:rsidRDefault="0081126C" w:rsidP="0081126C">
      <w:pPr>
        <w:pStyle w:val="NormalHanging12a"/>
        <w:ind w:left="570" w:hanging="570"/>
      </w:pPr>
      <w:r w:rsidRPr="0081126C">
        <w:t>40.</w:t>
      </w:r>
      <w:r w:rsidRPr="0081126C">
        <w:tab/>
      </w:r>
      <w:r w:rsidR="0088224E" w:rsidRPr="0081126C">
        <w:t>επικροτεί την πρόσφατη έναρξη ισχύος της οδηγίας FASTER</w:t>
      </w:r>
      <w:r w:rsidR="0088224E" w:rsidRPr="0081126C">
        <w:rPr>
          <w:rStyle w:val="FootnoteReference"/>
        </w:rPr>
        <w:footnoteReference w:id="33"/>
      </w:r>
      <w:r w:rsidR="0088224E" w:rsidRPr="0081126C">
        <w:t xml:space="preserve"> σχετικά με την παρακράτηση φόρου στην πηγή ως σημαντικό πρώτο βήμα προς τον εκσυγχρονισμό και εξορθολογισμό των διασυνοριακών φορολογικών διαδικασιών εντός της ΕΕ· σημειώνει τις συστάσεις της έκθεσης </w:t>
      </w:r>
      <w:proofErr w:type="spellStart"/>
      <w:r w:rsidR="0088224E" w:rsidRPr="0081126C">
        <w:t>Draghi</w:t>
      </w:r>
      <w:proofErr w:type="spellEnd"/>
      <w:r w:rsidR="0088224E" w:rsidRPr="0081126C">
        <w:t xml:space="preserve"> και υπενθυμίζει τις συστάσεις του Κοινοβουλίου στο ψήφισμά του σχετικά με ένα πλαίσιο παρακράτησης φόρου στην πηγή</w:t>
      </w:r>
      <w:r w:rsidR="0088224E" w:rsidRPr="0081126C">
        <w:rPr>
          <w:rStyle w:val="FootnoteReference"/>
        </w:rPr>
        <w:footnoteReference w:id="34"/>
      </w:r>
      <w:r w:rsidR="0088224E" w:rsidRPr="0081126C">
        <w:t>, η θέσπιση του οποίου είναι απαραίτητη για τη μείωση της πολυπλοκότητας, την αύξηση της ασφάλειας δικαίου για τους επενδυτές και την αναχαίτιση της πρακτικής της αναζήτησης ευνοϊκότερης φορολογικής σύμβασης· επισημαίνει επιπλέον ότι η μεταρρύθμιση της φορολογικής πολιτικής θα μπορούσε επίσης να διευκολύνει την περαιτέρω ολοκλήρωση των κεφαλαιαγορών της ΕΕ, στο πλαίσιο της Ένωσης Αποταμιεύσεων και Επενδύσεων·</w:t>
      </w:r>
    </w:p>
    <w:p w14:paraId="3E52692B" w14:textId="338F32F1" w:rsidR="0088224E" w:rsidRPr="0081126C" w:rsidRDefault="0081126C" w:rsidP="0081126C">
      <w:pPr>
        <w:pStyle w:val="NormalHanging12a"/>
        <w:ind w:left="570" w:hanging="570"/>
      </w:pPr>
      <w:r w:rsidRPr="0081126C">
        <w:t>41.</w:t>
      </w:r>
      <w:r w:rsidRPr="0081126C">
        <w:tab/>
      </w:r>
      <w:r w:rsidR="0088224E" w:rsidRPr="0081126C">
        <w:t>καλεί την Επιτροπή να προβεί σε διερεύνηση των υφιστάμενων φορολογικών εμποδίων για την ολοκλήρωση της ενιαίας αγοράς και να υποβάλει σχέδιο δράσης για την αντιμετώπισή τους·</w:t>
      </w:r>
    </w:p>
    <w:p w14:paraId="7A997D58" w14:textId="165AC6F4" w:rsidR="0088224E" w:rsidRPr="0081126C" w:rsidRDefault="0081126C" w:rsidP="0081126C">
      <w:pPr>
        <w:pStyle w:val="NormalHanging12a"/>
        <w:ind w:left="570" w:hanging="570"/>
      </w:pPr>
      <w:r w:rsidRPr="0081126C">
        <w:t>42.</w:t>
      </w:r>
      <w:r w:rsidRPr="0081126C">
        <w:tab/>
      </w:r>
      <w:r w:rsidR="0088224E" w:rsidRPr="0081126C">
        <w:t>ζητεί κατευθυντήριες αρχές σχετικά με τα δικαιώματα των φορολογουμένων για τον εντοπισμό των συνεχιζόμενων φορολογικών φραγμών εντός της ενιαίας αγοράς και συνιστά βέλτιστες πρακτικές από ολόκληρη την ΕΕ για την ενίσχυση των εμπειριών των φορολογουμένων, διασφαλίζοντας παράλληλα ότι οι εν λόγω κατευθυντήριες αρχές δεν περιορίζουν την ικανότητα των κρατών μελών να εφαρμόζουν μέτρα κατά των καταχρήσεων για τη διασφάλιση της ορθής επιβολής της φορολογικής τους νομοθεσίας· αναγνωρίζει την απροθυμία της Επιτροπής να παρουσιάσει την προγραμματισμένη ανακοίνωση σχετικά με τα δικαιώματα των πολιτών ως φορολογουμένων, την οποία είχε ανακοινώσει στο σχέδιο δράσης της για το 2021·</w:t>
      </w:r>
    </w:p>
    <w:p w14:paraId="6D6A9A4B" w14:textId="3C8A07D2" w:rsidR="0088224E" w:rsidRPr="0081126C" w:rsidRDefault="0081126C" w:rsidP="0081126C">
      <w:pPr>
        <w:pStyle w:val="NormalHanging12a"/>
        <w:ind w:left="570" w:hanging="570"/>
      </w:pPr>
      <w:r w:rsidRPr="0081126C">
        <w:lastRenderedPageBreak/>
        <w:t>43.</w:t>
      </w:r>
      <w:r w:rsidRPr="0081126C">
        <w:tab/>
      </w:r>
      <w:r w:rsidR="0088224E" w:rsidRPr="0081126C">
        <w:t>επικροτεί την ανακοίνωση της Επιτροπής σχετικά με την Ένωση Αποταμιεύσεων και Επενδύσεων, και ιδίως την προθυμία εξάλειψης των διαφορών στις εθνικές φορολογικές διαδικασίες καθώς δημιουργούν διοικητικό φόρτο και εγείρουν φραγμούς στις διασυνοριακές επενδύσεις, αλλά και τη στήριξη των δράσεων των κρατών μελών για τον σκοπό αυτόν·</w:t>
      </w:r>
    </w:p>
    <w:p w14:paraId="2DAE1CDE" w14:textId="7222CFC7" w:rsidR="0088224E" w:rsidRPr="0081126C" w:rsidRDefault="0081126C" w:rsidP="0081126C">
      <w:pPr>
        <w:pStyle w:val="NormalHanging12a"/>
        <w:ind w:left="570" w:hanging="570"/>
      </w:pPr>
      <w:r w:rsidRPr="0081126C">
        <w:t>44.</w:t>
      </w:r>
      <w:r w:rsidRPr="0081126C">
        <w:tab/>
      </w:r>
      <w:r w:rsidR="0088224E" w:rsidRPr="0081126C">
        <w:t xml:space="preserve">σημειώνει ότι οι διαφορές στη φορολογική μεταχείριση του εισοδήματος κεφαλαίου μπορούν να δημιουργήσουν πολυπλοκότητα και ανασφάλεια δικαίου για τους διασυνοριακούς επενδυτές· επισημαίνει ότι η ολοκληρωμένη έκθεση </w:t>
      </w:r>
      <w:proofErr w:type="spellStart"/>
      <w:r w:rsidR="0088224E" w:rsidRPr="0081126C">
        <w:t>Draghi</w:t>
      </w:r>
      <w:proofErr w:type="spellEnd"/>
      <w:r w:rsidR="0088224E" w:rsidRPr="0081126C">
        <w:t xml:space="preserve"> αναγνωρίζει την ανάγκη να αρθούν τα φορολογικά εμπόδια στις διασυνοριακές επενδύσεις στην ΕΕ ώστε να μειωθεί ο κατακερματισμός της κεφαλαιαγοράς· υπογραμμίζει τη σημασία ενός πιο ισορροπημένου φορολογικού μείγματος για την οικονομική ανθεκτικότητα και καλεί την Επιτροπή και τα κράτη μέλη να αξιολογήσουν τα πλεονεκτήματα του περαιτέρω συντονισμού και απλούστευσης στον τομέα αυτό, προκειμένου να προωθηθούν οι διασυνοριακές επενδύσεις·</w:t>
      </w:r>
    </w:p>
    <w:p w14:paraId="0B96409A" w14:textId="77777777" w:rsidR="0088224E" w:rsidRPr="0081126C" w:rsidRDefault="0088224E" w:rsidP="004D6FE8">
      <w:pPr>
        <w:pStyle w:val="Normal12a24b"/>
        <w:widowControl/>
        <w:spacing w:before="0"/>
      </w:pPr>
      <w:r w:rsidRPr="0081126C">
        <w:rPr>
          <w:rStyle w:val="BoldItalic"/>
        </w:rPr>
        <w:t>Καταπολέμηση της φοροδιαφυγής και της φοροαποφυγής και επιθετικός φορολογικός σχεδιασμός</w:t>
      </w:r>
    </w:p>
    <w:p w14:paraId="1E390028" w14:textId="54162F56" w:rsidR="0088224E" w:rsidRPr="0081126C" w:rsidRDefault="0081126C" w:rsidP="0081126C">
      <w:pPr>
        <w:pStyle w:val="NormalHanging12a"/>
        <w:ind w:left="570" w:hanging="570"/>
      </w:pPr>
      <w:r w:rsidRPr="0081126C">
        <w:t>45.</w:t>
      </w:r>
      <w:r w:rsidRPr="0081126C">
        <w:tab/>
      </w:r>
      <w:r w:rsidR="0088224E" w:rsidRPr="0081126C">
        <w:t>υπενθυμίζει ότι, καθώς εφαρμόζονται οι κανόνες του πυλώνα 2, είναι σημαντικό να παρακολουθούνται οι νέες μορφές επιζήμιου φορολογικού ανταγωνισμού που ενδέχεται να αναπτυχθούν·</w:t>
      </w:r>
    </w:p>
    <w:p w14:paraId="0BC7B874" w14:textId="6290478F" w:rsidR="0088224E" w:rsidRPr="0081126C" w:rsidRDefault="0081126C" w:rsidP="0081126C">
      <w:pPr>
        <w:pStyle w:val="NormalHanging12a"/>
        <w:ind w:left="570" w:hanging="570"/>
      </w:pPr>
      <w:r w:rsidRPr="0081126C">
        <w:t>46.</w:t>
      </w:r>
      <w:r w:rsidRPr="0081126C">
        <w:tab/>
      </w:r>
      <w:r w:rsidR="0088224E" w:rsidRPr="0081126C">
        <w:t>δεσμεύεται να καταπολεμήσει τον επιθετικό φορολογικό σχεδιασμό εταιρειών αλλά και φυσικών προσώπων για μια δίκαιη ευρωπαϊκή οικονομία, λαμβάνοντας υπόψη την ιδιαίτερη κατάσταση και τα συμφέροντα των ΜΜΕ και των νοικοκυριών χαμηλού και μεσαίου εισοδήματος· αναγνωρίζει τις σημαντικές επιπτώσεις του επιθετικού φορολογικού σχεδιασμού στα έσοδα, ο οποίος επηρεάζει ανατρεπτικά τους όρους ανταγωνισμού για τους οικονομικούς παράγοντες, απειλεί να υπονομεύσει τη φορολογική ηθική και διαβρώνει τη φορολογική βάση των κρατών μελών· παροτρύνει την Επιτροπή και τα κράτη μέλη να βελτιώσουν τη συνεργασία μεταξύ κρατών μελών για την αντιμετώπιση του επιθετικού φορολογικού σχεδιασμού, ιδίως μέσω της ενισχυμένης ανταλλαγής πληροφοριών, του συντονισμού των ελέγχων και της βελτίωσης της επιβολής· υπενθυμίζει τα ψηφίσματά του σχετικά με την εφαρμογή των απαιτήσεων της ΕΕ για την ανταλλαγή φορολογικών πληροφοριών</w:t>
      </w:r>
      <w:r w:rsidR="0088224E" w:rsidRPr="0081126C">
        <w:rPr>
          <w:rStyle w:val="FootnoteReference"/>
        </w:rPr>
        <w:footnoteReference w:id="35"/>
      </w:r>
      <w:r w:rsidR="0088224E" w:rsidRPr="0081126C">
        <w:t>, τη μεταρρύθμιση του ενωσιακού καταλόγου φορολογικών παραδείσων</w:t>
      </w:r>
      <w:r w:rsidR="0088224E" w:rsidRPr="0081126C">
        <w:rPr>
          <w:rStyle w:val="FootnoteReference"/>
        </w:rPr>
        <w:footnoteReference w:id="36"/>
      </w:r>
      <w:r w:rsidR="0088224E" w:rsidRPr="0081126C">
        <w:t xml:space="preserve"> και τη μεταρρύθμιση της πολιτικής της ΕΕ για τις επιζήμιες φορολογικές πρακτικές· επισημαίνει ότι η αύξηση της πολυπλοκότητας των φορολογικών καθεστώτων μπορεί να δημιουργήσει στρεβλά κίνητρα για επιθετικό φορολογικό σχεδιασμό και φοροδιαφυγή, τα οποία ενδέχεται να είναι αδιαφανή· καλεί τα κράτη μέλη και την Επιτροπή να εφαρμόσουν μια κατάλληλη προσέγγιση βάσει κινδύνου για την καταπολέμηση της φορολογικής απάτης και του επιθετικού φορολογικού σχεδιασμού·</w:t>
      </w:r>
    </w:p>
    <w:p w14:paraId="07FBFD48" w14:textId="4B7F0283" w:rsidR="0088224E" w:rsidRPr="0081126C" w:rsidRDefault="0081126C" w:rsidP="0081126C">
      <w:pPr>
        <w:pStyle w:val="NormalHanging12a"/>
        <w:ind w:left="570" w:hanging="570"/>
      </w:pPr>
      <w:r w:rsidRPr="0081126C">
        <w:lastRenderedPageBreak/>
        <w:t>47.</w:t>
      </w:r>
      <w:r w:rsidRPr="0081126C">
        <w:tab/>
      </w:r>
      <w:r w:rsidR="0088224E" w:rsidRPr="0081126C">
        <w:t>τονίζει τη σημασία των υφιστάμενων μηχανισμών που περιλαμβάνονται στο πλαίσιο της οδηγίας για τη διοικητική συνεργασία</w:t>
      </w:r>
      <w:r w:rsidR="0088224E" w:rsidRPr="0081126C">
        <w:rPr>
          <w:rStyle w:val="FootnoteReference"/>
        </w:rPr>
        <w:footnoteReference w:id="37"/>
      </w:r>
      <w:r w:rsidR="0088224E" w:rsidRPr="0081126C">
        <w:t xml:space="preserve"> (ΟΔΣ), της οδηγίας κατά της φοροαποφυγής</w:t>
      </w:r>
      <w:r w:rsidR="0088224E" w:rsidRPr="0081126C">
        <w:rPr>
          <w:rStyle w:val="FootnoteReference"/>
        </w:rPr>
        <w:footnoteReference w:id="38"/>
      </w:r>
      <w:r w:rsidR="0088224E" w:rsidRPr="0081126C">
        <w:t xml:space="preserve"> (ATAD) και της πολυμερούς συμφωνίας αρμόδιων αρχών (MCAA), οι οποίοι έχουν βελτιώσει σημαντικά τη διαφάνεια και τη διασυνοριακή συνεργασία μεταξύ των φορολογικών αρχών, καθιστώντας δυνατή την αποτελεσματικότερη αντιμετώπιση του επιθετικού φορολογικού σχεδιασμού· υπογραμμίζει τον αυξανόμενο διοικητικό φόρτο και το κόστος συμμόρφωσης για τις φορολογικές διοικήσεις και τους φορολογούμενους στο πλαίσιο της DAC και της ATAD, και εκφράζει την ικανοποίησή του για την επανεξέταση και την απλούστευσή τους, διατηρώντας παράλληλα τα ισχύοντα πρότυπα·</w:t>
      </w:r>
    </w:p>
    <w:p w14:paraId="69305D0A" w14:textId="240AC046" w:rsidR="0088224E" w:rsidRPr="0081126C" w:rsidRDefault="0081126C" w:rsidP="0081126C">
      <w:pPr>
        <w:pStyle w:val="NormalHanging12a"/>
        <w:ind w:left="570" w:hanging="570"/>
      </w:pPr>
      <w:r w:rsidRPr="0081126C">
        <w:t>48.</w:t>
      </w:r>
      <w:r w:rsidRPr="0081126C">
        <w:tab/>
      </w:r>
      <w:r w:rsidR="0088224E" w:rsidRPr="0081126C">
        <w:t>τονίζει την ανάγκη να αντιμετωπιστούν οι ασυνέπειες μεταξύ της ATAD και της προσέγγισης του πυλώνα 2 του ΟΟΣΑ για τη διασφάλιση της συνοχής και της ασφάλειας δικαίου σε ολόκληρη την ΕΕ, μεταξύ άλλων εξετάζοντας τον εξορθολογισμό των επιλογών και των εξαιρέσεων που χορηγούνται στα κράτη μέλη· λαμβάνει υπόψη του την ανακοίνωση της Επιτροπής ότι θα αξιολογήσει την οδηγία κατά της φοροαποφυγής (ATAD) υπό το πρίσμα του πυλώνα 2 και θα υποβάλει ολοκληρωμένη έκθεση σχετικά με τα μέτρα εντός του τρίτου τριμήνου του 2025, σύμφωνα με τη συμφωνία του πυλώνα 2· καλεί την Επιτροπή να παράσχει καθοδήγηση στα κράτη μέλη σχετικά με την ερμηνεία του γενικού κανόνα απαγόρευσης των καταχρήσεων που ορίζεται στην ATAD και ζητεί αναθεώρηση ώστε να καταστεί απλούστερη η εφαρμογή της ATAD και να αυξηθεί η αποτελεσματικότητά της·</w:t>
      </w:r>
    </w:p>
    <w:p w14:paraId="7F6E3713" w14:textId="3BF43E67" w:rsidR="0088224E" w:rsidRPr="0081126C" w:rsidRDefault="0081126C" w:rsidP="0081126C">
      <w:pPr>
        <w:pStyle w:val="NormalHanging12a"/>
        <w:ind w:left="570" w:hanging="570"/>
      </w:pPr>
      <w:r w:rsidRPr="0081126C">
        <w:t>49.</w:t>
      </w:r>
      <w:r w:rsidRPr="0081126C">
        <w:tab/>
      </w:r>
      <w:r w:rsidR="0088224E" w:rsidRPr="0081126C">
        <w:t>σημειώνει τον ρόλο της οδηγίας για τη διοικητική συνεργασία (ΟΔΣ) στη μείωση της φοροδιαφυγής και της φοροαποφυγής και την αύξηση της διαφάνειας, τονίζοντας παράλληλα την πολυπλοκότητα και τον διοικητικό φόρτο, ιδίως στο πλαίσιο της ΟΔΣ 6</w:t>
      </w:r>
      <w:r w:rsidR="0088224E" w:rsidRPr="0081126C">
        <w:rPr>
          <w:rStyle w:val="FootnoteReference"/>
        </w:rPr>
        <w:footnoteReference w:id="39"/>
      </w:r>
      <w:r w:rsidR="0088224E" w:rsidRPr="0081126C">
        <w:t xml:space="preserve">· τονίζει την ανάγκη αναθεώρησης της ΟΔΣ 6 και καλεί την Επιτροπή να διενεργήσει αξιολόγηση του κόστους συμμόρφωσης στο πλαίσιο της παρούσας οδηγίας, καθώς και να ενισχύσει την καθοδήγηση, να ενισχύσει την ανάλυση κινδύνου και να αξιοποιήσει την τεχνολογία για καλύτερη συλλογή δεδομένων, ώστε να διασφαλιστεί η αποτελεσματικότητα στην προώθηση της φορολογικής διαφάνειας και να αποφευχθούν δυσανάλογες δαπάνες και διοικητικές επιβαρύνσεις· δηλώνει ότι η εν λόγω επαναξιολόγηση θα πρέπει να εξετάσει το ενδεχόμενο να προστατεύσει τις ΜΜΕ από περιττές υποχρεώσεις υποβολής εκθέσεων και να παράσχει μεγαλύτερη σαφήνεια όσον αφορά τους δείκτες αναφοράς για δηλωτέες διασυνοριακές ρυθμίσεις· Προτείνει την </w:t>
      </w:r>
      <w:r w:rsidR="0088224E" w:rsidRPr="0081126C">
        <w:lastRenderedPageBreak/>
        <w:t>αξιολόγηση μιας πιθανής επανεξέτασης της ΟΔΣ 7</w:t>
      </w:r>
      <w:r w:rsidR="0088224E" w:rsidRPr="0081126C">
        <w:rPr>
          <w:rStyle w:val="FootnoteReference"/>
        </w:rPr>
        <w:footnoteReference w:id="40"/>
      </w:r>
      <w:r w:rsidR="0088224E" w:rsidRPr="0081126C">
        <w:t xml:space="preserve">, να εξεταστεί εάν η ανταλλαγή πληροφοριών μπορεί να μειωθεί με την εισαγωγή της υποβολής στοιχείων σε πραγματικό χρόνο στο πλαίσιο της δέσμης μέτρων </w:t>
      </w:r>
      <w:proofErr w:type="spellStart"/>
      <w:r w:rsidR="0088224E" w:rsidRPr="0081126C">
        <w:t>ViDA</w:t>
      </w:r>
      <w:proofErr w:type="spellEnd"/>
      <w:r w:rsidR="0088224E" w:rsidRPr="0081126C">
        <w:t>·</w:t>
      </w:r>
    </w:p>
    <w:p w14:paraId="4243CA10" w14:textId="51EAE8DD" w:rsidR="0088224E" w:rsidRPr="0081126C" w:rsidRDefault="0081126C" w:rsidP="0081126C">
      <w:pPr>
        <w:pStyle w:val="NormalHanging12a"/>
        <w:ind w:left="570" w:hanging="570"/>
      </w:pPr>
      <w:r w:rsidRPr="0081126C">
        <w:t>50.</w:t>
      </w:r>
      <w:r w:rsidRPr="0081126C">
        <w:tab/>
      </w:r>
      <w:r w:rsidR="0088224E" w:rsidRPr="0081126C">
        <w:t>σημειώνει, ειδικότερα, την ανάγκη να αξιοποιηθεί η διαδικασία επανεξέτασης για την αντιμετώπιση των υφιστάμενων αλληλεπικαλυπτόμενων κανόνων, καθώς και να εξορθολογιστεί και να απλουστευθεί η εφαρμογή κοινών κανόνων και εννοιών· παρατηρεί ότι η τυποποίηση όρων και εννοιών είναι κρίσιμη για την απλούστευση της συμμόρφωσης, δεδομένου ότι η ύπαρξη διαφορετικών εσωτερικών ερμηνειών μπορεί να οδηγήσει σε κατακερματισμό και πολυπλοκότητα·</w:t>
      </w:r>
    </w:p>
    <w:p w14:paraId="3DABB2E3" w14:textId="2BD97F07" w:rsidR="0088224E" w:rsidRPr="0081126C" w:rsidRDefault="0081126C" w:rsidP="0081126C">
      <w:pPr>
        <w:pStyle w:val="NormalHanging12a"/>
        <w:ind w:left="570" w:hanging="570"/>
      </w:pPr>
      <w:r w:rsidRPr="0081126C">
        <w:t>51.</w:t>
      </w:r>
      <w:r w:rsidRPr="0081126C">
        <w:tab/>
      </w:r>
      <w:r w:rsidR="0088224E" w:rsidRPr="0081126C">
        <w:t xml:space="preserve">ζητεί ενισχυμένη συνεργασία μεταξύ της Ευρωπαϊκής Εισαγγελίας και του </w:t>
      </w:r>
      <w:proofErr w:type="spellStart"/>
      <w:r w:rsidR="0088224E" w:rsidRPr="0081126C">
        <w:t>Eurofisc</w:t>
      </w:r>
      <w:proofErr w:type="spellEnd"/>
      <w:r w:rsidR="0088224E" w:rsidRPr="0081126C">
        <w:t xml:space="preserve"> για την ενίσχυση της ανταλλαγής πληροφοριών, των συντονισμένων προσπαθειών επιβολής και των διασυνοριακών ερευνών για την καταπολέμηση της απάτης στον τομέα του ΦΠΑ και άλλων μορφών φοροδιαφυγής και φοροαποφυγής· τονίζει την ανάγκη για εξορθολογισμένη συνεργασία μεταξύ των εν λόγω φορέων, ώστε να διασφαλιστεί μια πιο αποτελεσματική και ενοποιημένη ενωσιακή απάντηση στη διασυνοριακή φορολογική απάτη, που να αξιοποιεί τις αντίστοιχες εντολές και την εμπειρογνωσία τους· προτρέπει την Επιτροπή και τα κράτη μέλη να διευκολύνουν τη συνεργασία αυτή βελτιώνοντας τους μηχανισμούς ανταλλαγής δεδομένων, διασφαλίζοντας επαρκείς πόρους και προάγοντας κοινές ερευνητικές προσπάθειες· τονίζει ότι ο περαιτέρω φορολογικός συντονισμός μεταξύ των κρατών μελών για την καταπολέμηση της φοροδιαφυγής και της φοροαποφυγής είναι απαραίτητος για τη διευκόλυνση της διασυνοριακής οικονομικής δραστηριότητας· σημειώνει ότι η ΕΕ πρέπει να μεριμνά ώστε όλα τα εισαγόμενα προϊόντα να υπόκεινται δεόντως σε επαρκείς τελωνειακούς δασμούς·</w:t>
      </w:r>
    </w:p>
    <w:p w14:paraId="7EFA7797" w14:textId="77777777" w:rsidR="0088224E" w:rsidRPr="0081126C" w:rsidRDefault="0088224E" w:rsidP="004D6FE8">
      <w:pPr>
        <w:pStyle w:val="Normal12a24b"/>
        <w:widowControl/>
        <w:spacing w:before="0"/>
      </w:pPr>
      <w:r w:rsidRPr="0081126C">
        <w:rPr>
          <w:rStyle w:val="BoldItalic"/>
        </w:rPr>
        <w:t>Διασυνοριακή φορολογία και κινητικότητα του εργατικού δυναμικού</w:t>
      </w:r>
    </w:p>
    <w:p w14:paraId="69CAE6D8" w14:textId="5965A78C" w:rsidR="0088224E" w:rsidRPr="0081126C" w:rsidRDefault="0081126C" w:rsidP="0081126C">
      <w:pPr>
        <w:pStyle w:val="NormalHanging12a"/>
        <w:ind w:left="570" w:hanging="570"/>
      </w:pPr>
      <w:r w:rsidRPr="0081126C">
        <w:t>52.</w:t>
      </w:r>
      <w:r w:rsidRPr="0081126C">
        <w:tab/>
      </w:r>
      <w:r w:rsidR="0088224E" w:rsidRPr="0081126C">
        <w:t>καλεί την Επιτροπή να παρουσιάσει μελέτη και, εάν κρίνεται απαραίτητο, να υποβάλει δέσμη μέτρων σχετικά με την απλούστευση των φορολογικών κανόνων και την αντιμετώπιση του φορολογικού κατακερματισμού για τους διασυνοριακούς εργαζομένους και τους αυτοαπασχολούμενους, για να ενισχυθεί η ανταγωνιστικότητα με την εμβάθυνση της εσωτερικής αγοράς και να προστατευθούν τα φορολογικά έσοδα με τη δημιουργία ίσων όρων ανταγωνισμού· σημειώνει ότι τα αποκλίνοντα εθνικά φορολογικά συστήματα δημιουργούν σημαντικά εμπόδια, διοικητικό φόρτο, ανασφάλεια δικαίου και διπλή φορολόγηση, εμποδίζοντας την κινητικότητα του εργατικού δυναμικού και τη διασυνοριακή επιχειρηματικότητα·</w:t>
      </w:r>
    </w:p>
    <w:p w14:paraId="2806EA93" w14:textId="0C093C94" w:rsidR="0088224E" w:rsidRPr="0081126C" w:rsidRDefault="0081126C" w:rsidP="0081126C">
      <w:pPr>
        <w:pStyle w:val="NormalHanging12a"/>
        <w:ind w:left="570" w:hanging="570"/>
      </w:pPr>
      <w:r w:rsidRPr="0081126C">
        <w:t>53.</w:t>
      </w:r>
      <w:r w:rsidRPr="0081126C">
        <w:tab/>
      </w:r>
      <w:r w:rsidR="0088224E" w:rsidRPr="0081126C">
        <w:t xml:space="preserve">σημειώνει ότι η διασυνοριακή κινητικότητα των ατόμων αυξάνεται με πρωτοφανή ρυθμό και ότι αυτό το υψηλό επίπεδο παγκόσμιας κινητικότητας έχει σημαντικό αντίκτυπο στα φορολογικά συστήματα· τονίζει ότι η εν λόγω κινητικότητα και ο αντίκτυπός της στα φορολογικά συστήματα πρέπει να συνεκτιμώνται προσεκτικά κατά τη χάραξη πολιτικών, χωρίς να αποθαρρύνονται η κινητικότητα και οι ευκαιρίες απασχόλησης στην ΕΕ· σημειώνει, στο πλαίσιο αυτό, ότι τα κράτη μέλη χρησιμοποιούν φορολογικά κίνητρα για την προώθηση της κινητικότητας του εργατικού δυναμικού και </w:t>
      </w:r>
      <w:r w:rsidR="0088224E" w:rsidRPr="0081126C">
        <w:lastRenderedPageBreak/>
        <w:t>της διασυνοριακής επιχειρηματικότητας· τονίζει, ωστόσο, ότι τα κράτη μέλη πρέπει επίσης να αποτρέπουν τις επιζήμιες φορολογικές πρακτικές που προσελκύουν μεμονωμένους φορολογούμενους και τη στρέβλωση του ανταγωνισμού με σαφείς επιφυλάξεις και διασφαλίσεις·</w:t>
      </w:r>
    </w:p>
    <w:p w14:paraId="2C61D7C7" w14:textId="466AD8BA" w:rsidR="0088224E" w:rsidRPr="0081126C" w:rsidRDefault="0081126C" w:rsidP="0081126C">
      <w:pPr>
        <w:pStyle w:val="NormalHanging12a"/>
        <w:ind w:left="570" w:hanging="570"/>
      </w:pPr>
      <w:r w:rsidRPr="0081126C">
        <w:t>54.</w:t>
      </w:r>
      <w:r w:rsidRPr="0081126C">
        <w:tab/>
      </w:r>
      <w:r w:rsidR="0088224E" w:rsidRPr="0081126C">
        <w:t>αναγνωρίζει την αυξανόμενη διασυνοριακή κινητικότητα των εργαζομένων υψηλής ειδίκευσης και άλλων ατόμων που καθοδηγούνται από την ελεύθερη κυκλοφορία και τα προτιμησιακά φορολογικά καθεστώτα σε ορισμένα κράτη μέλη· υπογραμμίζει ότι είναι σημαντικό να διασφαλιστεί ότι η φορολογική πολιτική στην εσωτερική αγορά παραμένει δίκαιη, διαφανής και συμβατή με τη βιωσιμότητα των δημόσιων οικονομικών σε ολόκληρη την ΕΕ· επαναλαμβάνει την έκκλησή του προς το Συμβούλιο να αναθεωρήσει την εντολή της Ομάδας «Κώδικας δεοντολογίας» για τη φορολογία των επιχειρήσεων·</w:t>
      </w:r>
    </w:p>
    <w:p w14:paraId="409FC6FC" w14:textId="34C6B718" w:rsidR="0088224E" w:rsidRPr="0081126C" w:rsidRDefault="0081126C" w:rsidP="0081126C">
      <w:pPr>
        <w:pStyle w:val="NormalHanging12a"/>
        <w:ind w:left="570" w:hanging="570"/>
      </w:pPr>
      <w:r w:rsidRPr="0081126C">
        <w:t>55.</w:t>
      </w:r>
      <w:r w:rsidRPr="0081126C">
        <w:tab/>
      </w:r>
      <w:r w:rsidR="0088224E" w:rsidRPr="0081126C">
        <w:t>υπενθυμίζει ότι στο πλαίσιο της φορολογίας έχει επιπτώσεις ο κίνδυνος φορολογικής παρουσίας ή μόνιμης εγκατάστασης, όταν οι διασυνοριακοί εργαζόμενοι ασκούν δραστηριότητες όπως επιχειρηματικά ταξίδια ή τηλεργασία· σημειώνει ότι ένας κανόνας ασφαλούς λιμένα για την τηλεργασία κατόπιν συντονισμού μεταξύ των κρατών μελών θα μπορούσε να παράσχει φορολογική ασφάλεια στους εργοδότες και να μειώσει τον διοικητικό φόρτο, απλουστεύοντας τη φορολογία των ατόμων·</w:t>
      </w:r>
    </w:p>
    <w:p w14:paraId="4CA17548" w14:textId="77777777" w:rsidR="0088224E" w:rsidRPr="0081126C" w:rsidRDefault="0088224E" w:rsidP="004D6FE8">
      <w:pPr>
        <w:pStyle w:val="Normal12a24b"/>
        <w:widowControl/>
        <w:spacing w:before="0"/>
      </w:pPr>
      <w:r w:rsidRPr="0081126C">
        <w:rPr>
          <w:rStyle w:val="BoldItalic"/>
        </w:rPr>
        <w:t>Φορολογία και καινοτομία</w:t>
      </w:r>
    </w:p>
    <w:p w14:paraId="691D2CC9" w14:textId="6552CE71" w:rsidR="0088224E" w:rsidRPr="0081126C" w:rsidRDefault="0081126C" w:rsidP="0081126C">
      <w:pPr>
        <w:pStyle w:val="NormalHanging12a"/>
        <w:ind w:left="570" w:hanging="570"/>
      </w:pPr>
      <w:r w:rsidRPr="0081126C">
        <w:t>56.</w:t>
      </w:r>
      <w:r w:rsidRPr="0081126C">
        <w:tab/>
      </w:r>
      <w:r w:rsidR="0088224E" w:rsidRPr="0081126C">
        <w:t xml:space="preserve">επισημαίνει ότι η καινοτομία αποτελεί βασική κινητήρια δύναμη της οικονομικής ανάπτυξης, της παγκόσμιας ανταγωνιστικότητας, της ευημερίας και ότι, σύμφωνα με τον ΟΟΣΑ, τα φορολογικά κίνητρα αποτελούν ένα ευρέως χρησιμοποιούμενο και οικονομικά σημαντικό μέσο πολιτικής για τη στήριξη της καινοτομίας· είναι της άποψης ότι οι κυβερνήσεις θα πρέπει να διασφαλίσουν ότι τα συστήματα φορολογικών κινήτρων για την έρευνα και την ανάπτυξη παρέχουν βέλτιστη σχέση ποιότητας/τιμής, μέσω της τακτικής αξιολόγησης και της υιοθέτησης στοχευμένων κινήτρων που προωθούν τις επενδύσεις και την ανάπτυξη, και ενισχύουν την ανταγωνιστικότητα της ΕΕ στην παγκόσμια σκηνή, σύμφωνα με τις προτάσεις της έκθεσης </w:t>
      </w:r>
      <w:proofErr w:type="spellStart"/>
      <w:r w:rsidR="0088224E" w:rsidRPr="0081126C">
        <w:t>Draghi</w:t>
      </w:r>
      <w:proofErr w:type="spellEnd"/>
      <w:r w:rsidR="0088224E" w:rsidRPr="0081126C">
        <w:t>·</w:t>
      </w:r>
    </w:p>
    <w:p w14:paraId="1F4C0EDC" w14:textId="393C9CA9" w:rsidR="0088224E" w:rsidRPr="0081126C" w:rsidRDefault="0081126C" w:rsidP="0081126C">
      <w:pPr>
        <w:pStyle w:val="NormalHanging12a"/>
        <w:ind w:left="570" w:hanging="570"/>
      </w:pPr>
      <w:r w:rsidRPr="0081126C">
        <w:t>57.</w:t>
      </w:r>
      <w:r w:rsidRPr="0081126C">
        <w:tab/>
      </w:r>
      <w:r w:rsidR="0088224E" w:rsidRPr="0081126C">
        <w:t xml:space="preserve">καλεί την Επιτροπή να διεξαγάγει περαιτέρω μελέτες σχετικά με τη σχέση κόστους-αποτελεσματικότητας των διαφόρων ειδών φορολογικών κινήτρων για την έρευνα, την ανάπτυξη και την καινοτομία, για την ενίσχυση της ανταγωνιστικότητας της ΕΕ στην παγκόσμια σκηνή, σύμφωνα με τις προτάσεις της έκθεσης </w:t>
      </w:r>
      <w:proofErr w:type="spellStart"/>
      <w:r w:rsidR="0088224E" w:rsidRPr="0081126C">
        <w:t>Draghi</w:t>
      </w:r>
      <w:proofErr w:type="spellEnd"/>
      <w:r w:rsidR="0088224E" w:rsidRPr="0081126C">
        <w:t xml:space="preserve">, διασφαλίζοντας ότι τα κίνητρα αυτά είναι καλά σχεδιασμένα για την επίτευξη καθορισμένων στόχων πολιτικής, χωρίς να διαβρώνουν τα φορολογικά έσοδα και να συμβάλλουν στον κίνδυνο φοροαποφυγής· καλεί την Επιτροπή να διερευνήσει διάφορες λύσεις και μηχανισμούς για τη στήριξη της έρευνας και ανάπτυξης για τις νεοφυείς επιχειρήσεις, συμπεριλαμβανομένων, μεταξύ άλλων, των μεταβιβάσιμων πιστώσεων φόρου, στο πλαίσιο συντονισμένης προσέγγισης με τα κράτη μέλη και βάσει κοινών κριτηρίων, για τη βελτίωση της προσβασιμότητας και της αποτελεσματικότητας των εν λόγω μέτρων· καλεί την Επιτροπή να αξιολογήσει περαιτέρω τις διασυνοριακές επιπτώσεις των εν λόγω κινήτρων σε άλλα κράτη μέλη, συμπεριλαμβανομένων των κινδύνων φοροαποφυγής· τονίζει την ανάγκη για ευρύτερη διαθεσιμότητα φορολογικών κινήτρων, μεταξύ άλλων σημαντικών φορολογικών ελαφρύνσεων, πιστώσεων, ταχύτερης απόσβεσης και </w:t>
      </w:r>
      <w:proofErr w:type="spellStart"/>
      <w:r w:rsidR="0088224E" w:rsidRPr="0081126C">
        <w:t>υπερ</w:t>
      </w:r>
      <w:proofErr w:type="spellEnd"/>
      <w:r w:rsidR="0088224E" w:rsidRPr="0081126C">
        <w:t xml:space="preserve">-εκπτώσεων· καλεί εν προκειμένω την Επιτροπή να εκδώσει συστάσεις και να ενσωματώσει δεόντως τα φορολογικά κίνητρα, ειδικά σε σχέση με την Ε&amp;Α, όπου αυτό είναι σκόπιμο, χωρίς να επιδεινώνει τις οικονομικές </w:t>
      </w:r>
      <w:r w:rsidR="0088224E" w:rsidRPr="0081126C">
        <w:lastRenderedPageBreak/>
        <w:t>ανισορροπίες στην ΕΕ· τονίζει ότι θα ήταν συνετό να ευθυγραμμιστούν τα κίνητρα για καινοτομία και Ε&amp;Α με τα εξατομικευμένα κίνητρα για επενδύσεις· ζητεί να ενισχυθούν η συνεργασία και η εμπιστοσύνη μεταξύ των κρατών μελών, με την προώθηση ίσων όρων ανταγωνισμού για το ηλεκτρονικό εμπόριο, των ψηφιακών υπηρεσιών και άλλων ταχέως αναπτυσσόμενους τομέων·</w:t>
      </w:r>
    </w:p>
    <w:p w14:paraId="7A3AEB64" w14:textId="20BACC4E" w:rsidR="00E50728" w:rsidRPr="0081126C" w:rsidRDefault="0081126C" w:rsidP="0081126C">
      <w:pPr>
        <w:pStyle w:val="NormalHanging12a"/>
        <w:ind w:left="570" w:hanging="570"/>
      </w:pPr>
      <w:r w:rsidRPr="0081126C">
        <w:t>58.</w:t>
      </w:r>
      <w:r w:rsidRPr="0081126C">
        <w:tab/>
      </w:r>
      <w:r w:rsidR="0088224E" w:rsidRPr="0081126C">
        <w:t>τονίζει τη σημασία να διασφαλιστεί ότι τα φορολογικά κίνητρα εξακολουθούν να συνάδουν πλήρως με το τρέχον ενωσιακό πλαίσιο για τις κρατικές ενισχύσεις· επισημαίνει την αξία του ενωσιακού πλαισίου για τις κρατικές ενισχύσεις σε σχέση με τη διατήρηση του θεμιτού ανταγωνισμού εντός της εσωτερικής αγοράς και την κατοχύρωση ασφάλειας δικαίου και ίσων όρων ανταγωνισμού για όλα τα κράτη μέλη·</w:t>
      </w:r>
    </w:p>
    <w:p w14:paraId="5F9BF617" w14:textId="7D3CB295" w:rsidR="00E50728" w:rsidRPr="0081126C" w:rsidRDefault="00E50728" w:rsidP="00E50728">
      <w:pPr>
        <w:pStyle w:val="NormalHanging12a"/>
        <w:ind w:left="0" w:firstLine="0"/>
        <w:jc w:val="center"/>
      </w:pPr>
      <w:r w:rsidRPr="0081126C">
        <w:t>°</w:t>
      </w:r>
    </w:p>
    <w:p w14:paraId="28396C0A" w14:textId="3DF27507" w:rsidR="00E50728" w:rsidRPr="0081126C" w:rsidRDefault="00E50728" w:rsidP="00E50728">
      <w:pPr>
        <w:pStyle w:val="NormalHanging12a"/>
        <w:ind w:left="0" w:firstLine="0"/>
        <w:jc w:val="center"/>
      </w:pPr>
      <w:r w:rsidRPr="0081126C">
        <w:t>°     °</w:t>
      </w:r>
    </w:p>
    <w:p w14:paraId="71D3C1AA" w14:textId="506DD615" w:rsidR="0088224E" w:rsidRPr="0081126C" w:rsidRDefault="0081126C" w:rsidP="0081126C">
      <w:pPr>
        <w:pStyle w:val="NormalHanging12a"/>
        <w:ind w:left="570" w:hanging="570"/>
      </w:pPr>
      <w:r w:rsidRPr="0081126C">
        <w:t>59.</w:t>
      </w:r>
      <w:r w:rsidRPr="0081126C">
        <w:tab/>
      </w:r>
      <w:r w:rsidR="0088224E" w:rsidRPr="0081126C">
        <w:t>αναθέτει στην Πρόεδρό του να διαβιβάσει το παρόν ψήφισμα στο Συμβούλιο και στην Επιτροπή.</w:t>
      </w:r>
    </w:p>
    <w:p w14:paraId="67547615" w14:textId="34651BDA" w:rsidR="00E365E1" w:rsidRPr="0081126C" w:rsidRDefault="00E365E1" w:rsidP="0081126C">
      <w:pPr>
        <w:widowControl/>
        <w:spacing w:after="240"/>
        <w:ind w:left="567" w:hanging="567"/>
        <w:jc w:val="center"/>
      </w:pPr>
    </w:p>
    <w:sectPr w:rsidR="00E365E1" w:rsidRPr="0081126C" w:rsidSect="009B00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60AAE" w14:textId="77777777" w:rsidR="00A76C74" w:rsidRPr="009B00C3" w:rsidRDefault="00A76C74">
      <w:r w:rsidRPr="009B00C3">
        <w:separator/>
      </w:r>
    </w:p>
  </w:endnote>
  <w:endnote w:type="continuationSeparator" w:id="0">
    <w:p w14:paraId="5C9ACC24" w14:textId="77777777" w:rsidR="00A76C74" w:rsidRPr="009B00C3" w:rsidRDefault="00A76C74">
      <w:r w:rsidRPr="009B00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8B0C9" w14:textId="77777777" w:rsidR="00064002" w:rsidRPr="009B00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97A64" w14:textId="77777777" w:rsidR="00064002" w:rsidRPr="009B00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BFFB" w14:textId="77777777" w:rsidR="00064002" w:rsidRPr="009B00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084B" w14:textId="77777777" w:rsidR="00A76C74" w:rsidRPr="009B00C3" w:rsidRDefault="00A76C74">
      <w:r w:rsidRPr="009B00C3">
        <w:separator/>
      </w:r>
    </w:p>
  </w:footnote>
  <w:footnote w:type="continuationSeparator" w:id="0">
    <w:p w14:paraId="775C2733" w14:textId="77777777" w:rsidR="00A76C74" w:rsidRPr="009B00C3" w:rsidRDefault="00A76C74">
      <w:r w:rsidRPr="009B00C3">
        <w:continuationSeparator/>
      </w:r>
    </w:p>
  </w:footnote>
  <w:footnote w:id="1">
    <w:p w14:paraId="3AE39138" w14:textId="30E44EA4"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ΕΕ L 157 της 26.6.2003, σ. 49,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/2003/49/</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http://data.europa.eu/eli/dir/2003/49/oj</w:t>
      </w:r>
      <w:r w:rsidR="00304E17">
        <w:rPr>
          <w:rStyle w:val="Hyperlink"/>
          <w:sz w:val="24"/>
          <w:lang w:val="el-GR"/>
        </w:rPr>
        <w:fldChar w:fldCharType="end"/>
      </w:r>
      <w:r w:rsidRPr="009B00C3">
        <w:rPr>
          <w:sz w:val="24"/>
          <w:lang w:val="el-GR"/>
        </w:rPr>
        <w:t>.</w:t>
      </w:r>
    </w:p>
  </w:footnote>
  <w:footnote w:id="2">
    <w:p w14:paraId="4746DBF9" w14:textId="261A0FCF"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ΕΕ L 345 της 29.12.2011, σ. 8,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/2011/96/</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http://data.europa.eu/eli/dir/2011/96/oj</w:t>
      </w:r>
      <w:r w:rsidR="00304E17">
        <w:rPr>
          <w:rStyle w:val="Hyperlink"/>
          <w:sz w:val="24"/>
          <w:lang w:val="el-GR"/>
        </w:rPr>
        <w:fldChar w:fldCharType="end"/>
      </w:r>
      <w:r w:rsidRPr="009B00C3">
        <w:rPr>
          <w:sz w:val="24"/>
          <w:lang w:val="el-GR"/>
        </w:rPr>
        <w:t>.</w:t>
      </w:r>
    </w:p>
  </w:footnote>
  <w:footnote w:id="3">
    <w:p w14:paraId="0471B601" w14:textId="5099553E"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ΕΕ L 328 της 22.12.2022,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/2022/2523/</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http://data.europa.eu/eli/dir/2022/2523/oj</w:t>
      </w:r>
      <w:r w:rsidR="00304E17">
        <w:rPr>
          <w:rStyle w:val="Hyperlink"/>
          <w:sz w:val="24"/>
          <w:lang w:val="el-GR"/>
        </w:rPr>
        <w:fldChar w:fldCharType="end"/>
      </w:r>
      <w:r w:rsidRPr="009B00C3">
        <w:rPr>
          <w:sz w:val="24"/>
          <w:lang w:val="el-GR"/>
        </w:rPr>
        <w:t>.</w:t>
      </w:r>
    </w:p>
  </w:footnote>
  <w:footnote w:id="4">
    <w:p w14:paraId="195FEFF9" w14:textId="23494AF5"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479 της 16.12.2022, σ. 89.</w:t>
      </w:r>
    </w:p>
  </w:footnote>
  <w:footnote w:id="5">
    <w:p w14:paraId="1085F25C" w14:textId="5C572A2D"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Ευρωπαϊκή Επιτροπή: Εκτελεστικός Οργανισμός για το Ευρωπαϊκό Συμβούλιο Καινοτομίας και τις ΜΜΕ, Γενική Διεύθυνση Εσωτερικής Αγοράς, Βιομηχανίας, Επιχειρηματικότητας και ΜΜΕ, KPMG, VVA, </w:t>
      </w:r>
      <w:proofErr w:type="spellStart"/>
      <w:r w:rsidRPr="009B00C3">
        <w:rPr>
          <w:sz w:val="24"/>
          <w:lang w:val="el-GR"/>
        </w:rPr>
        <w:t>Di</w:t>
      </w:r>
      <w:proofErr w:type="spellEnd"/>
      <w:r w:rsidRPr="009B00C3">
        <w:rPr>
          <w:sz w:val="24"/>
          <w:lang w:val="el-GR"/>
        </w:rPr>
        <w:t xml:space="preserve"> </w:t>
      </w:r>
      <w:proofErr w:type="spellStart"/>
      <w:r w:rsidRPr="009B00C3">
        <w:rPr>
          <w:sz w:val="24"/>
          <w:lang w:val="el-GR"/>
        </w:rPr>
        <w:t>Legge</w:t>
      </w:r>
      <w:proofErr w:type="spellEnd"/>
      <w:r w:rsidRPr="009B00C3">
        <w:rPr>
          <w:sz w:val="24"/>
          <w:lang w:val="el-GR"/>
        </w:rPr>
        <w:t xml:space="preserve">, A. </w:t>
      </w:r>
      <w:proofErr w:type="spellStart"/>
      <w:r w:rsidRPr="009B00C3">
        <w:rPr>
          <w:sz w:val="24"/>
          <w:lang w:val="el-GR"/>
        </w:rPr>
        <w:t>et</w:t>
      </w:r>
      <w:proofErr w:type="spellEnd"/>
      <w:r w:rsidRPr="009B00C3">
        <w:rPr>
          <w:sz w:val="24"/>
          <w:lang w:val="el-GR"/>
        </w:rPr>
        <w:t xml:space="preserve"> </w:t>
      </w:r>
      <w:proofErr w:type="spellStart"/>
      <w:r w:rsidRPr="009B00C3">
        <w:rPr>
          <w:sz w:val="24"/>
          <w:lang w:val="el-GR"/>
        </w:rPr>
        <w:t>al</w:t>
      </w:r>
      <w:proofErr w:type="spellEnd"/>
      <w:r w:rsidRPr="009B00C3">
        <w:rPr>
          <w:sz w:val="24"/>
          <w:lang w:val="el-GR"/>
        </w:rPr>
        <w:t xml:space="preserve">., </w:t>
      </w:r>
      <w:proofErr w:type="spellStart"/>
      <w:r w:rsidRPr="009B00C3">
        <w:rPr>
          <w:sz w:val="24"/>
          <w:lang w:val="el-GR"/>
        </w:rPr>
        <w:t>Tax</w:t>
      </w:r>
      <w:proofErr w:type="spellEnd"/>
      <w:r w:rsidRPr="009B00C3">
        <w:rPr>
          <w:sz w:val="24"/>
          <w:lang w:val="el-GR"/>
        </w:rPr>
        <w:t xml:space="preserve"> </w:t>
      </w:r>
      <w:proofErr w:type="spellStart"/>
      <w:r w:rsidRPr="009B00C3">
        <w:rPr>
          <w:sz w:val="24"/>
          <w:lang w:val="el-GR"/>
        </w:rPr>
        <w:t>compliance</w:t>
      </w:r>
      <w:proofErr w:type="spellEnd"/>
      <w:r w:rsidRPr="009B00C3">
        <w:rPr>
          <w:sz w:val="24"/>
          <w:lang w:val="el-GR"/>
        </w:rPr>
        <w:t xml:space="preserve"> </w:t>
      </w:r>
      <w:proofErr w:type="spellStart"/>
      <w:r w:rsidRPr="009B00C3">
        <w:rPr>
          <w:sz w:val="24"/>
          <w:lang w:val="el-GR"/>
        </w:rPr>
        <w:t>costs</w:t>
      </w:r>
      <w:proofErr w:type="spellEnd"/>
      <w:r w:rsidRPr="009B00C3">
        <w:rPr>
          <w:sz w:val="24"/>
          <w:lang w:val="el-GR"/>
        </w:rPr>
        <w:t xml:space="preserve"> for </w:t>
      </w:r>
      <w:proofErr w:type="spellStart"/>
      <w:r w:rsidRPr="009B00C3">
        <w:rPr>
          <w:sz w:val="24"/>
          <w:lang w:val="el-GR"/>
        </w:rPr>
        <w:t>SMEs</w:t>
      </w:r>
      <w:proofErr w:type="spellEnd"/>
      <w:r w:rsidRPr="009B00C3">
        <w:rPr>
          <w:sz w:val="24"/>
          <w:lang w:val="el-GR"/>
        </w:rPr>
        <w:t xml:space="preserve"> – </w:t>
      </w:r>
      <w:proofErr w:type="spellStart"/>
      <w:r w:rsidRPr="009B00C3">
        <w:rPr>
          <w:sz w:val="24"/>
          <w:lang w:val="el-GR"/>
        </w:rPr>
        <w:t>An</w:t>
      </w:r>
      <w:proofErr w:type="spellEnd"/>
      <w:r w:rsidRPr="009B00C3">
        <w:rPr>
          <w:sz w:val="24"/>
          <w:lang w:val="el-GR"/>
        </w:rPr>
        <w:t xml:space="preserve"> </w:t>
      </w:r>
      <w:proofErr w:type="spellStart"/>
      <w:r w:rsidRPr="009B00C3">
        <w:rPr>
          <w:sz w:val="24"/>
          <w:lang w:val="el-GR"/>
        </w:rPr>
        <w:t>update</w:t>
      </w:r>
      <w:proofErr w:type="spellEnd"/>
      <w:r w:rsidRPr="009B00C3">
        <w:rPr>
          <w:sz w:val="24"/>
          <w:lang w:val="el-GR"/>
        </w:rPr>
        <w:t xml:space="preserve"> and a </w:t>
      </w:r>
      <w:proofErr w:type="spellStart"/>
      <w:r w:rsidRPr="009B00C3">
        <w:rPr>
          <w:sz w:val="24"/>
          <w:lang w:val="el-GR"/>
        </w:rPr>
        <w:t>completed</w:t>
      </w:r>
      <w:proofErr w:type="spellEnd"/>
      <w:r w:rsidRPr="009B00C3">
        <w:rPr>
          <w:sz w:val="24"/>
          <w:lang w:val="el-GR"/>
        </w:rPr>
        <w:t xml:space="preserve"> – </w:t>
      </w:r>
      <w:proofErr w:type="spellStart"/>
      <w:r w:rsidRPr="009B00C3">
        <w:rPr>
          <w:sz w:val="24"/>
          <w:lang w:val="el-GR"/>
        </w:rPr>
        <w:t>Final</w:t>
      </w:r>
      <w:proofErr w:type="spellEnd"/>
      <w:r w:rsidRPr="009B00C3">
        <w:rPr>
          <w:sz w:val="24"/>
          <w:lang w:val="el-GR"/>
        </w:rPr>
        <w:t xml:space="preserve"> </w:t>
      </w:r>
      <w:proofErr w:type="spellStart"/>
      <w:r w:rsidRPr="009B00C3">
        <w:rPr>
          <w:sz w:val="24"/>
          <w:lang w:val="el-GR"/>
        </w:rPr>
        <w:t>report</w:t>
      </w:r>
      <w:proofErr w:type="spellEnd"/>
      <w:r w:rsidRPr="009B00C3">
        <w:rPr>
          <w:sz w:val="24"/>
          <w:lang w:val="el-GR"/>
        </w:rPr>
        <w:t xml:space="preserve">, Υπηρεσία Εκδόσεων της Ευρωπαϊκής Ένωσης, 2022,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doi</w:instrText>
      </w:r>
      <w:r w:rsidR="00304E17" w:rsidRPr="00304E17">
        <w:rPr>
          <w:lang w:val="el-GR"/>
        </w:rPr>
        <w:instrText>/10.2873/180570"</w:instrText>
      </w:r>
      <w:r w:rsidR="00304E17">
        <w:fldChar w:fldCharType="separate"/>
      </w:r>
      <w:r w:rsidRPr="009B00C3">
        <w:rPr>
          <w:rStyle w:val="Hyperlink"/>
          <w:sz w:val="24"/>
          <w:lang w:val="el-GR"/>
        </w:rPr>
        <w:t>https://data.europa.eu/doi/10.2873/180570</w:t>
      </w:r>
      <w:r w:rsidR="00304E17">
        <w:rPr>
          <w:rStyle w:val="Hyperlink"/>
          <w:sz w:val="24"/>
          <w:lang w:val="el-GR"/>
        </w:rPr>
        <w:fldChar w:fldCharType="end"/>
      </w:r>
      <w:r w:rsidRPr="009B00C3">
        <w:rPr>
          <w:sz w:val="24"/>
          <w:lang w:val="el-GR"/>
        </w:rPr>
        <w:t>.</w:t>
      </w:r>
    </w:p>
  </w:footnote>
  <w:footnote w:id="6">
    <w:p w14:paraId="7DAF7129" w14:textId="0BFA60AE" w:rsidR="0088224E" w:rsidRPr="0081126C" w:rsidRDefault="0088224E" w:rsidP="0081126C">
      <w:pPr>
        <w:pStyle w:val="FootnoteText"/>
        <w:spacing w:line="240" w:lineRule="auto"/>
        <w:ind w:left="567" w:hanging="567"/>
        <w:rPr>
          <w:sz w:val="24"/>
          <w:lang w:val="fi-FI"/>
        </w:rPr>
      </w:pPr>
      <w:r w:rsidRPr="009B00C3">
        <w:rPr>
          <w:rStyle w:val="FootnoteReference"/>
          <w:sz w:val="24"/>
          <w:lang w:val="el-GR"/>
        </w:rPr>
        <w:footnoteRef/>
      </w:r>
      <w:r w:rsidR="009B00C3" w:rsidRPr="0081126C">
        <w:rPr>
          <w:sz w:val="24"/>
          <w:lang w:val="fi-FI"/>
        </w:rPr>
        <w:t xml:space="preserve"> </w:t>
      </w:r>
      <w:r w:rsidR="009B00C3" w:rsidRPr="0081126C">
        <w:rPr>
          <w:sz w:val="24"/>
          <w:lang w:val="fi-FI"/>
        </w:rPr>
        <w:tab/>
      </w:r>
      <w:r w:rsidRPr="009B00C3">
        <w:rPr>
          <w:sz w:val="24"/>
          <w:lang w:val="el-GR"/>
        </w:rPr>
        <w:t>ΕΕ</w:t>
      </w:r>
      <w:r w:rsidRPr="0081126C">
        <w:rPr>
          <w:sz w:val="24"/>
          <w:lang w:val="fi-FI"/>
        </w:rPr>
        <w:t xml:space="preserve"> L, 2025/50, 10.1.2025, ELI: </w:t>
      </w:r>
      <w:r w:rsidR="00304E17">
        <w:fldChar w:fldCharType="begin"/>
      </w:r>
      <w:r w:rsidR="00304E17" w:rsidRPr="00304E17">
        <w:rPr>
          <w:lang w:val="fi-FI"/>
        </w:rPr>
        <w:instrText>HYPERLINK "http://data.europa.eu/eli/dir/2025/50/oj"</w:instrText>
      </w:r>
      <w:r w:rsidR="00304E17">
        <w:fldChar w:fldCharType="separate"/>
      </w:r>
      <w:r w:rsidRPr="0081126C">
        <w:rPr>
          <w:rStyle w:val="Hyperlink"/>
          <w:sz w:val="24"/>
          <w:lang w:val="fi-FI"/>
        </w:rPr>
        <w:t>http://data.europa.eu/eli/dir/2025/50/oj</w:t>
      </w:r>
      <w:r w:rsidR="00304E17">
        <w:rPr>
          <w:rStyle w:val="Hyperlink"/>
          <w:sz w:val="24"/>
          <w:lang w:val="fi-FI"/>
        </w:rPr>
        <w:fldChar w:fldCharType="end"/>
      </w:r>
      <w:r w:rsidRPr="0081126C">
        <w:rPr>
          <w:sz w:val="24"/>
          <w:lang w:val="fi-FI"/>
        </w:rPr>
        <w:t>.</w:t>
      </w:r>
    </w:p>
  </w:footnote>
  <w:footnote w:id="7">
    <w:p w14:paraId="4E952582" w14:textId="1A2D7E94"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342 της 6.9.2022, σ. 88.</w:t>
      </w:r>
    </w:p>
  </w:footnote>
  <w:footnote w:id="8">
    <w:p w14:paraId="4ACCD08E" w14:textId="4AA37EA9"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132 της 24.3.2022, σ. 167.</w:t>
      </w:r>
    </w:p>
  </w:footnote>
  <w:footnote w:id="9">
    <w:p w14:paraId="2E69B9BE" w14:textId="72709D31"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342 της 6.9.2022, σ. 14.</w:t>
      </w:r>
    </w:p>
  </w:footnote>
  <w:footnote w:id="10">
    <w:p w14:paraId="290785EB" w14:textId="733A3E33"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w:t>
      </w:r>
      <w:r w:rsidR="004D6FE8">
        <w:rPr>
          <w:sz w:val="24"/>
          <w:lang w:val="el-GR"/>
        </w:rPr>
        <w:t>Ε</w:t>
      </w:r>
      <w:r w:rsidRPr="009B00C3">
        <w:rPr>
          <w:sz w:val="24"/>
          <w:lang w:val="el-GR"/>
        </w:rPr>
        <w:t xml:space="preserve"> C 347 της 9.9.2022, σ. 172.</w:t>
      </w:r>
    </w:p>
  </w:footnote>
  <w:footnote w:id="11">
    <w:p w14:paraId="20A93E52" w14:textId="5A24A6B6"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132 της 14.4.2023, σ. 15.</w:t>
      </w:r>
    </w:p>
  </w:footnote>
  <w:footnote w:id="12">
    <w:p w14:paraId="17C8A13D" w14:textId="1F67E283"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347 της 9.9.2022, σ. 211.</w:t>
      </w:r>
    </w:p>
  </w:footnote>
  <w:footnote w:id="13">
    <w:p w14:paraId="06DE65A6" w14:textId="3B694A41"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ΕΕ C 465 της 6.12.2022, σ. 109.</w:t>
      </w:r>
    </w:p>
  </w:footnote>
  <w:footnote w:id="14">
    <w:p w14:paraId="1CEE4588" w14:textId="613B8924" w:rsidR="0088224E" w:rsidRPr="00304E17"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304E17">
        <w:rPr>
          <w:sz w:val="24"/>
          <w:lang w:val="el-GR"/>
        </w:rPr>
        <w:t xml:space="preserve"> </w:t>
      </w:r>
      <w:r w:rsidR="009B00C3" w:rsidRPr="00304E17">
        <w:rPr>
          <w:sz w:val="24"/>
          <w:lang w:val="el-GR"/>
        </w:rPr>
        <w:tab/>
      </w:r>
      <w:r w:rsidRPr="009B00C3">
        <w:rPr>
          <w:sz w:val="24"/>
          <w:lang w:val="el-GR"/>
        </w:rPr>
        <w:t>ΕΕ</w:t>
      </w:r>
      <w:r w:rsidRPr="00304E17">
        <w:rPr>
          <w:sz w:val="24"/>
          <w:lang w:val="el-GR"/>
        </w:rPr>
        <w:t xml:space="preserve"> </w:t>
      </w:r>
      <w:r w:rsidRPr="0081126C">
        <w:rPr>
          <w:sz w:val="24"/>
          <w:lang w:val="fi-FI"/>
        </w:rPr>
        <w:t>C</w:t>
      </w:r>
      <w:r w:rsidRPr="00304E17">
        <w:rPr>
          <w:sz w:val="24"/>
          <w:lang w:val="el-GR"/>
        </w:rPr>
        <w:t xml:space="preserve">, </w:t>
      </w:r>
      <w:r w:rsidRPr="0081126C">
        <w:rPr>
          <w:sz w:val="24"/>
          <w:lang w:val="fi-FI"/>
        </w:rPr>
        <w:t>C</w:t>
      </w:r>
      <w:r w:rsidRPr="00304E17">
        <w:rPr>
          <w:sz w:val="24"/>
          <w:lang w:val="el-GR"/>
        </w:rPr>
        <w:t xml:space="preserve">/2024/492, 23.1.2024, </w:t>
      </w:r>
      <w:r w:rsidRPr="0081126C">
        <w:rPr>
          <w:sz w:val="24"/>
          <w:lang w:val="fi-FI"/>
        </w:rPr>
        <w:t>ELI</w:t>
      </w:r>
      <w:r w:rsidRPr="00304E17">
        <w:rPr>
          <w:sz w:val="24"/>
          <w:lang w:val="el-GR"/>
        </w:rPr>
        <w:t xml:space="preserve">: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C</w:instrText>
      </w:r>
      <w:r w:rsidR="00304E17" w:rsidRPr="00304E17">
        <w:rPr>
          <w:lang w:val="el-GR"/>
        </w:rPr>
        <w:instrText>/2024/492/</w:instrText>
      </w:r>
      <w:r w:rsidR="00304E17">
        <w:instrText>oj</w:instrText>
      </w:r>
      <w:r w:rsidR="00304E17" w:rsidRPr="00304E17">
        <w:rPr>
          <w:lang w:val="el-GR"/>
        </w:rPr>
        <w:instrText>"</w:instrText>
      </w:r>
      <w:r w:rsidR="00304E17">
        <w:fldChar w:fldCharType="separate"/>
      </w:r>
      <w:r w:rsidRPr="0081126C">
        <w:rPr>
          <w:rStyle w:val="Hyperlink"/>
          <w:sz w:val="24"/>
          <w:lang w:val="fi-FI"/>
        </w:rPr>
        <w:t>http</w:t>
      </w:r>
      <w:r w:rsidRPr="00304E17">
        <w:rPr>
          <w:rStyle w:val="Hyperlink"/>
          <w:sz w:val="24"/>
          <w:lang w:val="el-GR"/>
        </w:rPr>
        <w:t>://</w:t>
      </w:r>
      <w:r w:rsidRPr="0081126C">
        <w:rPr>
          <w:rStyle w:val="Hyperlink"/>
          <w:sz w:val="24"/>
          <w:lang w:val="fi-FI"/>
        </w:rPr>
        <w:t>data</w:t>
      </w:r>
      <w:r w:rsidRPr="00304E17">
        <w:rPr>
          <w:rStyle w:val="Hyperlink"/>
          <w:sz w:val="24"/>
          <w:lang w:val="el-GR"/>
        </w:rPr>
        <w:t>.</w:t>
      </w:r>
      <w:r w:rsidRPr="0081126C">
        <w:rPr>
          <w:rStyle w:val="Hyperlink"/>
          <w:sz w:val="24"/>
          <w:lang w:val="fi-FI"/>
        </w:rPr>
        <w:t>europa</w:t>
      </w:r>
      <w:r w:rsidRPr="00304E17">
        <w:rPr>
          <w:rStyle w:val="Hyperlink"/>
          <w:sz w:val="24"/>
          <w:lang w:val="el-GR"/>
        </w:rPr>
        <w:t>.</w:t>
      </w:r>
      <w:r w:rsidRPr="0081126C">
        <w:rPr>
          <w:rStyle w:val="Hyperlink"/>
          <w:sz w:val="24"/>
          <w:lang w:val="fi-FI"/>
        </w:rPr>
        <w:t>eu</w:t>
      </w:r>
      <w:r w:rsidRPr="00304E17">
        <w:rPr>
          <w:rStyle w:val="Hyperlink"/>
          <w:sz w:val="24"/>
          <w:lang w:val="el-GR"/>
        </w:rPr>
        <w:t>/</w:t>
      </w:r>
      <w:r w:rsidRPr="0081126C">
        <w:rPr>
          <w:rStyle w:val="Hyperlink"/>
          <w:sz w:val="24"/>
          <w:lang w:val="fi-FI"/>
        </w:rPr>
        <w:t>eli</w:t>
      </w:r>
      <w:r w:rsidRPr="00304E17">
        <w:rPr>
          <w:rStyle w:val="Hyperlink"/>
          <w:sz w:val="24"/>
          <w:lang w:val="el-GR"/>
        </w:rPr>
        <w:t>/</w:t>
      </w:r>
      <w:r w:rsidRPr="0081126C">
        <w:rPr>
          <w:rStyle w:val="Hyperlink"/>
          <w:sz w:val="24"/>
          <w:lang w:val="fi-FI"/>
        </w:rPr>
        <w:t>C</w:t>
      </w:r>
      <w:r w:rsidRPr="00304E17">
        <w:rPr>
          <w:rStyle w:val="Hyperlink"/>
          <w:sz w:val="24"/>
          <w:lang w:val="el-GR"/>
        </w:rPr>
        <w:t>/2024/492/</w:t>
      </w:r>
      <w:r w:rsidRPr="0081126C">
        <w:rPr>
          <w:rStyle w:val="Hyperlink"/>
          <w:sz w:val="24"/>
          <w:lang w:val="fi-FI"/>
        </w:rPr>
        <w:t>oj</w:t>
      </w:r>
      <w:r w:rsidR="00304E17">
        <w:rPr>
          <w:rStyle w:val="Hyperlink"/>
          <w:sz w:val="24"/>
          <w:lang w:val="fi-FI"/>
        </w:rPr>
        <w:fldChar w:fldCharType="end"/>
      </w:r>
      <w:r w:rsidRPr="00304E17">
        <w:rPr>
          <w:sz w:val="24"/>
          <w:lang w:val="el-GR"/>
        </w:rPr>
        <w:t>.</w:t>
      </w:r>
    </w:p>
  </w:footnote>
  <w:footnote w:id="15">
    <w:p w14:paraId="7BEE3D08" w14:textId="32C39B13" w:rsidR="0088224E" w:rsidRPr="0081126C" w:rsidRDefault="0088224E" w:rsidP="0081126C">
      <w:pPr>
        <w:pStyle w:val="FootnoteText"/>
        <w:spacing w:line="240" w:lineRule="auto"/>
        <w:ind w:left="567" w:hanging="567"/>
        <w:rPr>
          <w:sz w:val="24"/>
          <w:lang w:val="fi-FI"/>
        </w:rPr>
      </w:pPr>
      <w:r w:rsidRPr="009B00C3">
        <w:rPr>
          <w:rStyle w:val="FootnoteReference"/>
          <w:sz w:val="24"/>
          <w:lang w:val="el-GR"/>
        </w:rPr>
        <w:footnoteRef/>
      </w:r>
      <w:r w:rsidR="009B00C3" w:rsidRPr="0081126C">
        <w:rPr>
          <w:sz w:val="24"/>
          <w:lang w:val="fi-FI"/>
        </w:rPr>
        <w:t xml:space="preserve"> </w:t>
      </w:r>
      <w:r w:rsidR="009B00C3" w:rsidRPr="0081126C">
        <w:rPr>
          <w:sz w:val="24"/>
          <w:lang w:val="fi-FI"/>
        </w:rPr>
        <w:tab/>
      </w:r>
      <w:r w:rsidRPr="009B00C3">
        <w:rPr>
          <w:sz w:val="24"/>
          <w:lang w:val="el-GR"/>
        </w:rPr>
        <w:t>ΕΕ</w:t>
      </w:r>
      <w:r w:rsidRPr="0081126C">
        <w:rPr>
          <w:sz w:val="24"/>
          <w:lang w:val="fi-FI"/>
        </w:rPr>
        <w:t xml:space="preserve"> C</w:t>
      </w:r>
      <w:r w:rsidR="004E700F" w:rsidRPr="0081126C">
        <w:rPr>
          <w:sz w:val="24"/>
          <w:lang w:val="fi-FI"/>
        </w:rPr>
        <w:t>, C/</w:t>
      </w:r>
      <w:r w:rsidRPr="0081126C">
        <w:rPr>
          <w:sz w:val="24"/>
          <w:lang w:val="fi-FI"/>
        </w:rPr>
        <w:t xml:space="preserve">2024/4165, 2.8.2024, ELI: </w:t>
      </w:r>
      <w:r w:rsidR="00304E17">
        <w:fldChar w:fldCharType="begin"/>
      </w:r>
      <w:r w:rsidR="00304E17" w:rsidRPr="00304E17">
        <w:rPr>
          <w:lang w:val="fi-FI"/>
        </w:rPr>
        <w:instrText>HYPERLINK "http://data.europa.eu/eli/C/2024/4165/oj"</w:instrText>
      </w:r>
      <w:r w:rsidR="00304E17">
        <w:fldChar w:fldCharType="separate"/>
      </w:r>
      <w:r w:rsidRPr="0081126C">
        <w:rPr>
          <w:rStyle w:val="Hyperlink"/>
          <w:sz w:val="24"/>
          <w:lang w:val="fi-FI"/>
        </w:rPr>
        <w:t>http://data.europa.eu/eli/C/2024/4165/oj</w:t>
      </w:r>
      <w:r w:rsidR="00304E17">
        <w:rPr>
          <w:rStyle w:val="Hyperlink"/>
          <w:sz w:val="24"/>
          <w:lang w:val="fi-FI"/>
        </w:rPr>
        <w:fldChar w:fldCharType="end"/>
      </w:r>
      <w:r w:rsidRPr="0081126C">
        <w:rPr>
          <w:sz w:val="24"/>
          <w:lang w:val="fi-FI"/>
        </w:rPr>
        <w:t>.</w:t>
      </w:r>
    </w:p>
  </w:footnote>
  <w:footnote w:id="16">
    <w:p w14:paraId="7DA858CF" w14:textId="04E23ECA"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Συμβούλιο της Ευρωπαϊκής Ένωσης: Γενική Γραμματεία του Συμβουλίου, Διάσκεψη για το μέλλον της Ευρώπης – Έκθεση σχετικά με τα τελικά αποτελέσματα – Μάιος 2022, Υπηρεσία Εκδόσεων της Ευρωπαϊκής Ένωσης, 2022,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doi</w:instrText>
      </w:r>
      <w:r w:rsidR="00304E17" w:rsidRPr="00304E17">
        <w:rPr>
          <w:lang w:val="el-GR"/>
        </w:rPr>
        <w:instrText>/10.2860/637445"</w:instrText>
      </w:r>
      <w:r w:rsidR="00304E17">
        <w:fldChar w:fldCharType="separate"/>
      </w:r>
      <w:r w:rsidRPr="009B00C3">
        <w:rPr>
          <w:rStyle w:val="Hyperlink"/>
          <w:sz w:val="24"/>
          <w:lang w:val="el-GR"/>
        </w:rPr>
        <w:t>https://data.europa.eu/doi/10.2860/637445</w:t>
      </w:r>
      <w:r w:rsidR="00304E17">
        <w:rPr>
          <w:rStyle w:val="Hyperlink"/>
          <w:sz w:val="24"/>
          <w:lang w:val="el-GR"/>
        </w:rPr>
        <w:fldChar w:fldCharType="end"/>
      </w:r>
      <w:r w:rsidRPr="009B00C3">
        <w:rPr>
          <w:sz w:val="24"/>
          <w:lang w:val="el-GR"/>
        </w:rPr>
        <w:t>.</w:t>
      </w:r>
    </w:p>
  </w:footnote>
  <w:footnote w:id="17">
    <w:p w14:paraId="3E63F59C" w14:textId="79E02823"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proofErr w:type="spellStart"/>
      <w:r w:rsidRPr="009B00C3">
        <w:rPr>
          <w:sz w:val="24"/>
          <w:lang w:val="el-GR"/>
        </w:rPr>
        <w:t>Letta</w:t>
      </w:r>
      <w:proofErr w:type="spellEnd"/>
      <w:r w:rsidRPr="009B00C3">
        <w:rPr>
          <w:sz w:val="24"/>
          <w:lang w:val="el-GR"/>
        </w:rPr>
        <w:t>, E., «</w:t>
      </w:r>
      <w:proofErr w:type="spellStart"/>
      <w:r w:rsidRPr="009B00C3">
        <w:rPr>
          <w:sz w:val="24"/>
          <w:lang w:val="el-GR"/>
        </w:rPr>
        <w:t>Much</w:t>
      </w:r>
      <w:proofErr w:type="spellEnd"/>
      <w:r w:rsidRPr="009B00C3">
        <w:rPr>
          <w:sz w:val="24"/>
          <w:lang w:val="el-GR"/>
        </w:rPr>
        <w:t xml:space="preserve"> </w:t>
      </w:r>
      <w:proofErr w:type="spellStart"/>
      <w:r w:rsidRPr="009B00C3">
        <w:rPr>
          <w:sz w:val="24"/>
          <w:lang w:val="el-GR"/>
        </w:rPr>
        <w:t>more</w:t>
      </w:r>
      <w:proofErr w:type="spellEnd"/>
      <w:r w:rsidRPr="009B00C3">
        <w:rPr>
          <w:sz w:val="24"/>
          <w:lang w:val="el-GR"/>
        </w:rPr>
        <w:t xml:space="preserve"> </w:t>
      </w:r>
      <w:proofErr w:type="spellStart"/>
      <w:r w:rsidRPr="009B00C3">
        <w:rPr>
          <w:sz w:val="24"/>
          <w:lang w:val="el-GR"/>
        </w:rPr>
        <w:t>than</w:t>
      </w:r>
      <w:proofErr w:type="spellEnd"/>
      <w:r w:rsidRPr="009B00C3">
        <w:rPr>
          <w:sz w:val="24"/>
          <w:lang w:val="el-GR"/>
        </w:rPr>
        <w:t xml:space="preserve"> a </w:t>
      </w:r>
      <w:proofErr w:type="spellStart"/>
      <w:r w:rsidRPr="009B00C3">
        <w:rPr>
          <w:sz w:val="24"/>
          <w:lang w:val="el-GR"/>
        </w:rPr>
        <w:t>market</w:t>
      </w:r>
      <w:proofErr w:type="spellEnd"/>
      <w:r w:rsidRPr="009B00C3">
        <w:rPr>
          <w:sz w:val="24"/>
          <w:lang w:val="el-GR"/>
        </w:rPr>
        <w:t xml:space="preserve">: </w:t>
      </w:r>
      <w:proofErr w:type="spellStart"/>
      <w:r w:rsidRPr="009B00C3">
        <w:rPr>
          <w:sz w:val="24"/>
          <w:lang w:val="el-GR"/>
        </w:rPr>
        <w:t>Speed</w:t>
      </w:r>
      <w:proofErr w:type="spellEnd"/>
      <w:r w:rsidRPr="009B00C3">
        <w:rPr>
          <w:sz w:val="24"/>
          <w:lang w:val="el-GR"/>
        </w:rPr>
        <w:t xml:space="preserve">, </w:t>
      </w:r>
      <w:proofErr w:type="spellStart"/>
      <w:r w:rsidRPr="009B00C3">
        <w:rPr>
          <w:sz w:val="24"/>
          <w:lang w:val="el-GR"/>
        </w:rPr>
        <w:t>Security</w:t>
      </w:r>
      <w:proofErr w:type="spellEnd"/>
      <w:r w:rsidRPr="009B00C3">
        <w:rPr>
          <w:sz w:val="24"/>
          <w:lang w:val="el-GR"/>
        </w:rPr>
        <w:t xml:space="preserve">, </w:t>
      </w:r>
      <w:proofErr w:type="spellStart"/>
      <w:r w:rsidRPr="009B00C3">
        <w:rPr>
          <w:sz w:val="24"/>
          <w:lang w:val="el-GR"/>
        </w:rPr>
        <w:t>Solidarity</w:t>
      </w:r>
      <w:proofErr w:type="spellEnd"/>
      <w:r w:rsidRPr="009B00C3">
        <w:rPr>
          <w:sz w:val="24"/>
          <w:lang w:val="el-GR"/>
        </w:rPr>
        <w:t xml:space="preserve"> – </w:t>
      </w:r>
      <w:proofErr w:type="spellStart"/>
      <w:r w:rsidRPr="009B00C3">
        <w:rPr>
          <w:sz w:val="24"/>
          <w:lang w:val="el-GR"/>
        </w:rPr>
        <w:t>Empowering</w:t>
      </w:r>
      <w:proofErr w:type="spellEnd"/>
      <w:r w:rsidRPr="009B00C3">
        <w:rPr>
          <w:sz w:val="24"/>
          <w:lang w:val="el-GR"/>
        </w:rPr>
        <w:t xml:space="preserve"> the </w:t>
      </w:r>
      <w:proofErr w:type="spellStart"/>
      <w:r w:rsidRPr="009B00C3">
        <w:rPr>
          <w:sz w:val="24"/>
          <w:lang w:val="el-GR"/>
        </w:rPr>
        <w:t>Single</w:t>
      </w:r>
      <w:proofErr w:type="spellEnd"/>
      <w:r w:rsidRPr="009B00C3">
        <w:rPr>
          <w:sz w:val="24"/>
          <w:lang w:val="el-GR"/>
        </w:rPr>
        <w:t xml:space="preserve"> Market </w:t>
      </w:r>
      <w:proofErr w:type="spellStart"/>
      <w:r w:rsidRPr="009B00C3">
        <w:rPr>
          <w:sz w:val="24"/>
          <w:lang w:val="el-GR"/>
        </w:rPr>
        <w:t>to</w:t>
      </w:r>
      <w:proofErr w:type="spellEnd"/>
      <w:r w:rsidRPr="009B00C3">
        <w:rPr>
          <w:sz w:val="24"/>
          <w:lang w:val="el-GR"/>
        </w:rPr>
        <w:t xml:space="preserve"> </w:t>
      </w:r>
      <w:proofErr w:type="spellStart"/>
      <w:r w:rsidRPr="009B00C3">
        <w:rPr>
          <w:sz w:val="24"/>
          <w:lang w:val="el-GR"/>
        </w:rPr>
        <w:t>deliver</w:t>
      </w:r>
      <w:proofErr w:type="spellEnd"/>
      <w:r w:rsidRPr="009B00C3">
        <w:rPr>
          <w:sz w:val="24"/>
          <w:lang w:val="el-GR"/>
        </w:rPr>
        <w:t xml:space="preserve"> a </w:t>
      </w:r>
      <w:proofErr w:type="spellStart"/>
      <w:r w:rsidRPr="009B00C3">
        <w:rPr>
          <w:sz w:val="24"/>
          <w:lang w:val="el-GR"/>
        </w:rPr>
        <w:t>sustainable</w:t>
      </w:r>
      <w:proofErr w:type="spellEnd"/>
      <w:r w:rsidRPr="009B00C3">
        <w:rPr>
          <w:sz w:val="24"/>
          <w:lang w:val="el-GR"/>
        </w:rPr>
        <w:t xml:space="preserve"> </w:t>
      </w:r>
      <w:proofErr w:type="spellStart"/>
      <w:r w:rsidRPr="009B00C3">
        <w:rPr>
          <w:sz w:val="24"/>
          <w:lang w:val="el-GR"/>
        </w:rPr>
        <w:t>future</w:t>
      </w:r>
      <w:proofErr w:type="spellEnd"/>
      <w:r w:rsidRPr="009B00C3">
        <w:rPr>
          <w:sz w:val="24"/>
          <w:lang w:val="el-GR"/>
        </w:rPr>
        <w:t xml:space="preserve"> and </w:t>
      </w:r>
      <w:proofErr w:type="spellStart"/>
      <w:r w:rsidRPr="009B00C3">
        <w:rPr>
          <w:sz w:val="24"/>
          <w:lang w:val="el-GR"/>
        </w:rPr>
        <w:t>prosperity</w:t>
      </w:r>
      <w:proofErr w:type="spellEnd"/>
      <w:r w:rsidRPr="009B00C3">
        <w:rPr>
          <w:sz w:val="24"/>
          <w:lang w:val="el-GR"/>
        </w:rPr>
        <w:t xml:space="preserve"> for </w:t>
      </w:r>
      <w:proofErr w:type="spellStart"/>
      <w:r w:rsidRPr="009B00C3">
        <w:rPr>
          <w:sz w:val="24"/>
          <w:lang w:val="el-GR"/>
        </w:rPr>
        <w:t>all</w:t>
      </w:r>
      <w:proofErr w:type="spellEnd"/>
      <w:r w:rsidRPr="009B00C3">
        <w:rPr>
          <w:sz w:val="24"/>
          <w:lang w:val="el-GR"/>
        </w:rPr>
        <w:t xml:space="preserve"> EU </w:t>
      </w:r>
      <w:proofErr w:type="spellStart"/>
      <w:r w:rsidRPr="009B00C3">
        <w:rPr>
          <w:sz w:val="24"/>
          <w:lang w:val="el-GR"/>
        </w:rPr>
        <w:t>Citizens</w:t>
      </w:r>
      <w:proofErr w:type="spellEnd"/>
      <w:r w:rsidRPr="009B00C3">
        <w:rPr>
          <w:sz w:val="24"/>
          <w:lang w:val="el-GR"/>
        </w:rPr>
        <w:t>» (Πολύ περισσότερο από μια απλή αγορά: ταχύτητα, ασφάλεια, αλληλεγγύη – Ενδυνάμωση της ενιαίας αγοράς για την επίτευξη βιώσιμου μέλλοντος και ευημερίας για όλους τους πολίτες της ΕΕ), Απρίλιος 2024.</w:t>
      </w:r>
    </w:p>
  </w:footnote>
  <w:footnote w:id="18">
    <w:p w14:paraId="1BD2379E" w14:textId="2A80CEA8"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proofErr w:type="spellStart"/>
      <w:r w:rsidRPr="009B00C3">
        <w:rPr>
          <w:sz w:val="24"/>
          <w:lang w:val="el-GR"/>
        </w:rPr>
        <w:t>Draghi</w:t>
      </w:r>
      <w:proofErr w:type="spellEnd"/>
      <w:r w:rsidRPr="009B00C3">
        <w:rPr>
          <w:sz w:val="24"/>
          <w:lang w:val="el-GR"/>
        </w:rPr>
        <w:t xml:space="preserve">, M., The </w:t>
      </w:r>
      <w:proofErr w:type="spellStart"/>
      <w:r w:rsidRPr="009B00C3">
        <w:rPr>
          <w:sz w:val="24"/>
          <w:lang w:val="el-GR"/>
        </w:rPr>
        <w:t>future</w:t>
      </w:r>
      <w:proofErr w:type="spellEnd"/>
      <w:r w:rsidRPr="009B00C3">
        <w:rPr>
          <w:sz w:val="24"/>
          <w:lang w:val="el-GR"/>
        </w:rPr>
        <w:t xml:space="preserve"> of European </w:t>
      </w:r>
      <w:proofErr w:type="spellStart"/>
      <w:r w:rsidRPr="009B00C3">
        <w:rPr>
          <w:sz w:val="24"/>
          <w:lang w:val="el-GR"/>
        </w:rPr>
        <w:t>competitiveness</w:t>
      </w:r>
      <w:proofErr w:type="spellEnd"/>
      <w:r w:rsidRPr="009B00C3">
        <w:rPr>
          <w:sz w:val="24"/>
          <w:lang w:val="el-GR"/>
        </w:rPr>
        <w:t xml:space="preserve"> (Το μέλλον της ευρωπαϊκής ανταγωνιστικότητας), 9 Σεπτεμβρίου 2024.</w:t>
      </w:r>
    </w:p>
  </w:footnote>
  <w:footnote w:id="19">
    <w:p w14:paraId="6AAC68FC" w14:textId="2A815A73"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Ευρωπαϊκή Επιτροπή, «</w:t>
      </w:r>
      <w:proofErr w:type="spellStart"/>
      <w:r w:rsidRPr="009B00C3">
        <w:rPr>
          <w:sz w:val="24"/>
          <w:lang w:val="el-GR"/>
        </w:rPr>
        <w:t>Data</w:t>
      </w:r>
      <w:proofErr w:type="spellEnd"/>
      <w:r w:rsidRPr="009B00C3">
        <w:rPr>
          <w:sz w:val="24"/>
          <w:lang w:val="el-GR"/>
        </w:rPr>
        <w:t xml:space="preserve"> on </w:t>
      </w:r>
      <w:proofErr w:type="spellStart"/>
      <w:r w:rsidRPr="009B00C3">
        <w:rPr>
          <w:sz w:val="24"/>
          <w:lang w:val="el-GR"/>
        </w:rPr>
        <w:t>Taxation</w:t>
      </w:r>
      <w:proofErr w:type="spellEnd"/>
      <w:r w:rsidRPr="009B00C3">
        <w:rPr>
          <w:sz w:val="24"/>
          <w:lang w:val="el-GR"/>
        </w:rPr>
        <w:t xml:space="preserve"> </w:t>
      </w:r>
      <w:proofErr w:type="spellStart"/>
      <w:r w:rsidRPr="009B00C3">
        <w:rPr>
          <w:sz w:val="24"/>
          <w:lang w:val="el-GR"/>
        </w:rPr>
        <w:t>Trends</w:t>
      </w:r>
      <w:proofErr w:type="spellEnd"/>
      <w:r w:rsidRPr="009B00C3">
        <w:rPr>
          <w:sz w:val="24"/>
          <w:lang w:val="el-GR"/>
        </w:rPr>
        <w:t>», τελευταία επικαιροποίηση στις 10</w:t>
      </w:r>
      <w:r w:rsidR="004D6FE8">
        <w:rPr>
          <w:sz w:val="24"/>
          <w:lang w:val="el-GR"/>
        </w:rPr>
        <w:t> </w:t>
      </w:r>
      <w:r w:rsidRPr="009B00C3">
        <w:rPr>
          <w:sz w:val="24"/>
          <w:lang w:val="el-GR"/>
        </w:rPr>
        <w:t>Μαρτίου 2025.</w:t>
      </w:r>
    </w:p>
  </w:footnote>
  <w:footnote w:id="20">
    <w:p w14:paraId="73447B69" w14:textId="1F7FF6F6"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proofErr w:type="spellStart"/>
      <w:r w:rsidRPr="009B00C3">
        <w:rPr>
          <w:sz w:val="24"/>
          <w:lang w:val="el-GR"/>
        </w:rPr>
        <w:t>ό.π</w:t>
      </w:r>
      <w:proofErr w:type="spellEnd"/>
      <w:r w:rsidRPr="009B00C3">
        <w:rPr>
          <w:sz w:val="24"/>
          <w:lang w:val="el-GR"/>
        </w:rPr>
        <w:t>.</w:t>
      </w:r>
    </w:p>
  </w:footnote>
  <w:footnote w:id="21">
    <w:p w14:paraId="253F729E" w14:textId="1A02D3D6"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proofErr w:type="spellStart"/>
      <w:r w:rsidRPr="009B00C3">
        <w:rPr>
          <w:sz w:val="24"/>
          <w:lang w:val="el-GR"/>
        </w:rPr>
        <w:t>ό.π</w:t>
      </w:r>
      <w:proofErr w:type="spellEnd"/>
      <w:r w:rsidRPr="009B00C3">
        <w:rPr>
          <w:sz w:val="24"/>
          <w:lang w:val="el-GR"/>
        </w:rPr>
        <w:t>.</w:t>
      </w:r>
    </w:p>
  </w:footnote>
  <w:footnote w:id="22">
    <w:p w14:paraId="0E1CDA76" w14:textId="0FBD84B3"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Ευρωπαϊκή Επιτροπή: Γενική Διεύθυνση Φορολογίας και Τελωνειακής Ένωσης, Κέντρο Κοινωνικών και Οικονομικών Ερευνών (CASE), </w:t>
      </w:r>
      <w:proofErr w:type="spellStart"/>
      <w:r w:rsidRPr="009B00C3">
        <w:rPr>
          <w:sz w:val="24"/>
          <w:lang w:val="el-GR"/>
        </w:rPr>
        <w:t>Oxford</w:t>
      </w:r>
      <w:proofErr w:type="spellEnd"/>
      <w:r w:rsidRPr="009B00C3">
        <w:rPr>
          <w:sz w:val="24"/>
          <w:lang w:val="el-GR"/>
        </w:rPr>
        <w:t xml:space="preserve"> </w:t>
      </w:r>
      <w:proofErr w:type="spellStart"/>
      <w:r w:rsidRPr="009B00C3">
        <w:rPr>
          <w:sz w:val="24"/>
          <w:lang w:val="el-GR"/>
        </w:rPr>
        <w:t>Economics</w:t>
      </w:r>
      <w:proofErr w:type="spellEnd"/>
      <w:r w:rsidRPr="009B00C3">
        <w:rPr>
          <w:sz w:val="24"/>
          <w:lang w:val="el-GR"/>
        </w:rPr>
        <w:t xml:space="preserve">, </w:t>
      </w:r>
      <w:proofErr w:type="spellStart"/>
      <w:r w:rsidRPr="009B00C3">
        <w:rPr>
          <w:sz w:val="24"/>
          <w:lang w:val="el-GR"/>
        </w:rPr>
        <w:t>Syntesia</w:t>
      </w:r>
      <w:proofErr w:type="spellEnd"/>
      <w:r w:rsidRPr="009B00C3">
        <w:rPr>
          <w:sz w:val="24"/>
          <w:lang w:val="el-GR"/>
        </w:rPr>
        <w:t xml:space="preserve">, </w:t>
      </w:r>
      <w:proofErr w:type="spellStart"/>
      <w:r w:rsidRPr="009B00C3">
        <w:rPr>
          <w:sz w:val="24"/>
          <w:lang w:val="el-GR"/>
        </w:rPr>
        <w:t>Bonch-Osmolovskiy</w:t>
      </w:r>
      <w:proofErr w:type="spellEnd"/>
      <w:r w:rsidRPr="009B00C3">
        <w:rPr>
          <w:sz w:val="24"/>
          <w:lang w:val="el-GR"/>
        </w:rPr>
        <w:t xml:space="preserve">, M. </w:t>
      </w:r>
      <w:proofErr w:type="spellStart"/>
      <w:r w:rsidRPr="009B00C3">
        <w:rPr>
          <w:sz w:val="24"/>
          <w:lang w:val="el-GR"/>
        </w:rPr>
        <w:t>et</w:t>
      </w:r>
      <w:proofErr w:type="spellEnd"/>
      <w:r w:rsidRPr="009B00C3">
        <w:rPr>
          <w:sz w:val="24"/>
          <w:lang w:val="el-GR"/>
        </w:rPr>
        <w:t xml:space="preserve"> </w:t>
      </w:r>
      <w:proofErr w:type="spellStart"/>
      <w:r w:rsidRPr="009B00C3">
        <w:rPr>
          <w:sz w:val="24"/>
          <w:lang w:val="el-GR"/>
        </w:rPr>
        <w:t>al</w:t>
      </w:r>
      <w:proofErr w:type="spellEnd"/>
      <w:r w:rsidRPr="009B00C3">
        <w:rPr>
          <w:sz w:val="24"/>
          <w:lang w:val="el-GR"/>
        </w:rPr>
        <w:t xml:space="preserve">., </w:t>
      </w:r>
      <w:r w:rsidRPr="009B00C3">
        <w:rPr>
          <w:rStyle w:val="Italic"/>
          <w:sz w:val="24"/>
          <w:lang w:val="el-GR"/>
        </w:rPr>
        <w:t xml:space="preserve">VAT </w:t>
      </w:r>
      <w:proofErr w:type="spellStart"/>
      <w:r w:rsidRPr="009B00C3">
        <w:rPr>
          <w:rStyle w:val="Italic"/>
          <w:sz w:val="24"/>
          <w:lang w:val="el-GR"/>
        </w:rPr>
        <w:t>gap</w:t>
      </w:r>
      <w:proofErr w:type="spellEnd"/>
      <w:r w:rsidRPr="009B00C3">
        <w:rPr>
          <w:rStyle w:val="Italic"/>
          <w:sz w:val="24"/>
          <w:lang w:val="el-GR"/>
        </w:rPr>
        <w:t xml:space="preserve"> in the EU</w:t>
      </w:r>
      <w:r w:rsidRPr="009B00C3">
        <w:rPr>
          <w:sz w:val="24"/>
          <w:lang w:val="el-GR"/>
        </w:rPr>
        <w:t xml:space="preserve"> –</w:t>
      </w:r>
      <w:r w:rsidRPr="009B00C3">
        <w:rPr>
          <w:rStyle w:val="Italic"/>
          <w:sz w:val="24"/>
          <w:lang w:val="el-GR"/>
        </w:rPr>
        <w:t xml:space="preserve"> 2024 </w:t>
      </w:r>
      <w:proofErr w:type="spellStart"/>
      <w:r w:rsidRPr="009B00C3">
        <w:rPr>
          <w:rStyle w:val="Italic"/>
          <w:sz w:val="24"/>
          <w:lang w:val="el-GR"/>
        </w:rPr>
        <w:t>report</w:t>
      </w:r>
      <w:proofErr w:type="spellEnd"/>
      <w:r w:rsidRPr="009B00C3">
        <w:rPr>
          <w:sz w:val="24"/>
          <w:lang w:val="el-GR"/>
        </w:rPr>
        <w:t xml:space="preserve">, </w:t>
      </w:r>
      <w:proofErr w:type="spellStart"/>
      <w:r w:rsidRPr="009B00C3">
        <w:rPr>
          <w:sz w:val="24"/>
          <w:lang w:val="el-GR"/>
        </w:rPr>
        <w:t>Poniatowski</w:t>
      </w:r>
      <w:proofErr w:type="spellEnd"/>
      <w:r w:rsidRPr="009B00C3">
        <w:rPr>
          <w:sz w:val="24"/>
          <w:lang w:val="el-GR"/>
        </w:rPr>
        <w:t xml:space="preserve">, G. (εκδότης), Υπηρεσία Εκδόσεων της Ευρωπαϊκής Ένωσης, 2024,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doi</w:instrText>
      </w:r>
      <w:r w:rsidR="00304E17" w:rsidRPr="00304E17">
        <w:rPr>
          <w:lang w:val="el-GR"/>
        </w:rPr>
        <w:instrText>/10.2778/2476549"</w:instrText>
      </w:r>
      <w:r w:rsidR="00304E17">
        <w:fldChar w:fldCharType="separate"/>
      </w:r>
      <w:r w:rsidRPr="009B00C3">
        <w:rPr>
          <w:rStyle w:val="Hyperlink"/>
          <w:sz w:val="24"/>
          <w:lang w:val="el-GR"/>
        </w:rPr>
        <w:t>https://data.europa.eu/doi/10.2778/2476549</w:t>
      </w:r>
      <w:r w:rsidR="00304E17">
        <w:rPr>
          <w:rStyle w:val="Hyperlink"/>
          <w:sz w:val="24"/>
          <w:lang w:val="el-GR"/>
        </w:rPr>
        <w:fldChar w:fldCharType="end"/>
      </w:r>
      <w:r w:rsidRPr="009B00C3">
        <w:rPr>
          <w:sz w:val="24"/>
          <w:lang w:val="el-GR"/>
        </w:rPr>
        <w:t>.</w:t>
      </w:r>
    </w:p>
  </w:footnote>
  <w:footnote w:id="23">
    <w:p w14:paraId="03F5AA27" w14:textId="18333D74"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Ευρωπαϊκή Επιτροπή, «</w:t>
      </w:r>
      <w:proofErr w:type="spellStart"/>
      <w:r w:rsidRPr="009B00C3">
        <w:rPr>
          <w:sz w:val="24"/>
          <w:lang w:val="el-GR"/>
        </w:rPr>
        <w:t>Questions</w:t>
      </w:r>
      <w:proofErr w:type="spellEnd"/>
      <w:r w:rsidRPr="009B00C3">
        <w:rPr>
          <w:sz w:val="24"/>
          <w:lang w:val="el-GR"/>
        </w:rPr>
        <w:t xml:space="preserve"> and </w:t>
      </w:r>
      <w:proofErr w:type="spellStart"/>
      <w:r w:rsidRPr="009B00C3">
        <w:rPr>
          <w:sz w:val="24"/>
          <w:lang w:val="el-GR"/>
        </w:rPr>
        <w:t>Answers</w:t>
      </w:r>
      <w:proofErr w:type="spellEnd"/>
      <w:r w:rsidRPr="009B00C3">
        <w:rPr>
          <w:sz w:val="24"/>
          <w:lang w:val="el-GR"/>
        </w:rPr>
        <w:t xml:space="preserve">: VAT </w:t>
      </w:r>
      <w:proofErr w:type="spellStart"/>
      <w:r w:rsidRPr="009B00C3">
        <w:rPr>
          <w:sz w:val="24"/>
          <w:lang w:val="el-GR"/>
        </w:rPr>
        <w:t>Gap</w:t>
      </w:r>
      <w:proofErr w:type="spellEnd"/>
      <w:r w:rsidRPr="009B00C3">
        <w:rPr>
          <w:sz w:val="24"/>
          <w:lang w:val="el-GR"/>
        </w:rPr>
        <w:t xml:space="preserve"> 2022 </w:t>
      </w:r>
      <w:proofErr w:type="spellStart"/>
      <w:r w:rsidRPr="009B00C3">
        <w:rPr>
          <w:sz w:val="24"/>
          <w:lang w:val="el-GR"/>
        </w:rPr>
        <w:t>report</w:t>
      </w:r>
      <w:proofErr w:type="spellEnd"/>
      <w:r w:rsidRPr="009B00C3">
        <w:rPr>
          <w:sz w:val="24"/>
          <w:lang w:val="el-GR"/>
        </w:rPr>
        <w:t xml:space="preserve">» (Ερωτήσεις και απαντήσεις: Έκθεση του 2022 σχετικά με το έλλειμμα ΦΠΑ), </w:t>
      </w:r>
      <w:proofErr w:type="spellStart"/>
      <w:r w:rsidRPr="009B00C3">
        <w:rPr>
          <w:sz w:val="24"/>
          <w:lang w:val="el-GR"/>
        </w:rPr>
        <w:t>ιστότοπος</w:t>
      </w:r>
      <w:proofErr w:type="spellEnd"/>
      <w:r w:rsidRPr="009B00C3">
        <w:rPr>
          <w:sz w:val="24"/>
          <w:lang w:val="el-GR"/>
        </w:rPr>
        <w:t xml:space="preserve"> της Ευρωπαϊκής Επιτροπής, 8 Δεκεμβρίου 2022,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ec</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commission</w:instrText>
      </w:r>
      <w:r w:rsidR="00304E17" w:rsidRPr="00304E17">
        <w:rPr>
          <w:lang w:val="el-GR"/>
        </w:rPr>
        <w:instrText>/</w:instrText>
      </w:r>
      <w:r w:rsidR="00304E17">
        <w:instrText>presscorner</w:instrText>
      </w:r>
      <w:r w:rsidR="00304E17" w:rsidRPr="00304E17">
        <w:rPr>
          <w:lang w:val="el-GR"/>
        </w:rPr>
        <w:instrText>/</w:instrText>
      </w:r>
      <w:r w:rsidR="00304E17">
        <w:instrText>detail</w:instrText>
      </w:r>
      <w:r w:rsidR="00304E17" w:rsidRPr="00304E17">
        <w:rPr>
          <w:lang w:val="el-GR"/>
        </w:rPr>
        <w:instrText>/</w:instrText>
      </w:r>
      <w:r w:rsidR="00304E17">
        <w:instrText>en</w:instrText>
      </w:r>
      <w:r w:rsidR="00304E17" w:rsidRPr="00304E17">
        <w:rPr>
          <w:lang w:val="el-GR"/>
        </w:rPr>
        <w:instrText>/</w:instrText>
      </w:r>
      <w:r w:rsidR="00304E17">
        <w:instrText>qanda</w:instrText>
      </w:r>
      <w:r w:rsidR="00304E17" w:rsidRPr="00304E17">
        <w:rPr>
          <w:lang w:val="el-GR"/>
        </w:rPr>
        <w:instrText>_22_7519"</w:instrText>
      </w:r>
      <w:r w:rsidR="00304E17">
        <w:fldChar w:fldCharType="separate"/>
      </w:r>
      <w:r w:rsidRPr="009B00C3">
        <w:rPr>
          <w:rStyle w:val="Hyperlink"/>
          <w:sz w:val="24"/>
          <w:lang w:val="el-GR"/>
        </w:rPr>
        <w:t>https://ec.europa.eu/commission/presscorner/detail/en/qanda_22_7519</w:t>
      </w:r>
      <w:r w:rsidR="00304E17">
        <w:rPr>
          <w:rStyle w:val="Hyperlink"/>
          <w:sz w:val="24"/>
          <w:lang w:val="el-GR"/>
        </w:rPr>
        <w:fldChar w:fldCharType="end"/>
      </w:r>
      <w:r w:rsidRPr="009B00C3">
        <w:rPr>
          <w:sz w:val="24"/>
          <w:lang w:val="el-GR"/>
        </w:rPr>
        <w:t>.</w:t>
      </w:r>
    </w:p>
  </w:footnote>
  <w:footnote w:id="24">
    <w:p w14:paraId="028D4003" w14:textId="43DB806A"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Ευρωπαϊκή Επιτροπή: Γενική Διεύθυνση Φορολογίας και Τελωνειακής Ένωσης, Ετήσια έκθεση για τη φορολογία 2024 – Επανεξέταση των φορολογικών πολιτικών στην Ευρωπαϊκή Ένωση, Υπηρεσία Εκδόσεων της Ευρωπαϊκής Ένωσης, 2024,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doi</w:instrText>
      </w:r>
      <w:r w:rsidR="00304E17" w:rsidRPr="00304E17">
        <w:rPr>
          <w:lang w:val="el-GR"/>
        </w:rPr>
        <w:instrText>/10.2778/10846"</w:instrText>
      </w:r>
      <w:r w:rsidR="00304E17">
        <w:fldChar w:fldCharType="separate"/>
      </w:r>
      <w:r w:rsidRPr="009B00C3">
        <w:rPr>
          <w:rStyle w:val="Hyperlink"/>
          <w:sz w:val="24"/>
          <w:lang w:val="el-GR"/>
        </w:rPr>
        <w:t>https://data.europa.eu/doi/10.2778/10846</w:t>
      </w:r>
      <w:r w:rsidR="00304E17">
        <w:rPr>
          <w:rStyle w:val="Hyperlink"/>
          <w:sz w:val="24"/>
          <w:lang w:val="el-GR"/>
        </w:rPr>
        <w:fldChar w:fldCharType="end"/>
      </w:r>
      <w:r w:rsidRPr="009B00C3">
        <w:rPr>
          <w:sz w:val="24"/>
          <w:lang w:val="el-GR"/>
        </w:rPr>
        <w:t>.</w:t>
      </w:r>
    </w:p>
  </w:footnote>
  <w:footnote w:id="25">
    <w:p w14:paraId="7FDD5C26" w14:textId="0DFC3774"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Ευρωπαϊκή Επιτροπή: Εκτελεστικός Οργανισμός για το Ευρωπαϊκό Συμβούλιο Καινοτομίας και τις ΜΜΕ, Γενική Διεύθυνση Εσωτερικής Αγοράς, Βιομηχανίας, Επιχειρηματικότητας και ΜΜΕ, KPMG, VVA, </w:t>
      </w:r>
      <w:proofErr w:type="spellStart"/>
      <w:r w:rsidRPr="009B00C3">
        <w:rPr>
          <w:sz w:val="24"/>
          <w:lang w:val="el-GR"/>
        </w:rPr>
        <w:t>Di</w:t>
      </w:r>
      <w:proofErr w:type="spellEnd"/>
      <w:r w:rsidRPr="009B00C3">
        <w:rPr>
          <w:sz w:val="24"/>
          <w:lang w:val="el-GR"/>
        </w:rPr>
        <w:t xml:space="preserve"> </w:t>
      </w:r>
      <w:proofErr w:type="spellStart"/>
      <w:r w:rsidRPr="009B00C3">
        <w:rPr>
          <w:sz w:val="24"/>
          <w:lang w:val="el-GR"/>
        </w:rPr>
        <w:t>Legge</w:t>
      </w:r>
      <w:proofErr w:type="spellEnd"/>
      <w:r w:rsidRPr="009B00C3">
        <w:rPr>
          <w:sz w:val="24"/>
          <w:lang w:val="el-GR"/>
        </w:rPr>
        <w:t xml:space="preserve">, A. </w:t>
      </w:r>
      <w:proofErr w:type="spellStart"/>
      <w:r w:rsidRPr="009B00C3">
        <w:rPr>
          <w:sz w:val="24"/>
          <w:lang w:val="el-GR"/>
        </w:rPr>
        <w:t>et</w:t>
      </w:r>
      <w:proofErr w:type="spellEnd"/>
      <w:r w:rsidRPr="009B00C3">
        <w:rPr>
          <w:sz w:val="24"/>
          <w:lang w:val="el-GR"/>
        </w:rPr>
        <w:t xml:space="preserve"> </w:t>
      </w:r>
      <w:proofErr w:type="spellStart"/>
      <w:r w:rsidRPr="009B00C3">
        <w:rPr>
          <w:sz w:val="24"/>
          <w:lang w:val="el-GR"/>
        </w:rPr>
        <w:t>al</w:t>
      </w:r>
      <w:proofErr w:type="spellEnd"/>
      <w:r w:rsidRPr="009B00C3">
        <w:rPr>
          <w:sz w:val="24"/>
          <w:lang w:val="el-GR"/>
        </w:rPr>
        <w:t xml:space="preserve">., </w:t>
      </w:r>
      <w:proofErr w:type="spellStart"/>
      <w:r w:rsidRPr="009B00C3">
        <w:rPr>
          <w:sz w:val="24"/>
          <w:lang w:val="el-GR"/>
        </w:rPr>
        <w:t>Tax</w:t>
      </w:r>
      <w:proofErr w:type="spellEnd"/>
      <w:r w:rsidRPr="009B00C3">
        <w:rPr>
          <w:sz w:val="24"/>
          <w:lang w:val="el-GR"/>
        </w:rPr>
        <w:t xml:space="preserve"> </w:t>
      </w:r>
      <w:proofErr w:type="spellStart"/>
      <w:r w:rsidRPr="009B00C3">
        <w:rPr>
          <w:sz w:val="24"/>
          <w:lang w:val="el-GR"/>
        </w:rPr>
        <w:t>compliance</w:t>
      </w:r>
      <w:proofErr w:type="spellEnd"/>
      <w:r w:rsidRPr="009B00C3">
        <w:rPr>
          <w:sz w:val="24"/>
          <w:lang w:val="el-GR"/>
        </w:rPr>
        <w:t xml:space="preserve"> </w:t>
      </w:r>
      <w:proofErr w:type="spellStart"/>
      <w:r w:rsidRPr="009B00C3">
        <w:rPr>
          <w:sz w:val="24"/>
          <w:lang w:val="el-GR"/>
        </w:rPr>
        <w:t>costs</w:t>
      </w:r>
      <w:proofErr w:type="spellEnd"/>
      <w:r w:rsidRPr="009B00C3">
        <w:rPr>
          <w:sz w:val="24"/>
          <w:lang w:val="el-GR"/>
        </w:rPr>
        <w:t xml:space="preserve"> for </w:t>
      </w:r>
      <w:proofErr w:type="spellStart"/>
      <w:r w:rsidRPr="009B00C3">
        <w:rPr>
          <w:sz w:val="24"/>
          <w:lang w:val="el-GR"/>
        </w:rPr>
        <w:t>SMEs</w:t>
      </w:r>
      <w:proofErr w:type="spellEnd"/>
      <w:r w:rsidRPr="009B00C3">
        <w:rPr>
          <w:sz w:val="24"/>
          <w:lang w:val="el-GR"/>
        </w:rPr>
        <w:t xml:space="preserve"> – </w:t>
      </w:r>
      <w:proofErr w:type="spellStart"/>
      <w:r w:rsidRPr="009B00C3">
        <w:rPr>
          <w:sz w:val="24"/>
          <w:lang w:val="el-GR"/>
        </w:rPr>
        <w:t>An</w:t>
      </w:r>
      <w:proofErr w:type="spellEnd"/>
      <w:r w:rsidRPr="009B00C3">
        <w:rPr>
          <w:sz w:val="24"/>
          <w:lang w:val="el-GR"/>
        </w:rPr>
        <w:t xml:space="preserve"> </w:t>
      </w:r>
      <w:proofErr w:type="spellStart"/>
      <w:r w:rsidRPr="009B00C3">
        <w:rPr>
          <w:sz w:val="24"/>
          <w:lang w:val="el-GR"/>
        </w:rPr>
        <w:t>update</w:t>
      </w:r>
      <w:proofErr w:type="spellEnd"/>
      <w:r w:rsidRPr="009B00C3">
        <w:rPr>
          <w:sz w:val="24"/>
          <w:lang w:val="el-GR"/>
        </w:rPr>
        <w:t xml:space="preserve"> and a </w:t>
      </w:r>
      <w:proofErr w:type="spellStart"/>
      <w:r w:rsidRPr="009B00C3">
        <w:rPr>
          <w:sz w:val="24"/>
          <w:lang w:val="el-GR"/>
        </w:rPr>
        <w:t>completed</w:t>
      </w:r>
      <w:proofErr w:type="spellEnd"/>
      <w:r w:rsidRPr="009B00C3">
        <w:rPr>
          <w:sz w:val="24"/>
          <w:lang w:val="el-GR"/>
        </w:rPr>
        <w:t xml:space="preserve"> – </w:t>
      </w:r>
      <w:proofErr w:type="spellStart"/>
      <w:r w:rsidRPr="009B00C3">
        <w:rPr>
          <w:sz w:val="24"/>
          <w:lang w:val="el-GR"/>
        </w:rPr>
        <w:t>Final</w:t>
      </w:r>
      <w:proofErr w:type="spellEnd"/>
      <w:r w:rsidRPr="009B00C3">
        <w:rPr>
          <w:sz w:val="24"/>
          <w:lang w:val="el-GR"/>
        </w:rPr>
        <w:t xml:space="preserve"> </w:t>
      </w:r>
      <w:proofErr w:type="spellStart"/>
      <w:r w:rsidRPr="009B00C3">
        <w:rPr>
          <w:sz w:val="24"/>
          <w:lang w:val="el-GR"/>
        </w:rPr>
        <w:t>report</w:t>
      </w:r>
      <w:proofErr w:type="spellEnd"/>
      <w:r w:rsidRPr="009B00C3">
        <w:rPr>
          <w:sz w:val="24"/>
          <w:lang w:val="el-GR"/>
        </w:rPr>
        <w:t xml:space="preserve">, Υπηρεσία Εκδόσεων της Ευρωπαϊκής Ένωσης, 2022, </w:t>
      </w:r>
      <w:r w:rsidR="00304E17">
        <w:fldChar w:fldCharType="begin"/>
      </w:r>
      <w:r w:rsidR="00304E17">
        <w:instrText>HYPERLINK</w:instrText>
      </w:r>
      <w:r w:rsidR="00304E17" w:rsidRPr="00304E17">
        <w:rPr>
          <w:lang w:val="el-GR"/>
        </w:rPr>
        <w:instrText xml:space="preserve"> "</w:instrText>
      </w:r>
      <w:r w:rsidR="00304E17">
        <w:instrText>https</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doi</w:instrText>
      </w:r>
      <w:r w:rsidR="00304E17" w:rsidRPr="00304E17">
        <w:rPr>
          <w:lang w:val="el-GR"/>
        </w:rPr>
        <w:instrText>/10.2873/180570"</w:instrText>
      </w:r>
      <w:r w:rsidR="00304E17">
        <w:fldChar w:fldCharType="separate"/>
      </w:r>
      <w:r w:rsidRPr="009B00C3">
        <w:rPr>
          <w:rStyle w:val="Hyperlink"/>
          <w:sz w:val="24"/>
          <w:lang w:val="el-GR"/>
        </w:rPr>
        <w:t>https://data.europa.eu/doi/10.2873/180570</w:t>
      </w:r>
      <w:r w:rsidR="00304E17">
        <w:rPr>
          <w:rStyle w:val="Hyperlink"/>
          <w:sz w:val="24"/>
          <w:lang w:val="el-GR"/>
        </w:rPr>
        <w:fldChar w:fldCharType="end"/>
      </w:r>
      <w:r w:rsidRPr="009B00C3">
        <w:rPr>
          <w:sz w:val="24"/>
          <w:lang w:val="el-GR"/>
        </w:rPr>
        <w:t>.</w:t>
      </w:r>
    </w:p>
  </w:footnote>
  <w:footnote w:id="26">
    <w:p w14:paraId="6A250C53" w14:textId="2581A72F"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proofErr w:type="spellStart"/>
      <w:r w:rsidRPr="009B00C3">
        <w:rPr>
          <w:sz w:val="24"/>
          <w:lang w:val="el-GR"/>
        </w:rPr>
        <w:t>Letta</w:t>
      </w:r>
      <w:proofErr w:type="spellEnd"/>
      <w:r w:rsidRPr="009B00C3">
        <w:rPr>
          <w:sz w:val="24"/>
          <w:lang w:val="el-GR"/>
        </w:rPr>
        <w:t>, E., «</w:t>
      </w:r>
      <w:proofErr w:type="spellStart"/>
      <w:r w:rsidRPr="009B00C3">
        <w:rPr>
          <w:sz w:val="24"/>
          <w:lang w:val="el-GR"/>
        </w:rPr>
        <w:t>Much</w:t>
      </w:r>
      <w:proofErr w:type="spellEnd"/>
      <w:r w:rsidRPr="009B00C3">
        <w:rPr>
          <w:sz w:val="24"/>
          <w:lang w:val="el-GR"/>
        </w:rPr>
        <w:t xml:space="preserve"> </w:t>
      </w:r>
      <w:proofErr w:type="spellStart"/>
      <w:r w:rsidRPr="009B00C3">
        <w:rPr>
          <w:sz w:val="24"/>
          <w:lang w:val="el-GR"/>
        </w:rPr>
        <w:t>more</w:t>
      </w:r>
      <w:proofErr w:type="spellEnd"/>
      <w:r w:rsidRPr="009B00C3">
        <w:rPr>
          <w:sz w:val="24"/>
          <w:lang w:val="el-GR"/>
        </w:rPr>
        <w:t xml:space="preserve"> </w:t>
      </w:r>
      <w:proofErr w:type="spellStart"/>
      <w:r w:rsidRPr="009B00C3">
        <w:rPr>
          <w:sz w:val="24"/>
          <w:lang w:val="el-GR"/>
        </w:rPr>
        <w:t>than</w:t>
      </w:r>
      <w:proofErr w:type="spellEnd"/>
      <w:r w:rsidRPr="009B00C3">
        <w:rPr>
          <w:sz w:val="24"/>
          <w:lang w:val="el-GR"/>
        </w:rPr>
        <w:t xml:space="preserve"> a </w:t>
      </w:r>
      <w:proofErr w:type="spellStart"/>
      <w:r w:rsidRPr="009B00C3">
        <w:rPr>
          <w:sz w:val="24"/>
          <w:lang w:val="el-GR"/>
        </w:rPr>
        <w:t>market</w:t>
      </w:r>
      <w:proofErr w:type="spellEnd"/>
      <w:r w:rsidRPr="009B00C3">
        <w:rPr>
          <w:sz w:val="24"/>
          <w:lang w:val="el-GR"/>
        </w:rPr>
        <w:t xml:space="preserve"> – </w:t>
      </w:r>
      <w:proofErr w:type="spellStart"/>
      <w:r w:rsidRPr="009B00C3">
        <w:rPr>
          <w:sz w:val="24"/>
          <w:lang w:val="el-GR"/>
        </w:rPr>
        <w:t>Speed</w:t>
      </w:r>
      <w:proofErr w:type="spellEnd"/>
      <w:r w:rsidRPr="009B00C3">
        <w:rPr>
          <w:sz w:val="24"/>
          <w:lang w:val="el-GR"/>
        </w:rPr>
        <w:t xml:space="preserve">, </w:t>
      </w:r>
      <w:proofErr w:type="spellStart"/>
      <w:r w:rsidRPr="009B00C3">
        <w:rPr>
          <w:sz w:val="24"/>
          <w:lang w:val="el-GR"/>
        </w:rPr>
        <w:t>Security</w:t>
      </w:r>
      <w:proofErr w:type="spellEnd"/>
      <w:r w:rsidRPr="009B00C3">
        <w:rPr>
          <w:sz w:val="24"/>
          <w:lang w:val="el-GR"/>
        </w:rPr>
        <w:t xml:space="preserve">, </w:t>
      </w:r>
      <w:proofErr w:type="spellStart"/>
      <w:r w:rsidRPr="009B00C3">
        <w:rPr>
          <w:sz w:val="24"/>
          <w:lang w:val="el-GR"/>
        </w:rPr>
        <w:t>Solidarity</w:t>
      </w:r>
      <w:proofErr w:type="spellEnd"/>
      <w:r w:rsidRPr="009B00C3">
        <w:rPr>
          <w:sz w:val="24"/>
          <w:lang w:val="el-GR"/>
        </w:rPr>
        <w:t xml:space="preserve"> – </w:t>
      </w:r>
      <w:proofErr w:type="spellStart"/>
      <w:r w:rsidRPr="009B00C3">
        <w:rPr>
          <w:sz w:val="24"/>
          <w:lang w:val="el-GR"/>
        </w:rPr>
        <w:t>Empowering</w:t>
      </w:r>
      <w:proofErr w:type="spellEnd"/>
      <w:r w:rsidRPr="009B00C3">
        <w:rPr>
          <w:sz w:val="24"/>
          <w:lang w:val="el-GR"/>
        </w:rPr>
        <w:t xml:space="preserve"> the </w:t>
      </w:r>
      <w:proofErr w:type="spellStart"/>
      <w:r w:rsidRPr="009B00C3">
        <w:rPr>
          <w:sz w:val="24"/>
          <w:lang w:val="el-GR"/>
        </w:rPr>
        <w:t>Single</w:t>
      </w:r>
      <w:proofErr w:type="spellEnd"/>
      <w:r w:rsidRPr="009B00C3">
        <w:rPr>
          <w:sz w:val="24"/>
          <w:lang w:val="el-GR"/>
        </w:rPr>
        <w:t xml:space="preserve"> Market </w:t>
      </w:r>
      <w:proofErr w:type="spellStart"/>
      <w:r w:rsidRPr="009B00C3">
        <w:rPr>
          <w:sz w:val="24"/>
          <w:lang w:val="el-GR"/>
        </w:rPr>
        <w:t>to</w:t>
      </w:r>
      <w:proofErr w:type="spellEnd"/>
      <w:r w:rsidRPr="009B00C3">
        <w:rPr>
          <w:sz w:val="24"/>
          <w:lang w:val="el-GR"/>
        </w:rPr>
        <w:t xml:space="preserve"> </w:t>
      </w:r>
      <w:proofErr w:type="spellStart"/>
      <w:r w:rsidRPr="009B00C3">
        <w:rPr>
          <w:sz w:val="24"/>
          <w:lang w:val="el-GR"/>
        </w:rPr>
        <w:t>deliver</w:t>
      </w:r>
      <w:proofErr w:type="spellEnd"/>
      <w:r w:rsidRPr="009B00C3">
        <w:rPr>
          <w:sz w:val="24"/>
          <w:lang w:val="el-GR"/>
        </w:rPr>
        <w:t xml:space="preserve"> a </w:t>
      </w:r>
      <w:proofErr w:type="spellStart"/>
      <w:r w:rsidRPr="009B00C3">
        <w:rPr>
          <w:sz w:val="24"/>
          <w:lang w:val="el-GR"/>
        </w:rPr>
        <w:t>sustainable</w:t>
      </w:r>
      <w:proofErr w:type="spellEnd"/>
      <w:r w:rsidRPr="009B00C3">
        <w:rPr>
          <w:sz w:val="24"/>
          <w:lang w:val="el-GR"/>
        </w:rPr>
        <w:t xml:space="preserve"> </w:t>
      </w:r>
      <w:proofErr w:type="spellStart"/>
      <w:r w:rsidRPr="009B00C3">
        <w:rPr>
          <w:sz w:val="24"/>
          <w:lang w:val="el-GR"/>
        </w:rPr>
        <w:t>future</w:t>
      </w:r>
      <w:proofErr w:type="spellEnd"/>
      <w:r w:rsidRPr="009B00C3">
        <w:rPr>
          <w:sz w:val="24"/>
          <w:lang w:val="el-GR"/>
        </w:rPr>
        <w:t xml:space="preserve"> and </w:t>
      </w:r>
      <w:proofErr w:type="spellStart"/>
      <w:r w:rsidRPr="009B00C3">
        <w:rPr>
          <w:sz w:val="24"/>
          <w:lang w:val="el-GR"/>
        </w:rPr>
        <w:t>prosperity</w:t>
      </w:r>
      <w:proofErr w:type="spellEnd"/>
      <w:r w:rsidRPr="009B00C3">
        <w:rPr>
          <w:sz w:val="24"/>
          <w:lang w:val="el-GR"/>
        </w:rPr>
        <w:t xml:space="preserve"> for </w:t>
      </w:r>
      <w:proofErr w:type="spellStart"/>
      <w:r w:rsidRPr="009B00C3">
        <w:rPr>
          <w:sz w:val="24"/>
          <w:lang w:val="el-GR"/>
        </w:rPr>
        <w:t>all</w:t>
      </w:r>
      <w:proofErr w:type="spellEnd"/>
      <w:r w:rsidRPr="009B00C3">
        <w:rPr>
          <w:sz w:val="24"/>
          <w:lang w:val="el-GR"/>
        </w:rPr>
        <w:t xml:space="preserve"> EU </w:t>
      </w:r>
      <w:proofErr w:type="spellStart"/>
      <w:r w:rsidRPr="009B00C3">
        <w:rPr>
          <w:sz w:val="24"/>
          <w:lang w:val="el-GR"/>
        </w:rPr>
        <w:t>Citizens</w:t>
      </w:r>
      <w:proofErr w:type="spellEnd"/>
      <w:r w:rsidRPr="009B00C3">
        <w:rPr>
          <w:sz w:val="24"/>
          <w:lang w:val="el-GR"/>
        </w:rPr>
        <w:t xml:space="preserve">» (Όχι μόνο μια απλή αγορά: Ταχύτητα, ασφάλεια, αλληλεγγύη. Ενδυνάμωση της ενιαίας αγοράς για την επίτευξη βιώσιμου μέλλοντος και ευημερίας για όλους τους πολίτες της ΕΕ), Απρίλιος 2024, </w:t>
      </w:r>
      <w:r w:rsidRPr="00E50728">
        <w:rPr>
          <w:sz w:val="24"/>
          <w:lang w:val="el-GR"/>
        </w:rPr>
        <w:t>σ. 91, 111.</w:t>
      </w:r>
    </w:p>
  </w:footnote>
  <w:footnote w:id="27">
    <w:p w14:paraId="2A56B9ED" w14:textId="261A1B0F"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2003/96/ΕΚ του Συμβουλίου, της 27ης Οκτωβρίου 2003, σχετικά με την αναδιάρθρωση του κοινοτικού πλαισίου φορολογίας των ενεργειακών προϊόντων και της ηλεκτρικής ενέργειας (ΕΕ L 283 της 31.10.2003, σ. 51,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/2003/96/</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http://data.europa.eu/eli/dir/2003/96/oj</w:t>
      </w:r>
      <w:r w:rsidR="00304E17">
        <w:rPr>
          <w:rStyle w:val="Hyperlink"/>
          <w:sz w:val="24"/>
          <w:lang w:val="el-GR"/>
        </w:rPr>
        <w:fldChar w:fldCharType="end"/>
      </w:r>
      <w:r w:rsidRPr="009B00C3">
        <w:rPr>
          <w:sz w:val="24"/>
          <w:lang w:val="el-GR"/>
        </w:rPr>
        <w:t>).</w:t>
      </w:r>
    </w:p>
  </w:footnote>
  <w:footnote w:id="28">
    <w:p w14:paraId="5C27708B" w14:textId="413A4062"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Οδηγία (ΕΕ) 2021/2101 του Ευρωπαϊκού Κοινοβουλίου και του Συμβουλίου, της 24ης</w:t>
      </w:r>
      <w:r w:rsidR="000A2222">
        <w:rPr>
          <w:sz w:val="24"/>
          <w:lang w:val="el-GR"/>
        </w:rPr>
        <w:t> </w:t>
      </w:r>
      <w:r w:rsidRPr="009B00C3">
        <w:rPr>
          <w:sz w:val="24"/>
          <w:lang w:val="el-GR"/>
        </w:rPr>
        <w:t xml:space="preserve">Νοεμβρίου 2021, για την τροποποίηση της οδηγίας 2013/34/ΕΕ όσον αφορά τη δημοσιοποίηση στοιχείων φορολογίας εισοδήματος από ορισμένες επιχειρήσεις και υποκαταστήματα, (ΕΕ L 429 της 1.12.2021,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/2021/2101/</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http://data.europa.eu/eli/dir/2021/2101/oj</w:t>
      </w:r>
      <w:r w:rsidR="00304E17">
        <w:rPr>
          <w:rStyle w:val="Hyperlink"/>
          <w:sz w:val="24"/>
          <w:lang w:val="el-GR"/>
        </w:rPr>
        <w:fldChar w:fldCharType="end"/>
      </w:r>
      <w:r w:rsidRPr="009B00C3">
        <w:rPr>
          <w:sz w:val="24"/>
          <w:lang w:val="el-GR"/>
        </w:rPr>
        <w:t>).</w:t>
      </w:r>
    </w:p>
  </w:footnote>
  <w:footnote w:id="29">
    <w:p w14:paraId="70156E38" w14:textId="1822D0F5"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(ΕΕ) 2025/516 του Συμβουλίου, της 11ης Μαρτίου 2025, για την τροποποίηση της οδηγίας 2006/112/ΕΚ όσον αφορά τους κανόνες ΦΠΑ για την ψηφιακή εποχή (ΕΕ L, 2025/516, 25.3.2025,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/2025/516/</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http://data.europa.eu/eli/dir/2025/516/oj</w:t>
      </w:r>
      <w:r w:rsidR="00304E17">
        <w:rPr>
          <w:rStyle w:val="Hyperlink"/>
          <w:sz w:val="24"/>
          <w:lang w:val="el-GR"/>
        </w:rPr>
        <w:fldChar w:fldCharType="end"/>
      </w:r>
      <w:r w:rsidRPr="009B00C3">
        <w:rPr>
          <w:sz w:val="24"/>
          <w:lang w:val="el-GR"/>
        </w:rPr>
        <w:t>).</w:t>
      </w:r>
    </w:p>
  </w:footnote>
  <w:footnote w:id="30">
    <w:p w14:paraId="01323F80" w14:textId="29A2A7A0"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2008/9/ΕΚ του Συμβουλίου, της 12ης Φεβρουαρίου 2008, για τον καθορισμό λεπτομερών κανόνων σχετικά με την επιστροφή του φόρου προστιθέμενης αξίας, που προβλέπεται στην οδηγία 2006/112/ΕΚ, σε υποκείμενους στο φόρο μη εγκατεστημένους στο κράτος μέλος επιστροφής αλλά εγκατεστημένους σε άλλο κράτος μέλος (ΕΕ L 44 της 20.2.2008, σ. 23,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/2008/9/</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http://data.europa.eu/eli/dir/2008/9/oj</w:t>
      </w:r>
      <w:r w:rsidR="00304E17">
        <w:rPr>
          <w:rStyle w:val="Hyperlink"/>
          <w:sz w:val="24"/>
          <w:lang w:val="el-GR"/>
        </w:rPr>
        <w:fldChar w:fldCharType="end"/>
      </w:r>
      <w:r w:rsidRPr="009B00C3">
        <w:rPr>
          <w:sz w:val="24"/>
          <w:lang w:val="el-GR"/>
        </w:rPr>
        <w:t>).</w:t>
      </w:r>
    </w:p>
  </w:footnote>
  <w:footnote w:id="31">
    <w:p w14:paraId="7FBACD5D" w14:textId="488F38D5"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2006/112/ΕΚ του Συμβουλίου, της 28ης Νοεμβρίου 2006, σχετικά με το κοινό σύστημα φόρου προστιθέμενης αξίας (ΕΕ L 347 της 11.12.2006,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/2006/112/</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http://data.europa.eu/eli/dir/2006/112/oj</w:t>
      </w:r>
      <w:r w:rsidR="00304E17">
        <w:rPr>
          <w:rStyle w:val="Hyperlink"/>
          <w:sz w:val="24"/>
          <w:lang w:val="el-GR"/>
        </w:rPr>
        <w:fldChar w:fldCharType="end"/>
      </w:r>
      <w:r w:rsidRPr="009B00C3">
        <w:rPr>
          <w:sz w:val="24"/>
          <w:lang w:val="el-GR"/>
        </w:rPr>
        <w:t>).</w:t>
      </w:r>
    </w:p>
  </w:footnote>
  <w:footnote w:id="32">
    <w:p w14:paraId="3C656E02" w14:textId="1C75DE1D"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(ΕΕ) 2022/2523 του Συμβουλίου, της 14ης Δεκεμβρίου 2022, σχετικά με την εξασφάλιση παγκόσμιου ελάχιστου επιπέδου φορολογίας των ομίλων πολυεθνικών επιχειρήσεων και των εγχώριων ομίλων μεγάλης κλίμακας στην Ένωση (ΕΕ L 328 της 22.12.2022,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/2022/2523/</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http://data.europa.eu/eli/dir/2022/2523/oj</w:t>
      </w:r>
      <w:r w:rsidR="00304E17">
        <w:rPr>
          <w:rStyle w:val="Hyperlink"/>
          <w:sz w:val="24"/>
          <w:lang w:val="el-GR"/>
        </w:rPr>
        <w:fldChar w:fldCharType="end"/>
      </w:r>
      <w:r w:rsidRPr="009B00C3">
        <w:rPr>
          <w:sz w:val="24"/>
          <w:lang w:val="el-GR"/>
        </w:rPr>
        <w:t>).</w:t>
      </w:r>
    </w:p>
  </w:footnote>
  <w:footnote w:id="33">
    <w:p w14:paraId="1A3A2675" w14:textId="0C4AE3CA"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Οδηγία (ΕΕ) 2025/50 του Συμβουλίου, της 10ης Δεκεμβρίου 2024, σχετικά με την ταχύτερη και ασφαλέστερη ελάφρυνση της υπερβάλλουσας παρακράτησης φόρου (ΕΕ</w:t>
      </w:r>
      <w:r w:rsidR="000A2222">
        <w:rPr>
          <w:sz w:val="24"/>
          <w:lang w:val="el-GR"/>
        </w:rPr>
        <w:t> </w:t>
      </w:r>
      <w:r w:rsidRPr="009B00C3">
        <w:rPr>
          <w:sz w:val="24"/>
          <w:lang w:val="el-GR"/>
        </w:rPr>
        <w:t xml:space="preserve">L, 2025/50, 10.1.2025,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/2025/50/</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http://data.europa.eu/eli/dir/2025/50/oj</w:t>
      </w:r>
      <w:r w:rsidR="00304E17">
        <w:rPr>
          <w:rStyle w:val="Hyperlink"/>
          <w:sz w:val="24"/>
          <w:lang w:val="el-GR"/>
        </w:rPr>
        <w:fldChar w:fldCharType="end"/>
      </w:r>
      <w:r w:rsidRPr="009B00C3">
        <w:rPr>
          <w:sz w:val="24"/>
          <w:lang w:val="el-GR"/>
        </w:rPr>
        <w:t>).</w:t>
      </w:r>
    </w:p>
  </w:footnote>
  <w:footnote w:id="34">
    <w:p w14:paraId="43E22747" w14:textId="30FED624"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Ψήφισμα του Ευρωπαϊκού Κοινοβουλίου, της 10ης Μαρτίου 2022, σχετικά με ένα ευρωπαϊκό πλαίσιο για την παρακράτηση φόρου (ΕΕ C 347 της 9.9.2022, σ. 172).</w:t>
      </w:r>
    </w:p>
  </w:footnote>
  <w:footnote w:id="35">
    <w:p w14:paraId="5609A14A" w14:textId="2A4A75DE"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Ψήφισμα του Ευρωπαϊκού Κοινοβουλίου της 16ης Σεπτεμβρίου 2021 σχετικά με την εφαρμογή των απαιτήσεων της ΕΕ για την ανταλλαγή φορολογικών πληροφοριών: πρόοδος, διδάγματα που αντλήθηκαν και εμπόδια που πρέπει να ξεπεραστούν (ΕΕ</w:t>
      </w:r>
      <w:r w:rsidR="000A2222">
        <w:rPr>
          <w:sz w:val="24"/>
          <w:lang w:val="el-GR"/>
        </w:rPr>
        <w:t> </w:t>
      </w:r>
      <w:r w:rsidRPr="009B00C3">
        <w:rPr>
          <w:sz w:val="24"/>
          <w:lang w:val="el-GR"/>
        </w:rPr>
        <w:t>C 117 της 11.3.2022, σ. 120).</w:t>
      </w:r>
    </w:p>
  </w:footnote>
  <w:footnote w:id="36">
    <w:p w14:paraId="4A7D6D32" w14:textId="475CDBEC"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Ψήφισμα του Ευρωπαϊκού Κοινοβουλίου της 21ης Ιανουαρίου 2021 σχετικά με τη μεταρρύθμιση του ενωσιακού καταλόγου φορολογικών παραδείσων (ΕΕ C 456 της 10.11.2021, σ. 177)</w:t>
      </w:r>
      <w:r w:rsidR="000A2222">
        <w:rPr>
          <w:sz w:val="24"/>
          <w:lang w:val="el-GR"/>
        </w:rPr>
        <w:t>.</w:t>
      </w:r>
    </w:p>
  </w:footnote>
  <w:footnote w:id="37">
    <w:p w14:paraId="48D304C9" w14:textId="15745DA7"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2011/16/ΕΕ του Συμβουλίου, της 15ης Φεβρουαρίου 2011, σχετικά με τη διοικητική συνεργασία στον τομέα της φορολογίας και με την κατάργηση της οδηγίας 77/799/ΕΟΚ (ΕΕ L 64 της 11.3.2011,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/2011/16/</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http://data.europa.eu/eli/dir/2011/16/oj</w:t>
      </w:r>
      <w:r w:rsidR="00304E17">
        <w:rPr>
          <w:rStyle w:val="Hyperlink"/>
          <w:sz w:val="24"/>
          <w:lang w:val="el-GR"/>
        </w:rPr>
        <w:fldChar w:fldCharType="end"/>
      </w:r>
      <w:r w:rsidRPr="009B00C3">
        <w:rPr>
          <w:sz w:val="24"/>
          <w:lang w:val="el-GR"/>
        </w:rPr>
        <w:t>).</w:t>
      </w:r>
    </w:p>
  </w:footnote>
  <w:footnote w:id="38">
    <w:p w14:paraId="626B62E4" w14:textId="36B0A55F"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/2016/1164/</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http://data.europa.eu/eli/dir/2016/1164/oj</w:t>
      </w:r>
      <w:r w:rsidR="00304E17">
        <w:rPr>
          <w:rStyle w:val="Hyperlink"/>
          <w:sz w:val="24"/>
          <w:lang w:val="el-GR"/>
        </w:rPr>
        <w:fldChar w:fldCharType="end"/>
      </w:r>
      <w:r w:rsidRPr="009B00C3">
        <w:rPr>
          <w:sz w:val="24"/>
          <w:lang w:val="el-GR"/>
        </w:rPr>
        <w:t>).</w:t>
      </w:r>
    </w:p>
  </w:footnote>
  <w:footnote w:id="39">
    <w:p w14:paraId="4CBDB6CB" w14:textId="6D3C6A70"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(ΕΕ) 2018/822 του Συμβουλίου, της 25ης Μαΐου 2018, για την τροποποίηση της οδηγίας 2011/16/ΕΕ όσον αφορά την υποχρεωτική αυτόματη ανταλλαγή πληροφοριών στον τομέα της φορολογίας σχετικά με δηλωτέες διασυνοριακές ρυθμίσεις, (ΕΕ L 139 της 5.6.2018,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/2018/822/</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http://data.europa.eu/eli/dir/2018/822/oj</w:t>
      </w:r>
      <w:r w:rsidR="00304E17">
        <w:rPr>
          <w:rStyle w:val="Hyperlink"/>
          <w:sz w:val="24"/>
          <w:lang w:val="el-GR"/>
        </w:rPr>
        <w:fldChar w:fldCharType="end"/>
      </w:r>
      <w:r w:rsidRPr="009B00C3">
        <w:rPr>
          <w:sz w:val="24"/>
          <w:lang w:val="el-GR"/>
        </w:rPr>
        <w:t>).</w:t>
      </w:r>
    </w:p>
  </w:footnote>
  <w:footnote w:id="40">
    <w:p w14:paraId="251A6E27" w14:textId="509955AB" w:rsidR="0088224E" w:rsidRPr="009B00C3" w:rsidRDefault="0088224E" w:rsidP="0081126C">
      <w:pPr>
        <w:pStyle w:val="FootnoteText"/>
        <w:spacing w:line="240" w:lineRule="auto"/>
        <w:ind w:left="567" w:hanging="567"/>
        <w:rPr>
          <w:sz w:val="24"/>
          <w:lang w:val="el-GR"/>
        </w:rPr>
      </w:pPr>
      <w:r w:rsidRPr="009B00C3">
        <w:rPr>
          <w:rStyle w:val="FootnoteReference"/>
          <w:sz w:val="24"/>
          <w:lang w:val="el-GR"/>
        </w:rPr>
        <w:footnoteRef/>
      </w:r>
      <w:r w:rsidR="009B00C3" w:rsidRPr="009B00C3">
        <w:rPr>
          <w:sz w:val="24"/>
          <w:lang w:val="el-GR"/>
        </w:rPr>
        <w:t xml:space="preserve"> </w:t>
      </w:r>
      <w:r w:rsidR="009B00C3" w:rsidRPr="009B00C3">
        <w:rPr>
          <w:sz w:val="24"/>
          <w:lang w:val="el-GR"/>
        </w:rPr>
        <w:tab/>
      </w:r>
      <w:r w:rsidRPr="009B00C3">
        <w:rPr>
          <w:sz w:val="24"/>
          <w:lang w:val="el-GR"/>
        </w:rPr>
        <w:t xml:space="preserve">Οδηγία (ΕΕ) 2021/514 του Συμβουλίου, της 22ας Μαρτίου 2021, για την τροποποίηση της οδηγίας 2011/16/ΕΕ σχετικά με τη διοικητική συνεργασία στον τομέα της φορολογίας, (ΕΕ L 104 της 25.3.2021, σ. 1, ELI: </w:t>
      </w:r>
      <w:r w:rsidR="00304E17">
        <w:fldChar w:fldCharType="begin"/>
      </w:r>
      <w:r w:rsidR="00304E17">
        <w:instrText>HYPERLINK</w:instrText>
      </w:r>
      <w:r w:rsidR="00304E17" w:rsidRPr="00304E17">
        <w:rPr>
          <w:lang w:val="el-GR"/>
        </w:rPr>
        <w:instrText xml:space="preserve"> "</w:instrText>
      </w:r>
      <w:r w:rsidR="00304E17">
        <w:instrText>http</w:instrText>
      </w:r>
      <w:r w:rsidR="00304E17" w:rsidRPr="00304E17">
        <w:rPr>
          <w:lang w:val="el-GR"/>
        </w:rPr>
        <w:instrText>://</w:instrText>
      </w:r>
      <w:r w:rsidR="00304E17">
        <w:instrText>data</w:instrText>
      </w:r>
      <w:r w:rsidR="00304E17" w:rsidRPr="00304E17">
        <w:rPr>
          <w:lang w:val="el-GR"/>
        </w:rPr>
        <w:instrText>.</w:instrText>
      </w:r>
      <w:r w:rsidR="00304E17">
        <w:instrText>europa</w:instrText>
      </w:r>
      <w:r w:rsidR="00304E17" w:rsidRPr="00304E17">
        <w:rPr>
          <w:lang w:val="el-GR"/>
        </w:rPr>
        <w:instrText>.</w:instrText>
      </w:r>
      <w:r w:rsidR="00304E17">
        <w:instrText>eu</w:instrText>
      </w:r>
      <w:r w:rsidR="00304E17" w:rsidRPr="00304E17">
        <w:rPr>
          <w:lang w:val="el-GR"/>
        </w:rPr>
        <w:instrText>/</w:instrText>
      </w:r>
      <w:r w:rsidR="00304E17">
        <w:instrText>eli</w:instrText>
      </w:r>
      <w:r w:rsidR="00304E17" w:rsidRPr="00304E17">
        <w:rPr>
          <w:lang w:val="el-GR"/>
        </w:rPr>
        <w:instrText>/</w:instrText>
      </w:r>
      <w:r w:rsidR="00304E17">
        <w:instrText>dir</w:instrText>
      </w:r>
      <w:r w:rsidR="00304E17" w:rsidRPr="00304E17">
        <w:rPr>
          <w:lang w:val="el-GR"/>
        </w:rPr>
        <w:instrText>/2021/514/</w:instrText>
      </w:r>
      <w:r w:rsidR="00304E17">
        <w:instrText>oj</w:instrText>
      </w:r>
      <w:r w:rsidR="00304E17" w:rsidRPr="00304E17">
        <w:rPr>
          <w:lang w:val="el-GR"/>
        </w:rPr>
        <w:instrText>"</w:instrText>
      </w:r>
      <w:r w:rsidR="00304E17">
        <w:fldChar w:fldCharType="separate"/>
      </w:r>
      <w:r w:rsidRPr="009B00C3">
        <w:rPr>
          <w:rStyle w:val="Hyperlink"/>
          <w:sz w:val="24"/>
          <w:lang w:val="el-GR"/>
        </w:rPr>
        <w:t>http://data.europa.eu/eli/dir/2021/514/oj</w:t>
      </w:r>
      <w:r w:rsidR="00304E17">
        <w:rPr>
          <w:rStyle w:val="Hyperlink"/>
          <w:sz w:val="24"/>
          <w:lang w:val="el-GR"/>
        </w:rPr>
        <w:fldChar w:fldCharType="end"/>
      </w:r>
      <w:r w:rsidRPr="009B00C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707E" w14:textId="77777777" w:rsidR="00064002" w:rsidRPr="009B00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ACE7" w14:textId="77777777" w:rsidR="00064002" w:rsidRPr="009B00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0644" w14:textId="77777777" w:rsidR="00064002" w:rsidRPr="009B00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2C1ABD"/>
    <w:multiLevelType w:val="hybridMultilevel"/>
    <w:tmpl w:val="B7B41718"/>
    <w:lvl w:ilvl="0" w:tplc="B5C4BCF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2065C2"/>
    <w:multiLevelType w:val="hybridMultilevel"/>
    <w:tmpl w:val="4022E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4394226">
    <w:abstractNumId w:val="9"/>
  </w:num>
  <w:num w:numId="2" w16cid:durableId="729767718">
    <w:abstractNumId w:val="9"/>
  </w:num>
  <w:num w:numId="3" w16cid:durableId="1295479495">
    <w:abstractNumId w:val="7"/>
  </w:num>
  <w:num w:numId="4" w16cid:durableId="1831553557">
    <w:abstractNumId w:val="7"/>
  </w:num>
  <w:num w:numId="5" w16cid:durableId="307630315">
    <w:abstractNumId w:val="6"/>
  </w:num>
  <w:num w:numId="6" w16cid:durableId="859389459">
    <w:abstractNumId w:val="6"/>
  </w:num>
  <w:num w:numId="7" w16cid:durableId="343410219">
    <w:abstractNumId w:val="5"/>
  </w:num>
  <w:num w:numId="8" w16cid:durableId="859510581">
    <w:abstractNumId w:val="5"/>
  </w:num>
  <w:num w:numId="9" w16cid:durableId="147089399">
    <w:abstractNumId w:val="4"/>
  </w:num>
  <w:num w:numId="10" w16cid:durableId="1708407298">
    <w:abstractNumId w:val="4"/>
  </w:num>
  <w:num w:numId="11" w16cid:durableId="1915704195">
    <w:abstractNumId w:val="8"/>
  </w:num>
  <w:num w:numId="12" w16cid:durableId="843789176">
    <w:abstractNumId w:val="8"/>
  </w:num>
  <w:num w:numId="13" w16cid:durableId="382756258">
    <w:abstractNumId w:val="3"/>
  </w:num>
  <w:num w:numId="14" w16cid:durableId="1919174780">
    <w:abstractNumId w:val="3"/>
  </w:num>
  <w:num w:numId="15" w16cid:durableId="1959987538">
    <w:abstractNumId w:val="2"/>
  </w:num>
  <w:num w:numId="16" w16cid:durableId="91052126">
    <w:abstractNumId w:val="2"/>
  </w:num>
  <w:num w:numId="17" w16cid:durableId="367611269">
    <w:abstractNumId w:val="1"/>
  </w:num>
  <w:num w:numId="18" w16cid:durableId="1074357957">
    <w:abstractNumId w:val="1"/>
  </w:num>
  <w:num w:numId="19" w16cid:durableId="659233623">
    <w:abstractNumId w:val="0"/>
  </w:num>
  <w:num w:numId="20" w16cid:durableId="135609238">
    <w:abstractNumId w:val="0"/>
  </w:num>
  <w:num w:numId="21" w16cid:durableId="711854934">
    <w:abstractNumId w:val="9"/>
  </w:num>
  <w:num w:numId="22" w16cid:durableId="2023970641">
    <w:abstractNumId w:val="7"/>
  </w:num>
  <w:num w:numId="23" w16cid:durableId="507453649">
    <w:abstractNumId w:val="6"/>
  </w:num>
  <w:num w:numId="24" w16cid:durableId="1822043736">
    <w:abstractNumId w:val="5"/>
  </w:num>
  <w:num w:numId="25" w16cid:durableId="879434602">
    <w:abstractNumId w:val="4"/>
  </w:num>
  <w:num w:numId="26" w16cid:durableId="123043444">
    <w:abstractNumId w:val="8"/>
  </w:num>
  <w:num w:numId="27" w16cid:durableId="1406953229">
    <w:abstractNumId w:val="3"/>
  </w:num>
  <w:num w:numId="28" w16cid:durableId="598022491">
    <w:abstractNumId w:val="2"/>
  </w:num>
  <w:num w:numId="29" w16cid:durableId="2068601013">
    <w:abstractNumId w:val="1"/>
  </w:num>
  <w:num w:numId="30" w16cid:durableId="1502045490">
    <w:abstractNumId w:val="0"/>
  </w:num>
  <w:num w:numId="31" w16cid:durableId="150752474">
    <w:abstractNumId w:val="9"/>
  </w:num>
  <w:num w:numId="32" w16cid:durableId="1344168881">
    <w:abstractNumId w:val="7"/>
  </w:num>
  <w:num w:numId="33" w16cid:durableId="1000307399">
    <w:abstractNumId w:val="6"/>
  </w:num>
  <w:num w:numId="34" w16cid:durableId="787356820">
    <w:abstractNumId w:val="5"/>
  </w:num>
  <w:num w:numId="35" w16cid:durableId="990792141">
    <w:abstractNumId w:val="4"/>
  </w:num>
  <w:num w:numId="36" w16cid:durableId="726732841">
    <w:abstractNumId w:val="8"/>
  </w:num>
  <w:num w:numId="37" w16cid:durableId="1592855921">
    <w:abstractNumId w:val="3"/>
  </w:num>
  <w:num w:numId="38" w16cid:durableId="359475917">
    <w:abstractNumId w:val="2"/>
  </w:num>
  <w:num w:numId="39" w16cid:durableId="715158051">
    <w:abstractNumId w:val="1"/>
  </w:num>
  <w:num w:numId="40" w16cid:durableId="1182167658">
    <w:abstractNumId w:val="0"/>
  </w:num>
  <w:num w:numId="41" w16cid:durableId="649283611">
    <w:abstractNumId w:val="10"/>
  </w:num>
  <w:num w:numId="42" w16cid:durableId="1443956292">
    <w:abstractNumId w:val="10"/>
  </w:num>
  <w:num w:numId="43" w16cid:durableId="1710840248">
    <w:abstractNumId w:val="10"/>
  </w:num>
  <w:num w:numId="44" w16cid:durableId="986281488">
    <w:abstractNumId w:val="12"/>
  </w:num>
  <w:num w:numId="45" w16cid:durableId="1785805505">
    <w:abstractNumId w:val="13"/>
  </w:num>
  <w:num w:numId="46" w16cid:durableId="1978992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EL"/>
    <w:docVar w:name="dvnumam" w:val="0"/>
    <w:docVar w:name="dvpe" w:val="770.261"/>
    <w:docVar w:name="dvrapporteur" w:val="Εισηγητής: "/>
    <w:docVar w:name="dvtitre" w:val="Ψήφισμα του Ευρωπαϊκού Κοινοβουλίου σχετικά με τον ρόλο των απλών φορολογικών κανόνων και του φορολογικού κατακερματισμού στην ευρωπαϊκή ανταγωνιστικότητα(2024/2118(INI))"/>
  </w:docVars>
  <w:rsids>
    <w:rsidRoot w:val="00A76C74"/>
    <w:rsid w:val="00002272"/>
    <w:rsid w:val="00064002"/>
    <w:rsid w:val="000677B9"/>
    <w:rsid w:val="000831BA"/>
    <w:rsid w:val="000A2222"/>
    <w:rsid w:val="000A42CC"/>
    <w:rsid w:val="000E7DD9"/>
    <w:rsid w:val="0010095E"/>
    <w:rsid w:val="00125B37"/>
    <w:rsid w:val="00187494"/>
    <w:rsid w:val="001F32AE"/>
    <w:rsid w:val="002767FF"/>
    <w:rsid w:val="002B18FE"/>
    <w:rsid w:val="002B5493"/>
    <w:rsid w:val="00304E17"/>
    <w:rsid w:val="00343214"/>
    <w:rsid w:val="00361C00"/>
    <w:rsid w:val="00395FA1"/>
    <w:rsid w:val="003E15D4"/>
    <w:rsid w:val="00411CCE"/>
    <w:rsid w:val="0041666E"/>
    <w:rsid w:val="00421060"/>
    <w:rsid w:val="00471C19"/>
    <w:rsid w:val="004867E3"/>
    <w:rsid w:val="00494A28"/>
    <w:rsid w:val="004C0004"/>
    <w:rsid w:val="004C5D52"/>
    <w:rsid w:val="004D6FE8"/>
    <w:rsid w:val="004E700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126C"/>
    <w:rsid w:val="00817416"/>
    <w:rsid w:val="00842779"/>
    <w:rsid w:val="00865F67"/>
    <w:rsid w:val="00881A7B"/>
    <w:rsid w:val="0088224E"/>
    <w:rsid w:val="008840E5"/>
    <w:rsid w:val="00887B3E"/>
    <w:rsid w:val="008A104E"/>
    <w:rsid w:val="008C2AC6"/>
    <w:rsid w:val="00930C23"/>
    <w:rsid w:val="0093193B"/>
    <w:rsid w:val="009509D8"/>
    <w:rsid w:val="00950B64"/>
    <w:rsid w:val="00981893"/>
    <w:rsid w:val="009B00C3"/>
    <w:rsid w:val="00A1687D"/>
    <w:rsid w:val="00A43E52"/>
    <w:rsid w:val="00A4678D"/>
    <w:rsid w:val="00A76C74"/>
    <w:rsid w:val="00A778C7"/>
    <w:rsid w:val="00A77FE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728"/>
    <w:rsid w:val="00E820A4"/>
    <w:rsid w:val="00EB006A"/>
    <w:rsid w:val="00EB4772"/>
    <w:rsid w:val="00ED169E"/>
    <w:rsid w:val="00ED4235"/>
    <w:rsid w:val="00F04346"/>
    <w:rsid w:val="00F075DC"/>
    <w:rsid w:val="00F149E9"/>
    <w:rsid w:val="00F5134D"/>
    <w:rsid w:val="00F74202"/>
    <w:rsid w:val="00F87713"/>
    <w:rsid w:val="00F926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D54B8"/>
  <w15:chartTrackingRefBased/>
  <w15:docId w15:val="{23A61F8A-507E-4417-BD74-FE92473B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224E"/>
    <w:pPr>
      <w:spacing w:before="480" w:after="240"/>
    </w:pPr>
    <w:rPr>
      <w:snapToGrid w:val="0"/>
      <w:lang w:eastAsia="en-US"/>
    </w:rPr>
  </w:style>
  <w:style w:type="paragraph" w:customStyle="1" w:styleId="NormalBold">
    <w:name w:val="NormalBold"/>
    <w:basedOn w:val="Normal"/>
    <w:rsid w:val="0088224E"/>
    <w:rPr>
      <w:b/>
      <w:snapToGrid w:val="0"/>
      <w:lang w:eastAsia="en-US"/>
    </w:rPr>
  </w:style>
  <w:style w:type="paragraph" w:customStyle="1" w:styleId="NormalHanging12a">
    <w:name w:val="NormalHanging12a"/>
    <w:basedOn w:val="Normal"/>
    <w:rsid w:val="0088224E"/>
    <w:pPr>
      <w:widowControl/>
      <w:spacing w:after="240"/>
      <w:ind w:left="567" w:hanging="567"/>
    </w:pPr>
    <w:rPr>
      <w:snapToGrid w:val="0"/>
      <w:lang w:eastAsia="en-US"/>
    </w:rPr>
  </w:style>
  <w:style w:type="character" w:customStyle="1" w:styleId="BoldItalic">
    <w:name w:val="BoldItalic"/>
    <w:uiPriority w:val="1"/>
    <w:rsid w:val="0088224E"/>
    <w:rPr>
      <w:b/>
      <w:i/>
      <w:u w:val="none"/>
    </w:rPr>
  </w:style>
  <w:style w:type="character" w:customStyle="1" w:styleId="Italic">
    <w:name w:val="Italic"/>
    <w:uiPriority w:val="1"/>
    <w:rsid w:val="0088224E"/>
    <w:rPr>
      <w:i/>
    </w:rPr>
  </w:style>
  <w:style w:type="paragraph" w:customStyle="1" w:styleId="Normal12a24b">
    <w:name w:val="Normal12a24b"/>
    <w:basedOn w:val="Normal"/>
    <w:rsid w:val="0088224E"/>
    <w:pPr>
      <w:spacing w:before="360" w:after="240"/>
    </w:pPr>
    <w:rPr>
      <w:snapToGrid w:val="0"/>
      <w:lang w:eastAsia="en-US"/>
    </w:rPr>
  </w:style>
  <w:style w:type="character" w:styleId="Hyperlink">
    <w:name w:val="Hyperlink"/>
    <w:basedOn w:val="DefaultParagraphFont"/>
    <w:rsid w:val="0088224E"/>
    <w:rPr>
      <w:color w:val="0000FF"/>
      <w:u w:val="single"/>
    </w:rPr>
  </w:style>
  <w:style w:type="paragraph" w:styleId="Revision">
    <w:name w:val="Revision"/>
    <w:hidden/>
    <w:uiPriority w:val="99"/>
    <w:semiHidden/>
    <w:rsid w:val="004D6FE8"/>
    <w:rPr>
      <w:sz w:val="24"/>
      <w:lang w:val="el-GR"/>
    </w:rPr>
  </w:style>
  <w:style w:type="character" w:styleId="FollowedHyperlink">
    <w:name w:val="FollowedHyperlink"/>
    <w:basedOn w:val="DefaultParagraphFont"/>
    <w:rsid w:val="004E70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8266</Words>
  <Characters>49916</Characters>
  <Application>Microsoft Office Word</Application>
  <DocSecurity>0</DocSecurity>
  <Lines>1085</Lines>
  <Paragraphs>564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LETSA Alexandra</cp:lastModifiedBy>
  <cp:revision>2</cp:revision>
  <cp:lastPrinted>2004-11-19T15:42:00Z</cp:lastPrinted>
  <dcterms:created xsi:type="dcterms:W3CDTF">2025-11-10T14:27:00Z</dcterms:created>
  <dcterms:modified xsi:type="dcterms:W3CDTF">2025-11-10T14:27:00Z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A10-0155/2025</vt:lpwstr>
  </property>
  <property fmtid="{D5CDD505-2E9C-101B-9397-08002B2CF9AE}" pid="4" name="&lt;Type&gt;">
    <vt:lpwstr>RR</vt:lpwstr>
  </property>
</Properties>
</file>