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619B" w14:paraId="1A8D64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1CE27A" w14:textId="0EE0CCD8" w:rsidR="00751A4A" w:rsidRPr="0075619B" w:rsidRDefault="007729B9" w:rsidP="0010095E">
            <w:pPr>
              <w:pStyle w:val="EPName"/>
            </w:pPr>
            <w:r w:rsidRPr="0075619B">
              <w:t>Parlament Europejski</w:t>
            </w:r>
          </w:p>
          <w:p w14:paraId="5D292FB8" w14:textId="77777777" w:rsidR="00751A4A" w:rsidRPr="007561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619B">
              <w:t>2024</w:t>
            </w:r>
            <w:r w:rsidR="00817416" w:rsidRPr="0075619B">
              <w:t>-202</w:t>
            </w:r>
            <w:r w:rsidRPr="0075619B">
              <w:t>9</w:t>
            </w:r>
          </w:p>
        </w:tc>
        <w:tc>
          <w:tcPr>
            <w:tcW w:w="2268" w:type="dxa"/>
            <w:shd w:val="clear" w:color="auto" w:fill="auto"/>
          </w:tcPr>
          <w:p w14:paraId="1018980A" w14:textId="77777777" w:rsidR="00751A4A" w:rsidRPr="0075619B" w:rsidRDefault="00187494" w:rsidP="0010095E">
            <w:pPr>
              <w:pStyle w:val="EPLogo"/>
            </w:pPr>
            <w:r w:rsidRPr="0075619B">
              <w:rPr>
                <w:noProof/>
                <w:lang w:eastAsia="ja-JP"/>
              </w:rPr>
              <w:drawing>
                <wp:inline distT="0" distB="0" distL="0" distR="0" wp14:anchorId="64060E0C" wp14:editId="5755D0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A6EBE" w14:textId="77777777" w:rsidR="00D058B8" w:rsidRPr="0075619B" w:rsidRDefault="00D058B8" w:rsidP="004C5D52">
      <w:pPr>
        <w:pStyle w:val="LineTop"/>
      </w:pPr>
    </w:p>
    <w:p w14:paraId="6B8743EA" w14:textId="078B080D" w:rsidR="00680577" w:rsidRPr="0075619B" w:rsidRDefault="007729B9" w:rsidP="00680577">
      <w:pPr>
        <w:pStyle w:val="EPBodyTA1"/>
      </w:pPr>
      <w:r w:rsidRPr="0075619B">
        <w:t>TEKSTY PRZYJĘTE</w:t>
      </w:r>
    </w:p>
    <w:p w14:paraId="3F45607E" w14:textId="77777777" w:rsidR="00D058B8" w:rsidRPr="0075619B" w:rsidRDefault="00D058B8" w:rsidP="00D058B8">
      <w:pPr>
        <w:pStyle w:val="LineBottom"/>
      </w:pPr>
    </w:p>
    <w:p w14:paraId="15F36C6A" w14:textId="64CB6342" w:rsidR="007729B9" w:rsidRPr="0075619B" w:rsidRDefault="007729B9" w:rsidP="007729B9">
      <w:pPr>
        <w:pStyle w:val="ATHeading1"/>
      </w:pPr>
      <w:bookmarkStart w:id="0" w:name="TANumber"/>
      <w:r w:rsidRPr="0075619B">
        <w:t>P10_TA(2025)0</w:t>
      </w:r>
      <w:bookmarkEnd w:id="0"/>
      <w:r w:rsidR="00256293">
        <w:t>227</w:t>
      </w:r>
    </w:p>
    <w:p w14:paraId="6BBC9271" w14:textId="77777777" w:rsidR="007729B9" w:rsidRPr="0075619B" w:rsidRDefault="007729B9" w:rsidP="007729B9">
      <w:pPr>
        <w:pStyle w:val="ATHeading2"/>
      </w:pPr>
      <w:bookmarkStart w:id="1" w:name="title"/>
      <w:r w:rsidRPr="0075619B">
        <w:t>Znaczenie prostych przepisów podatkowych i fragmentacji w dziedzinie opodatkowania dla konkurencyjności Europy</w:t>
      </w:r>
      <w:bookmarkEnd w:id="1"/>
    </w:p>
    <w:p w14:paraId="72157E36" w14:textId="77777777" w:rsidR="007729B9" w:rsidRPr="0075619B" w:rsidRDefault="007729B9" w:rsidP="007729B9">
      <w:pPr>
        <w:rPr>
          <w:i/>
          <w:vanish/>
        </w:rPr>
      </w:pPr>
      <w:r w:rsidRPr="0075619B">
        <w:rPr>
          <w:i/>
        </w:rPr>
        <w:fldChar w:fldCharType="begin"/>
      </w:r>
      <w:r w:rsidRPr="0075619B">
        <w:rPr>
          <w:i/>
        </w:rPr>
        <w:instrText xml:space="preserve"> TC"(</w:instrText>
      </w:r>
      <w:bookmarkStart w:id="2" w:name="DocNumber"/>
      <w:r w:rsidRPr="0075619B">
        <w:rPr>
          <w:i/>
        </w:rPr>
        <w:instrText>A10-0155/2025</w:instrText>
      </w:r>
      <w:bookmarkEnd w:id="2"/>
      <w:r w:rsidRPr="0075619B">
        <w:rPr>
          <w:i/>
        </w:rPr>
        <w:instrText xml:space="preserve"> - Sprawozdawca: Michalis Hadjipantela)"\l3 \n&gt; \* MERGEFORMAT </w:instrText>
      </w:r>
      <w:r w:rsidRPr="0075619B">
        <w:rPr>
          <w:i/>
        </w:rPr>
        <w:fldChar w:fldCharType="end"/>
      </w:r>
    </w:p>
    <w:p w14:paraId="0214000A" w14:textId="77777777" w:rsidR="007729B9" w:rsidRPr="0075619B" w:rsidRDefault="007729B9" w:rsidP="007729B9">
      <w:pPr>
        <w:rPr>
          <w:vanish/>
        </w:rPr>
      </w:pPr>
      <w:bookmarkStart w:id="3" w:name="Commission"/>
      <w:r w:rsidRPr="0075619B">
        <w:rPr>
          <w:vanish/>
        </w:rPr>
        <w:t>Komisja Gospodarcza i Monetarna</w:t>
      </w:r>
      <w:bookmarkEnd w:id="3"/>
    </w:p>
    <w:p w14:paraId="67FE70DC" w14:textId="77777777" w:rsidR="007729B9" w:rsidRPr="0075619B" w:rsidRDefault="007729B9" w:rsidP="007729B9">
      <w:pPr>
        <w:rPr>
          <w:vanish/>
        </w:rPr>
      </w:pPr>
      <w:bookmarkStart w:id="4" w:name="PE"/>
      <w:r w:rsidRPr="0075619B">
        <w:rPr>
          <w:vanish/>
        </w:rPr>
        <w:t>PE770.261</w:t>
      </w:r>
      <w:bookmarkEnd w:id="4"/>
    </w:p>
    <w:p w14:paraId="7F163EFA" w14:textId="3C129B28" w:rsidR="007729B9" w:rsidRPr="0075619B" w:rsidRDefault="007729B9" w:rsidP="007729B9">
      <w:pPr>
        <w:pStyle w:val="ATHeading3"/>
      </w:pPr>
      <w:bookmarkStart w:id="5" w:name="Sujet"/>
      <w:r w:rsidRPr="0075619B">
        <w:t xml:space="preserve">Rezolucja Parlamentu Europejskiego z dnia </w:t>
      </w:r>
      <w:r w:rsidR="006604EF">
        <w:t>9 października</w:t>
      </w:r>
      <w:r w:rsidRPr="0075619B">
        <w:t xml:space="preserve"> 2025 r. w sprawie znaczenia prostych przepisów podatkowych i fragmentacji w dziedzinie opodatkowania dla konkurencyjności Europy</w:t>
      </w:r>
      <w:bookmarkEnd w:id="5"/>
      <w:r w:rsidRPr="0075619B">
        <w:t xml:space="preserve"> </w:t>
      </w:r>
      <w:bookmarkStart w:id="6" w:name="References"/>
      <w:r w:rsidRPr="0075619B">
        <w:t>(2024/2118(INI))</w:t>
      </w:r>
      <w:bookmarkEnd w:id="6"/>
    </w:p>
    <w:p w14:paraId="2BB1A018" w14:textId="77777777" w:rsidR="005625AF" w:rsidRPr="0075619B" w:rsidRDefault="005625AF" w:rsidP="005625AF">
      <w:pPr>
        <w:pStyle w:val="EPComma"/>
      </w:pPr>
      <w:r w:rsidRPr="0075619B">
        <w:rPr>
          <w:rStyle w:val="Italic"/>
        </w:rPr>
        <w:t>Parlament Europejski</w:t>
      </w:r>
      <w:r w:rsidRPr="0075619B">
        <w:t>,</w:t>
      </w:r>
    </w:p>
    <w:p w14:paraId="58578884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Traktat o funkcjonowaniu Unii Europejskiej, w szczególności art. 4 i art. 63–66 dotyczące zasad rynku wewnętrznego, swobodnego przepływu towarów, usług, kapitału i osób, a także art. 113, 114 i 115,</w:t>
      </w:r>
    </w:p>
    <w:p w14:paraId="311D1AF4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dyrektywę Rady 2003/49/WE z 3 czerwca 2003 r. w sprawie wspólnego systemu opodatkowania stosowanego do odsetek oraz należności licencyjnych między powiązanymi spółkami różnych państw członkowskich</w:t>
      </w:r>
      <w:r w:rsidRPr="0075619B">
        <w:rPr>
          <w:rStyle w:val="FootnoteReference"/>
        </w:rPr>
        <w:footnoteReference w:id="1"/>
      </w:r>
      <w:r w:rsidRPr="0075619B">
        <w:t xml:space="preserve"> (dyrektywa w sprawie odsetek i należności licencyjnych),</w:t>
      </w:r>
    </w:p>
    <w:p w14:paraId="449FC4CD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dyrektywę Rady 2011/96/UE z 30 listopada 2011 r. w sprawie wspólnego systemu opodatkowania mającego zastosowanie w przypadku spółek dominujących i spółek zależnych różnych państw członkowskich</w:t>
      </w:r>
      <w:r w:rsidRPr="0075619B">
        <w:rPr>
          <w:rStyle w:val="FootnoteReference"/>
        </w:rPr>
        <w:footnoteReference w:id="2"/>
      </w:r>
      <w:r w:rsidRPr="0075619B">
        <w:t xml:space="preserve"> (dyrektywa w sprawie spółek dominujących i spółek zależnych),</w:t>
      </w:r>
    </w:p>
    <w:p w14:paraId="404DD539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dyrektywę Rady (UE) 2022/2523 z 14 grudnia 2022 r. w sprawie zapewnienia globalnego minimalnego poziomu opodatkowania (15 %) międzynarodowych grup przedsiębiorstw oraz dużych grup krajowych w Unii</w:t>
      </w:r>
      <w:r w:rsidRPr="0075619B">
        <w:rPr>
          <w:rStyle w:val="FootnoteReference"/>
        </w:rPr>
        <w:footnoteReference w:id="3"/>
      </w:r>
      <w:r w:rsidRPr="0075619B">
        <w:t>, która to dyrektywa jest odpowiedzią UE na międzynarodową koordynację podatkową,</w:t>
      </w:r>
    </w:p>
    <w:p w14:paraId="04F9C301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aktualne wydarzenia dotyczące dwufilarowego rozwiązania UE, aby sprostać wyzwaniom podatkowym wynikającym z cyfryzacji gospodarki,</w:t>
      </w:r>
    </w:p>
    <w:p w14:paraId="7CBAA1ED" w14:textId="77777777" w:rsidR="005625AF" w:rsidRPr="0075619B" w:rsidRDefault="005625AF" w:rsidP="005625AF">
      <w:pPr>
        <w:pStyle w:val="NormalHanging12a"/>
      </w:pPr>
      <w:r w:rsidRPr="0075619B">
        <w:lastRenderedPageBreak/>
        <w:t>–</w:t>
      </w:r>
      <w:r w:rsidRPr="0075619B">
        <w:tab/>
        <w:t>uwzględniając sprawozdania końcowe z października 2015 r. opublikowane przez Organizację Współpracy Gospodarczej i Rozwoju (OECD) w sprawie projektu OECD/G-20 dotyczącego erozji bazy podatkowej i przenoszenia zysków (BEPS),</w:t>
      </w:r>
    </w:p>
    <w:p w14:paraId="1EE2F384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sprawozdania na temat planów dotyczących filarów 1 i 2 przyjęte 14 października 2020 r. na szczeblu otwartych ram OECD/G-20, a także wyniki analizy ekonomicznej i oceny skutków OECD z 12 października 2020 r. pt. „Tax Challenges Arising from Digitalisation – Economic Impact Assessment” [Wyzwania podatkowe wynikające z cyfryzacji – ocena skutków gospodarczych],</w:t>
      </w:r>
    </w:p>
    <w:p w14:paraId="03A4D085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oświadczenie w sprawie BEPS wydane 8 października 2021 r. na szczeblu otwartych ram OECD/G-20 w sprawie dwufilarowego rozwiązania, aby sprostać wyzwaniom podatkowym wynikającym z cyfryzacji gospodarki,</w:t>
      </w:r>
    </w:p>
    <w:p w14:paraId="64E02F51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modelowe zasady filaru 2 otwartych ram OECD/G-20 w sprawie BEPS z 20 grudnia 2021 r. dotyczące wdrażania na szczeblu krajowym globalnego minimalnego podatku w wysokości 15 %,</w:t>
      </w:r>
    </w:p>
    <w:p w14:paraId="07842EB1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ustawę prawa publicznego Stanów Zjednoczonych 117-169 z 16 sierpnia 2022 r., znaną jako ustawa o obniżeniu inflacji,</w:t>
      </w:r>
    </w:p>
    <w:p w14:paraId="74FFDDDE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deklarację przywódców państw grupy G-20 przyjętą w Rio de Janeiro 19 listopada 2024 r. oraz deklarację ministerialną grupy G-20 przyjętą 25 lipca 2024 r. w Rio de Janeiro w sprawie międzynarodowej współpracy podatkowej,</w:t>
      </w:r>
    </w:p>
    <w:p w14:paraId="16EF75E0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rezolucję Zgromadzenia Ogólnego Narodów Zjednoczonych nr 79/235 z 24 grudnia 2024 r. w sprawie propagowania integracyjnej i skutecznej współpracy międzynarodowej w dziedzinie opodatkowania na forum ONZ,</w:t>
      </w:r>
    </w:p>
    <w:p w14:paraId="7B89DF53" w14:textId="46E09246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komunikat Komisji z 15 lipca 2020 r. pt. „Plan działania na rzecz sprawiedliwego i prostego opodatkowania wspierającego odbudowę gospodarczą” (</w:t>
      </w:r>
      <w:r w:rsidRPr="006604EF">
        <w:t>COM(2020)0312</w:t>
      </w:r>
      <w:r w:rsidRPr="0075619B">
        <w:t>),</w:t>
      </w:r>
    </w:p>
    <w:p w14:paraId="734961E5" w14:textId="489B711E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komunikat Komisji z 18 maja 2021 r. pt. „Opodatkowanie działalności gospodarczej w XXI wieku” (</w:t>
      </w:r>
      <w:r w:rsidRPr="006604EF">
        <w:t>COM(2021)0251</w:t>
      </w:r>
      <w:r w:rsidRPr="0075619B">
        <w:t>),</w:t>
      </w:r>
    </w:p>
    <w:p w14:paraId="613D7A03" w14:textId="1988781B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22 grudnia 2021 r. dotyczący dyrektywy Rady w sprawie zapewnienia globalnego minimalnego poziomu opodatkowania grup wielonarodowych w Unii (</w:t>
      </w:r>
      <w:r w:rsidRPr="006604EF">
        <w:t>COM(2021)0823</w:t>
      </w:r>
      <w:r w:rsidRPr="0075619B">
        <w:t>), a także stanowisko Parlamentu z 19 maja 2022 r. w sprawie tego wniosku</w:t>
      </w:r>
      <w:r w:rsidRPr="0075619B">
        <w:rPr>
          <w:rStyle w:val="FootnoteReference"/>
        </w:rPr>
        <w:footnoteReference w:id="4"/>
      </w:r>
      <w:r w:rsidRPr="0075619B">
        <w:t>,</w:t>
      </w:r>
    </w:p>
    <w:p w14:paraId="0E7EAD9E" w14:textId="77777777" w:rsidR="005625AF" w:rsidRPr="0075619B" w:rsidRDefault="005625AF" w:rsidP="005625AF">
      <w:pPr>
        <w:pStyle w:val="NormalHanging12a"/>
      </w:pPr>
      <w:r w:rsidRPr="0075619B">
        <w:lastRenderedPageBreak/>
        <w:t>–</w:t>
      </w:r>
      <w:r w:rsidRPr="0075619B">
        <w:tab/>
        <w:t>uwzględniając badanie Komisji ze stycznia 2022 r. pt. „Koszty przestrzegania przepisów podatkowych przez MŚP – aktualizacja i uzupełnienie – sprawozdanie końcowe”</w:t>
      </w:r>
      <w:r w:rsidRPr="0075619B">
        <w:rPr>
          <w:rStyle w:val="FootnoteReference"/>
        </w:rPr>
        <w:footnoteReference w:id="5"/>
      </w:r>
      <w:r w:rsidRPr="0075619B">
        <w:t>,</w:t>
      </w:r>
    </w:p>
    <w:p w14:paraId="2CD748C9" w14:textId="455BAE1E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11 maja 2022 r. dotyczący dyrektywy Rady w sprawie ustanowienia przepisów dotyczących ulgi służącej przeciwdziałaniu zjawisku uprzywilejowania finansowania dłużnego w stosunku do kapitałowego oraz w sprawie ograniczenia możliwości odliczania odsetek do celów związanych z podatkiem dochodowym od osób prawnych (</w:t>
      </w:r>
      <w:r w:rsidRPr="006604EF">
        <w:t>COM(2022)0216</w:t>
      </w:r>
      <w:r w:rsidRPr="0075619B">
        <w:t>),</w:t>
      </w:r>
    </w:p>
    <w:p w14:paraId="5A101E4F" w14:textId="795101D4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8 grudnia 2022 r. w sprawie dyrektywy zmieniającej dyrektywę 2006/112/WE w odniesieniu do przepisów dotyczących VAT w epoce cyfrowej (</w:t>
      </w:r>
      <w:r w:rsidRPr="006604EF">
        <w:t>COM(2022)0701</w:t>
      </w:r>
      <w:r w:rsidRPr="0075619B">
        <w:t>),</w:t>
      </w:r>
    </w:p>
    <w:p w14:paraId="3767ADFE" w14:textId="6E2F819B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8 grudnia 2022 r. dotyczący rozporządzenia Rady zmieniającego rozporządzenie (UE) nr 904/2010 w odniesieniu do ustaleń dotyczących współpracy administracyjnej w dziedzinie VAT niezbędnych w epoce cyfrowej (</w:t>
      </w:r>
      <w:r w:rsidRPr="006604EF">
        <w:t>COM(2022)0703</w:t>
      </w:r>
      <w:r w:rsidRPr="0075619B">
        <w:t>),</w:t>
      </w:r>
    </w:p>
    <w:p w14:paraId="1F8AB554" w14:textId="277B2772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8 lipca 2024 r. dotyczący dyrektywy Rady zmieniającej dyrektywę 2006/112/WE w odniesieniu do elektronicznego świadectwa zwolnienia z podatku od wartości dodanej (</w:t>
      </w:r>
      <w:r w:rsidRPr="006604EF">
        <w:t>COM(2024)0278</w:t>
      </w:r>
      <w:r w:rsidRPr="0075619B">
        <w:t>),</w:t>
      </w:r>
    </w:p>
    <w:p w14:paraId="275B1901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porozumienie Rady z 5 listopada 2024 r. w sprawie pakietu dotyczącego VAT w epoce cyfrowej,</w:t>
      </w:r>
    </w:p>
    <w:p w14:paraId="6CDB0BC2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dyrektywę Rady (UE) 2025/50 z 10 grudnia 2024 r. w sprawie szybszego i bezpieczniejszego systemu ulg w nadmiernym podatku u źródła</w:t>
      </w:r>
      <w:r w:rsidRPr="0075619B">
        <w:rPr>
          <w:rStyle w:val="FootnoteReference"/>
        </w:rPr>
        <w:footnoteReference w:id="6"/>
      </w:r>
      <w:r w:rsidRPr="0075619B">
        <w:t xml:space="preserve"> (FASTER),</w:t>
      </w:r>
    </w:p>
    <w:p w14:paraId="2A5F0DDC" w14:textId="6957B385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12 września 2023 r. dotyczący dyrektywy Rady w sprawie działalności gospodarczej w Europie: ramy opodatkowania dochodu (BEFIT) (</w:t>
      </w:r>
      <w:r w:rsidRPr="006604EF">
        <w:t>COM(2023)0532</w:t>
      </w:r>
      <w:r w:rsidRPr="0075619B">
        <w:t>),</w:t>
      </w:r>
    </w:p>
    <w:p w14:paraId="1BA3787B" w14:textId="56745A4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12 września 2023 r. dotyczący dyrektywy Rady ustanawiającej system opodatkowania według siedziby głównej dla mikroprzedsiębiorstw oraz małych i średnich przedsiębiorstw i zmieniającej dyrektywę 2011/16/UE (</w:t>
      </w:r>
      <w:r w:rsidRPr="006604EF">
        <w:t>COM(2023)0528</w:t>
      </w:r>
      <w:r w:rsidRPr="0075619B">
        <w:t>),</w:t>
      </w:r>
    </w:p>
    <w:p w14:paraId="6951CC11" w14:textId="6058255F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wniosek Komisji z 12 września 2023 r. dotyczący dyrektywy Rady w sprawie cen transferowych (</w:t>
      </w:r>
      <w:r w:rsidRPr="006604EF">
        <w:t>COM(2023)0529</w:t>
      </w:r>
      <w:r w:rsidRPr="0075619B">
        <w:t>),</w:t>
      </w:r>
    </w:p>
    <w:p w14:paraId="020E89A9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konkluzje Rady Europejskiej z 17 i 18 kwietnia 2024 r. w sprawie nowego ładu na rzecz europejskiej konkurencyjności,</w:t>
      </w:r>
    </w:p>
    <w:p w14:paraId="02C3D7F0" w14:textId="77777777" w:rsidR="005625AF" w:rsidRPr="0075619B" w:rsidRDefault="005625AF" w:rsidP="005625AF">
      <w:pPr>
        <w:pStyle w:val="NormalHanging12a"/>
      </w:pPr>
      <w:r w:rsidRPr="0075619B">
        <w:lastRenderedPageBreak/>
        <w:t>–</w:t>
      </w:r>
      <w:r w:rsidRPr="0075619B">
        <w:tab/>
        <w:t>uwzględniając konkluzje Rady z 24 maja 2024 r. w sprawie jednolitego rynku z korzyścią dla wszystkich,</w:t>
      </w:r>
    </w:p>
    <w:p w14:paraId="2E3FC6DE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Deklarację budapeszteńską Rady Europejskiej w sprawie nowego ładu na rzecz europejskiej konkurencyjności, przyjętą 8 listopada 2024 r.,</w:t>
      </w:r>
    </w:p>
    <w:p w14:paraId="5FBCF15B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konkluzje Rady z 11 marca 2025 r. w sprawie programu uporządkowania i uproszczenia przepisów podatkowych, przyczyniającego się do konkurencyjności UE,</w:t>
      </w:r>
    </w:p>
    <w:p w14:paraId="6E8429E4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konkluzje Rady Europejskiej z 20 marca 2025 r. w sprawie konkurencyjności, ze szczególnym uwzględnieniem uproszczenia i zmniejszenia obciążeń regulacyjnych i administracyjnych,</w:t>
      </w:r>
    </w:p>
    <w:p w14:paraId="5F47F701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16 lutego 2022 r. w sprawie wdrożenia szóstej dyrektywy VAT: czego brakuje, aby zmniejszyć lukę w podatku VAT w Unii?</w:t>
      </w:r>
      <w:r w:rsidRPr="0075619B">
        <w:rPr>
          <w:rStyle w:val="FootnoteReference"/>
        </w:rPr>
        <w:footnoteReference w:id="7"/>
      </w:r>
      <w:r w:rsidRPr="0075619B">
        <w:t>,</w:t>
      </w:r>
    </w:p>
    <w:p w14:paraId="66DBBFD9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7 października 2021 r. w sprawie reformy polityki UE dotyczącej szkodliwych praktyk podatkowych (w tym reformy Grupy ds. Kodeksu Postępowania)</w:t>
      </w:r>
      <w:r w:rsidRPr="0075619B">
        <w:rPr>
          <w:rStyle w:val="FootnoteReference"/>
        </w:rPr>
        <w:footnoteReference w:id="8"/>
      </w:r>
      <w:r w:rsidRPr="0075619B">
        <w:t>,</w:t>
      </w:r>
    </w:p>
    <w:p w14:paraId="175BC38C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15 lutego 2022 r. w sprawie wpływu krajowych reform podatkowych na gospodarkę UE</w:t>
      </w:r>
      <w:r w:rsidRPr="0075619B">
        <w:rPr>
          <w:rStyle w:val="FootnoteReference"/>
        </w:rPr>
        <w:footnoteReference w:id="9"/>
      </w:r>
      <w:r w:rsidRPr="0075619B">
        <w:t>,</w:t>
      </w:r>
    </w:p>
    <w:p w14:paraId="366991ED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10 marca 2022 r. w sprawie europejskich ram podatku u źródła</w:t>
      </w:r>
      <w:r w:rsidRPr="0075619B">
        <w:rPr>
          <w:rStyle w:val="FootnoteReference"/>
        </w:rPr>
        <w:footnoteReference w:id="10"/>
      </w:r>
      <w:r w:rsidRPr="0075619B">
        <w:t>, wzywającą do opracowania znormalizowanych ram opodatkowania u źródła,</w:t>
      </w:r>
    </w:p>
    <w:p w14:paraId="0B0FF031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4 października 2022 r. w sprawie wpływu nowych technologii na opodatkowanie: technologie kryptograficzne i łańcuch bloków</w:t>
      </w:r>
      <w:r w:rsidRPr="0075619B">
        <w:rPr>
          <w:rStyle w:val="FootnoteReference"/>
        </w:rPr>
        <w:footnoteReference w:id="11"/>
      </w:r>
      <w:r w:rsidRPr="0075619B">
        <w:t>,</w:t>
      </w:r>
    </w:p>
    <w:p w14:paraId="7D7E3906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10 marca 2022 r. zawierającą zalecenia dla Komisji w sprawie sprawiedliwego i prostszego opodatkowania wspierającego strategię odbudowy gospodarczej (działania następcze PE w związku z lipcowym planem działania Komisji i jej 25 inicjatywami w dziedzinie VAT, opodatkowania przedsiębiorstw i opodatkowania osób fizycznych)</w:t>
      </w:r>
      <w:r w:rsidRPr="0075619B">
        <w:rPr>
          <w:rStyle w:val="FootnoteReference"/>
        </w:rPr>
        <w:footnoteReference w:id="12"/>
      </w:r>
      <w:r w:rsidRPr="0075619B">
        <w:t>,</w:t>
      </w:r>
    </w:p>
    <w:p w14:paraId="6E5EA858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4 maja 2022 r. w sprawie działań następczych w związku z konkluzjami Konferencji w sprawie przyszłości Europy</w:t>
      </w:r>
      <w:r w:rsidRPr="0075619B">
        <w:rPr>
          <w:rStyle w:val="FootnoteReference"/>
        </w:rPr>
        <w:footnoteReference w:id="13"/>
      </w:r>
      <w:r w:rsidRPr="0075619B">
        <w:t>,</w:t>
      </w:r>
    </w:p>
    <w:p w14:paraId="406D19E6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badanie Wspólnego Centrum Badawczego Komisji z 19 kwietnia 2022 r. pt. „Local taxes on economic activity in municipalities in EU Member States” [Lokalne podatki od działalności gospodarczej w gminach w państwach członkowskich UE],</w:t>
      </w:r>
    </w:p>
    <w:p w14:paraId="348775FB" w14:textId="77777777" w:rsidR="005625AF" w:rsidRPr="0075619B" w:rsidRDefault="005625AF" w:rsidP="005625AF">
      <w:pPr>
        <w:pStyle w:val="NormalHanging12a"/>
      </w:pPr>
      <w:r w:rsidRPr="0075619B">
        <w:lastRenderedPageBreak/>
        <w:t>–</w:t>
      </w:r>
      <w:r w:rsidRPr="0075619B">
        <w:tab/>
        <w:t>uwzględniając swoją rezolucję z 15 czerwca 2023 r. w sprawie wniosków wyciągniętych z Pandora Papers i innych ujawnionych nieprawidłowości</w:t>
      </w:r>
      <w:r w:rsidRPr="0075619B">
        <w:rPr>
          <w:rStyle w:val="FootnoteReference"/>
        </w:rPr>
        <w:footnoteReference w:id="14"/>
      </w:r>
      <w:r w:rsidRPr="0075619B">
        <w:t>, wzywającą również do poprawy sprawozdawczości i wymiany informacji,</w:t>
      </w:r>
    </w:p>
    <w:p w14:paraId="4BC5E777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swoją rezolucję z 12 grudnia 2023 r. w sprawie dalszej reformy przepisów dotyczących opodatkowania osób prawnych</w:t>
      </w:r>
      <w:r w:rsidRPr="0075619B">
        <w:rPr>
          <w:rStyle w:val="FootnoteReference"/>
        </w:rPr>
        <w:footnoteReference w:id="15"/>
      </w:r>
      <w:r w:rsidRPr="0075619B">
        <w:t>,</w:t>
      </w:r>
    </w:p>
    <w:p w14:paraId="024D8C70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sprawozdanie z 9 maja 2022 r. dotyczące końcowych wyników Konferencji w sprawie przyszłości Europy</w:t>
      </w:r>
      <w:r w:rsidRPr="0075619B">
        <w:rPr>
          <w:rStyle w:val="FootnoteReference"/>
        </w:rPr>
        <w:footnoteReference w:id="16"/>
      </w:r>
      <w:r w:rsidRPr="0075619B">
        <w:t>,</w:t>
      </w:r>
    </w:p>
    <w:p w14:paraId="74114DBF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raport Enrica Letty z kwietnia 2024 r. pt. „Znacznie więcej niż rynek”</w:t>
      </w:r>
      <w:r w:rsidRPr="0075619B">
        <w:rPr>
          <w:rStyle w:val="FootnoteReference"/>
        </w:rPr>
        <w:footnoteReference w:id="17"/>
      </w:r>
      <w:r w:rsidRPr="0075619B">
        <w:t>,</w:t>
      </w:r>
    </w:p>
    <w:p w14:paraId="56E086E8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raport Maria Draghiego z 9 września 2024 r. pt. „Przyszłość europejskiej konkurencyjności”</w:t>
      </w:r>
      <w:r w:rsidRPr="0075619B">
        <w:rPr>
          <w:rStyle w:val="FootnoteReference"/>
        </w:rPr>
        <w:footnoteReference w:id="18"/>
      </w:r>
      <w:r w:rsidRPr="0075619B">
        <w:t>,</w:t>
      </w:r>
    </w:p>
    <w:p w14:paraId="7EA4600C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art. 55 Regulaminu,</w:t>
      </w:r>
    </w:p>
    <w:p w14:paraId="0305B089" w14:textId="77777777" w:rsidR="005625AF" w:rsidRPr="0075619B" w:rsidRDefault="005625AF" w:rsidP="005625AF">
      <w:pPr>
        <w:pStyle w:val="NormalHanging12a"/>
      </w:pPr>
      <w:r w:rsidRPr="0075619B">
        <w:t>–</w:t>
      </w:r>
      <w:r w:rsidRPr="0075619B">
        <w:tab/>
        <w:t>uwzględniając sprawozdanie Komisji Gospodarczej i Monetarnej (A10-0155/2025),</w:t>
      </w:r>
    </w:p>
    <w:p w14:paraId="0C523B22" w14:textId="77777777" w:rsidR="005625AF" w:rsidRPr="0075619B" w:rsidRDefault="005625AF" w:rsidP="005625AF">
      <w:pPr>
        <w:pStyle w:val="NormalHanging12a"/>
      </w:pPr>
      <w:r w:rsidRPr="0075619B">
        <w:t>A.</w:t>
      </w:r>
      <w:r w:rsidRPr="0075619B">
        <w:tab/>
        <w:t>mając na uwadze, że skuteczna, sprawiedliwa i wydajna polityka podatkowa odgrywa kluczową rolę w promowaniu długoterminowego zrównoważonego wzrostu gospodarczego i społeczeństw sprzyjających włączeniu społecznemu;</w:t>
      </w:r>
    </w:p>
    <w:p w14:paraId="49B34625" w14:textId="77777777" w:rsidR="005625AF" w:rsidRPr="0075619B" w:rsidRDefault="005625AF" w:rsidP="005625AF">
      <w:pPr>
        <w:pStyle w:val="NormalHanging12a"/>
      </w:pPr>
      <w:r w:rsidRPr="0075619B">
        <w:t>B.</w:t>
      </w:r>
      <w:r w:rsidRPr="0075619B">
        <w:tab/>
        <w:t>mając na uwadze, że w 2023 r. państwa członkowskie UE zebrały podatki w wysokości 6 712 mld EUR (w tym obowiązkowe faktyczne składki na ubezpieczenia społeczne), czyli 4,7 % więcej niż w 2022 r.</w:t>
      </w:r>
      <w:r w:rsidRPr="0075619B">
        <w:rPr>
          <w:rStyle w:val="FootnoteReference"/>
        </w:rPr>
        <w:footnoteReference w:id="19"/>
      </w:r>
      <w:r w:rsidRPr="0075619B">
        <w:t>;</w:t>
      </w:r>
    </w:p>
    <w:p w14:paraId="7D96CC26" w14:textId="77777777" w:rsidR="005625AF" w:rsidRPr="0075619B" w:rsidRDefault="005625AF" w:rsidP="005625AF">
      <w:pPr>
        <w:pStyle w:val="NormalHanging12a"/>
      </w:pPr>
      <w:r w:rsidRPr="0075619B">
        <w:t>C.</w:t>
      </w:r>
      <w:r w:rsidRPr="0075619B">
        <w:tab/>
        <w:t>mając na uwadze, że w UE istnieje znaczna luka inwestycyjna; mając na uwadze, że jej usunięcie jest niezwykle istotne, by zapewnić zrównoważony wzrost gospodarczy, zwiększyć konkurencyjność i osiągnąć cele UE dotyczące zielonej i cyfrowej transformacji;</w:t>
      </w:r>
    </w:p>
    <w:p w14:paraId="1D22D31B" w14:textId="77777777" w:rsidR="005625AF" w:rsidRPr="0075619B" w:rsidRDefault="005625AF" w:rsidP="005625AF">
      <w:pPr>
        <w:pStyle w:val="NormalHanging12a"/>
      </w:pPr>
      <w:r w:rsidRPr="0075619B">
        <w:t>D.</w:t>
      </w:r>
      <w:r w:rsidRPr="0075619B">
        <w:tab/>
        <w:t>mając na uwadze, że w 2023 r. obciążenia podatkowe w UE (tj. ogólne dochody podatkowe wyrażone jako odsetek PKB) wyniosły 39,0 % PKB, co oznacza nieznaczny spadek w porównaniu z 2022 r.</w:t>
      </w:r>
      <w:r w:rsidRPr="0075619B">
        <w:rPr>
          <w:rStyle w:val="FootnoteReference"/>
        </w:rPr>
        <w:footnoteReference w:id="20"/>
      </w:r>
      <w:r w:rsidRPr="0075619B">
        <w:t>, lecz nadal stanowi znacząco wysoki wskaźnik;</w:t>
      </w:r>
    </w:p>
    <w:p w14:paraId="5C096BAE" w14:textId="77777777" w:rsidR="005625AF" w:rsidRPr="0075619B" w:rsidRDefault="005625AF" w:rsidP="005625AF">
      <w:pPr>
        <w:pStyle w:val="NormalHanging12a"/>
      </w:pPr>
      <w:r w:rsidRPr="0075619B">
        <w:lastRenderedPageBreak/>
        <w:t>E.</w:t>
      </w:r>
      <w:r w:rsidRPr="0075619B">
        <w:tab/>
        <w:t>mając na uwadze, że według szacunków globalne niepobrane dochody podatkowe wynoszą około 500 mld EUR, z czego około 100 mld EUR nie pobrano na obszarze UE; mając na uwadze, że na dodatkowe dochody wpływają przypadki nieprzestrzegania przepisów podatkowych i strategie agresywnego planowania podatkowego; mając na uwadze, że straty te pozbawiają państwa członkowskie niezbędnego finansowania publicznego;</w:t>
      </w:r>
    </w:p>
    <w:p w14:paraId="7074C6E1" w14:textId="77777777" w:rsidR="005625AF" w:rsidRPr="0075619B" w:rsidRDefault="005625AF" w:rsidP="005625AF">
      <w:pPr>
        <w:pStyle w:val="NormalHanging12a"/>
      </w:pPr>
      <w:r w:rsidRPr="0075619B">
        <w:t>F.</w:t>
      </w:r>
      <w:r w:rsidRPr="0075619B">
        <w:tab/>
        <w:t>mając na uwadze, że w 2023 r. relacja dochodów z podatku VAT do PKB wyniosła 7,1 % unijnego PKB i 18,3 % całkowitych dochodów sektora instytucji rządowych i samorządowych</w:t>
      </w:r>
      <w:r w:rsidRPr="0075619B">
        <w:rPr>
          <w:rStyle w:val="FootnoteReference"/>
        </w:rPr>
        <w:footnoteReference w:id="21"/>
      </w:r>
      <w:r w:rsidRPr="0075619B">
        <w:t>;</w:t>
      </w:r>
    </w:p>
    <w:p w14:paraId="4AFE8951" w14:textId="77777777" w:rsidR="005625AF" w:rsidRPr="0075619B" w:rsidRDefault="005625AF" w:rsidP="005625AF">
      <w:pPr>
        <w:pStyle w:val="NormalHanging12a"/>
      </w:pPr>
      <w:r w:rsidRPr="0075619B">
        <w:t>G.</w:t>
      </w:r>
      <w:r w:rsidRPr="0075619B">
        <w:tab/>
        <w:t>mając na uwadze, że według Komisji</w:t>
      </w:r>
      <w:r w:rsidRPr="0075619B">
        <w:rPr>
          <w:rStyle w:val="FootnoteReference"/>
        </w:rPr>
        <w:footnoteReference w:id="22"/>
      </w:r>
      <w:r w:rsidRPr="0075619B">
        <w:t xml:space="preserve"> luka w przestrzeganiu przepisów VAT wyniosła w samym tylko 2022 r. 89,3 mld EUR, co stanowiło około 7 % całkowitych oczekiwanych dochodów z VAT; mając na uwadze, że według szacunków jedna czwarta luki w podatku VAT wynika bezpośrednio z kryminalnych oszustw podatkowych związanych z VAT</w:t>
      </w:r>
      <w:r w:rsidRPr="0075619B">
        <w:rPr>
          <w:rStyle w:val="FootnoteReference"/>
        </w:rPr>
        <w:footnoteReference w:id="23"/>
      </w:r>
      <w:r w:rsidRPr="0075619B">
        <w:t>;</w:t>
      </w:r>
    </w:p>
    <w:p w14:paraId="21E6D1B4" w14:textId="77777777" w:rsidR="005625AF" w:rsidRPr="0075619B" w:rsidRDefault="005625AF" w:rsidP="005625AF">
      <w:pPr>
        <w:pStyle w:val="NormalHanging12a"/>
      </w:pPr>
      <w:r w:rsidRPr="0075619B">
        <w:t>H.</w:t>
      </w:r>
      <w:r w:rsidRPr="0075619B">
        <w:tab/>
        <w:t>mając na uwadze, że państwa członkowskie różnią się pod względem zależności od opodatkowania, podatków nakładanych w celu poboru tych dochodów oraz sposobu, w jaki zmieniły strukturę podatkową w ciągu ostatniej dekady</w:t>
      </w:r>
      <w:r w:rsidRPr="0075619B">
        <w:rPr>
          <w:rStyle w:val="FootnoteReference"/>
        </w:rPr>
        <w:footnoteReference w:id="24"/>
      </w:r>
      <w:r w:rsidRPr="0075619B">
        <w:t>;</w:t>
      </w:r>
    </w:p>
    <w:p w14:paraId="2F07A1BC" w14:textId="77777777" w:rsidR="005625AF" w:rsidRPr="0075619B" w:rsidRDefault="005625AF" w:rsidP="005625AF">
      <w:pPr>
        <w:pStyle w:val="NormalHanging12a"/>
      </w:pPr>
      <w:r w:rsidRPr="0075619B">
        <w:t>I.</w:t>
      </w:r>
      <w:r w:rsidRPr="0075619B">
        <w:tab/>
        <w:t>mając na uwadze, że koszty przestrzegania przepisów podatkowych generują dodatkowe obciążenia finansowe dla przedsiębiorstw oprócz samych zobowiązań podatkowych, co zabiera czas i wymaga zasobów, które można by przeznaczyć na inne możliwości inwestycyjne;</w:t>
      </w:r>
    </w:p>
    <w:p w14:paraId="52D47DBE" w14:textId="77777777" w:rsidR="005625AF" w:rsidRPr="0075619B" w:rsidRDefault="005625AF" w:rsidP="005625AF">
      <w:pPr>
        <w:pStyle w:val="NormalHanging12a"/>
      </w:pPr>
      <w:r w:rsidRPr="0075619B">
        <w:t>J.</w:t>
      </w:r>
      <w:r w:rsidRPr="0075619B">
        <w:tab/>
        <w:t xml:space="preserve">mając na uwadze, że według szacunków całkowite koszty przestrzegania przepisów podatkowych w 27 państwach członkowskich UE oraz w Zjednoczonym Królestwie szacuje się na 204 mld EUR, co stanowi 1,3 % ich łącznego PKB; mając na uwadze, że zdecydowaną większość tych kosztów ponoszą mikroprzedsiębiorstwa (87 %), a w </w:t>
      </w:r>
      <w:r w:rsidRPr="0075619B">
        <w:lastRenderedPageBreak/>
        <w:t>dalszej kolejności małe przedsiębiorstwa (10 %), co powoduje niewspółmierne obciążenia administracyjne dla mniejszych przedsiębiorstw</w:t>
      </w:r>
      <w:r w:rsidRPr="0075619B">
        <w:rPr>
          <w:rStyle w:val="FootnoteReference"/>
        </w:rPr>
        <w:footnoteReference w:id="25"/>
      </w:r>
      <w:r w:rsidRPr="0075619B">
        <w:t>;</w:t>
      </w:r>
    </w:p>
    <w:p w14:paraId="3CE8B0B3" w14:textId="77777777" w:rsidR="005625AF" w:rsidRPr="0075619B" w:rsidRDefault="005625AF" w:rsidP="005625AF">
      <w:pPr>
        <w:pStyle w:val="NormalHanging12a"/>
      </w:pPr>
      <w:r w:rsidRPr="0075619B">
        <w:t>K.</w:t>
      </w:r>
      <w:r w:rsidRPr="0075619B">
        <w:tab/>
        <w:t>mając na uwadze, że państwa członkowskie stoją przed poważnymi wyzwaniami, które mogą mieć wpływ na ich dochody podatkowe i strukturę podatków, takimi jak znaczące zmiany demograficzne, zmiana klimatu, cyfryzacja i automatyzacja;</w:t>
      </w:r>
    </w:p>
    <w:p w14:paraId="45CF923A" w14:textId="77777777" w:rsidR="005625AF" w:rsidRPr="0075619B" w:rsidRDefault="005625AF" w:rsidP="005625AF">
      <w:pPr>
        <w:pStyle w:val="NormalHanging12a"/>
      </w:pPr>
      <w:r w:rsidRPr="0075619B">
        <w:t>L.</w:t>
      </w:r>
      <w:r w:rsidRPr="0075619B">
        <w:tab/>
        <w:t>mając na uwadze, że zgodnie z Traktatami opodatkowanie wchodzi przede wszystkim w zakres kompetencji państw członkowskich;</w:t>
      </w:r>
    </w:p>
    <w:p w14:paraId="472994AF" w14:textId="77777777" w:rsidR="005625AF" w:rsidRPr="0075619B" w:rsidRDefault="005625AF" w:rsidP="005625AF">
      <w:pPr>
        <w:pStyle w:val="NormalHanging12a"/>
      </w:pPr>
      <w:r w:rsidRPr="0075619B">
        <w:t>M.</w:t>
      </w:r>
      <w:r w:rsidRPr="0075619B">
        <w:tab/>
        <w:t>mając na uwadze, że coraz większa mobilność kapitału, wraz z szerszymi tendencjami globalizacji i cyfryzacji w ostatnich dziesięcioleciach, przyczyniła się w niezamierzony sposób do stopniowego zmniejszania zdolności poszczególnych krajów do zapewnienia skutecznej polityki podatkowej;</w:t>
      </w:r>
    </w:p>
    <w:p w14:paraId="2139E0B5" w14:textId="77777777" w:rsidR="005625AF" w:rsidRPr="0075619B" w:rsidRDefault="005625AF" w:rsidP="005625AF">
      <w:pPr>
        <w:pStyle w:val="NormalHanging12a"/>
      </w:pPr>
      <w:r w:rsidRPr="0075619B">
        <w:t>N.</w:t>
      </w:r>
      <w:r w:rsidRPr="0075619B">
        <w:tab/>
        <w:t>mając na uwadze, że według badania Komisji z 2022 r. w 2019 r. przedsiębiorstwa w liczącej wówczas 28 państw członkowskich UE poniosły średnio roczne koszty przestrzegania przepisów podatkowych w wysokości 1,9 % ich obrotu; mając na uwadze, że według przedsiębiorstw podatek VAT i podatek dochodowy od osób prawnych wiążą się z największym obciążeniem regulacyjnym;</w:t>
      </w:r>
    </w:p>
    <w:p w14:paraId="446E3F25" w14:textId="77777777" w:rsidR="005625AF" w:rsidRPr="0075619B" w:rsidRDefault="005625AF" w:rsidP="005625AF">
      <w:pPr>
        <w:pStyle w:val="NormalHanging12a"/>
      </w:pPr>
      <w:r w:rsidRPr="0075619B">
        <w:t>O.</w:t>
      </w:r>
      <w:r w:rsidRPr="0075619B">
        <w:tab/>
        <w:t>mając na uwadze, że w kompleksowym raporcie Draghiego na temat sytuacji gospodarczej UE ostrzeżono przed malejącą wydajnością i konkurencyjnością Unii oraz stwierdzono, że bez zdecydowanych działań UE doświadczy „powolnego i bolesnego spadku”, a ponadto podkreślono konieczność koordynacji polityki, w tym na przykład eliminowania zbędnych barier i zmniejszania przeszkód biurokratycznych związanych z opodatkowaniem;</w:t>
      </w:r>
    </w:p>
    <w:p w14:paraId="54793B8B" w14:textId="77777777" w:rsidR="005625AF" w:rsidRPr="0075619B" w:rsidRDefault="005625AF" w:rsidP="005625AF">
      <w:pPr>
        <w:pStyle w:val="NormalHanging12a"/>
      </w:pPr>
      <w:r w:rsidRPr="0075619B">
        <w:t>P.</w:t>
      </w:r>
      <w:r w:rsidRPr="0075619B">
        <w:tab/>
        <w:t>mając na uwadze, że fragmentacja polityki podatkowej i jej nadmiernie skomplikowana struktura stwarzają różne przeszkody dla przedsiębiorstw i obywateli na jednolitym rynku, takie jak brak pewności prawa, biurokracja, ryzyko podwójnego opodatkowania i trudności w ubieganiu się o zwrot podatku; mając na uwadze, że takie przeszkody zniechęcają do transgranicznej działalności gospodarczej na jednolitym rynku i stwarzają ryzyko dla organów podatkowych, włącznie z podwójnym nieopodatkowaniem i możliwościami arbitrażu podatkowego; mając na uwadze, że w kompleksowym raporcie Draghiego podkreślono również potrzebę „wyeliminowania wszelkich przeszkód podatkowych dla inwestycji transgranicznych w UE”, aby zmniejszyć fragmentację rynku kapitałowego, oraz podkreślono, że „obywatele UE powinni móc inwestować w innych państwach członkowskich bez skomplikowanych procedur podatkowych, które faktycznie skutkują podwójnym opodatkowaniem”;</w:t>
      </w:r>
    </w:p>
    <w:p w14:paraId="49EE19D0" w14:textId="77777777" w:rsidR="005625AF" w:rsidRPr="0075619B" w:rsidRDefault="005625AF" w:rsidP="005625AF">
      <w:pPr>
        <w:pStyle w:val="NormalHanging12a"/>
      </w:pPr>
      <w:r w:rsidRPr="0075619B">
        <w:t>Q.</w:t>
      </w:r>
      <w:r w:rsidRPr="0075619B">
        <w:tab/>
        <w:t xml:space="preserve">mając na uwadze, że w raporcie Letty podkreślono, że fragmentacja w dziedzinie opodatkowania pozostaje poważną przeszkodą dla przedsiębiorstw unijnych, a zwłaszcza dla małych i średnich przedsiębiorstw (MŚP), oraz że lepsze dostosowanie dzięki współpracy nad ramami podatkowymi UE ma istotne znaczenie, by ułatwić </w:t>
      </w:r>
      <w:r w:rsidRPr="0075619B">
        <w:lastRenderedPageBreak/>
        <w:t>swobodny przepływ pracowników, towarów i usług oraz wspierać wzrost gospodarczy i inwestycje prywatne</w:t>
      </w:r>
      <w:r w:rsidRPr="0075619B">
        <w:rPr>
          <w:rStyle w:val="FootnoteReference"/>
        </w:rPr>
        <w:footnoteReference w:id="26"/>
      </w:r>
      <w:r w:rsidRPr="0075619B">
        <w:t>; mając na uwadze, że solidne i sprawiedliwe opodatkowanie jest kluczowym instrumentem generowania dochodów niezbędnych, by inwestować w usługi świadczone w interesie ogólnym i utrzymać je we wszystkich regionach UE;</w:t>
      </w:r>
    </w:p>
    <w:p w14:paraId="4E6123FE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Opodatkowanie i otoczenie biznesowe</w:t>
      </w:r>
    </w:p>
    <w:p w14:paraId="7FAEA288" w14:textId="77777777" w:rsidR="005625AF" w:rsidRPr="0075619B" w:rsidRDefault="005625AF" w:rsidP="005625AF">
      <w:pPr>
        <w:pStyle w:val="NormalHanging12a"/>
      </w:pPr>
      <w:r w:rsidRPr="0075619B">
        <w:t>1.</w:t>
      </w:r>
      <w:r w:rsidRPr="0075619B">
        <w:tab/>
        <w:t>podkreśla, że proste i przewidywalne przepisy podatkowe powinny ułatwiać podatnikom płacenie podatków, a rządom – zarządzanie dochodami i ich pobór; zwraca uwagę, że należy stworzyć UE, która sprzyja przestrzeganiu przepisów, wspiera przedsiębiorczość i dwojaką transformację i w której sektory produkcyjne mogą konkurować i prosperować, a pracownicy – otrzymywać godziwe wynagrodzenia; podkreśla, że zbyt skomplikowane przepisy podatkowe mogą zniechęcać do inwestycji, a ponadto zauważa, że struktura polityki podatkowej nie powinna zakłócać procesu decyzyjnego podmiotów gospodarczych;</w:t>
      </w:r>
    </w:p>
    <w:p w14:paraId="699E44BF" w14:textId="77777777" w:rsidR="005625AF" w:rsidRPr="0075619B" w:rsidRDefault="005625AF" w:rsidP="005625AF">
      <w:pPr>
        <w:pStyle w:val="NormalHanging12a"/>
      </w:pPr>
      <w:r w:rsidRPr="0075619B">
        <w:t>2.</w:t>
      </w:r>
      <w:r w:rsidRPr="0075619B">
        <w:tab/>
        <w:t>jest głęboko zaniepokojony zagrożeniem dla unijnej suwerenności podatkowej wyrażonym w oświadczeniach prezydenta Stanów Zjednoczonych z 2 kwietnia 2025 r. dotyczących VAT w państwach członkowskich UE i stanowiących część uzasadnienia decyzji o nałożeniu ceł na przywóz produktów z UE do USA; podkreśla, że wojny handlowe osłabiają przedsiębiorstwa, oraz wzywa Komisję i państwa członkowskie, by ograniczyły związane z nimi zawirowania handlowe i by konsultowały się z europejskimi zainteresowanymi stronami przy podejmowaniu decyzji w reakcji na takie cła;</w:t>
      </w:r>
    </w:p>
    <w:p w14:paraId="77C051A3" w14:textId="77777777" w:rsidR="005625AF" w:rsidRPr="0075619B" w:rsidRDefault="005625AF" w:rsidP="005625AF">
      <w:pPr>
        <w:pStyle w:val="NormalHanging12a"/>
      </w:pPr>
      <w:r w:rsidRPr="0075619B">
        <w:t>3.</w:t>
      </w:r>
      <w:r w:rsidRPr="0075619B">
        <w:tab/>
        <w:t>podkreśla za raportem Draghiego, że zróżnicowane przepisy podatkowe w całej UE są istotną przeszkodą w osiągnięciu prawdziwego jednolitego rynku; przyznaje, że unijne ramy podatkowe muszą być ściśle zgodne z zasadami pomocniczości i proporcjonalności, a także współpracy, aby zmniejszyć koszty przestrzegania przepisów ponoszone przez przedsiębiorstwa; podkreśla, że państwa członkowskie mają prawo dostosowywać krajowe systemy podatkowe do szczególnych potrzeb krajowych, ale zarazem muszą przestrzegać wspólnych norm i koordynować wysiłki w walce z oszustwami podatkowymi i uchylaniem się od opodatkowania oraz na rzecz zapewniania terminowej wymiany informacji i promowania równych warunków działania; uważa, że wyniki te można osiągnąć szczególnie dzięki dążeniu do równowagi między poszanowaniem kompetencji krajowych a zapewnieniem spójnej wykładni;</w:t>
      </w:r>
    </w:p>
    <w:p w14:paraId="2808DCE4" w14:textId="77777777" w:rsidR="005625AF" w:rsidRPr="0075619B" w:rsidRDefault="005625AF" w:rsidP="005625AF">
      <w:pPr>
        <w:pStyle w:val="NormalHanging12a"/>
      </w:pPr>
      <w:r w:rsidRPr="0075619B">
        <w:t>4.</w:t>
      </w:r>
      <w:r w:rsidRPr="0075619B">
        <w:tab/>
        <w:t>podkreśla, że oprócz wysiłków na rzecz harmonizacji znaczne postępy w upraszczaniu przepisów podatkowych i usuwaniu przeszkód administracyjnych na rynku wewnętrznym można osiągnąć dzięki wspólnym narzędziom wdrażania, na przykład ujednoliconym szablonom gromadzenia i przekazywania danych, wytycznym Komisji oraz dialogowi i wymianie najlepszych praktyk między państwami członkowskimi;</w:t>
      </w:r>
    </w:p>
    <w:p w14:paraId="770EE846" w14:textId="77777777" w:rsidR="005625AF" w:rsidRPr="0075619B" w:rsidRDefault="005625AF" w:rsidP="005625AF">
      <w:pPr>
        <w:pStyle w:val="NormalHanging12a"/>
      </w:pPr>
      <w:r w:rsidRPr="0075619B">
        <w:lastRenderedPageBreak/>
        <w:t>5.</w:t>
      </w:r>
      <w:r w:rsidRPr="0075619B">
        <w:tab/>
        <w:t>zauważa, że przedsiębiorstwa unijne, zwłaszcza MŚP, mają kluczowe znaczenie dla wzrostu gospodarczego i tworzenia miejsc pracy na całym kontynencie; przypomina, że MŚP stoją w obliczu poważnych wyzwań fiskalnych ze względu na złożone przepisy podatkowe i rozdrobnione systemy opodatkowania, które nakładają wysokie obciążenia administracyjne i generują wysokie koszty przestrzegania przepisów, np. w przypadku MŚP szacuje się je na ok. 30 % płaconych podatków w porównaniu z ok. 2 % w przypadku dużych przedsiębiorstw, co utrudnia wzrost i innowacyjność MŚP; wzywa Komisję, by w ścisłej współpracy z krajowymi organami podatkowymi oceniała wpływ obecnych i przyszłych wniosków na MŚP i by zbadała rozwiązania, które uproszczą procedury podatkowe i ograniczą koszty przestrzegania przepisów; ponadto wzywa Komisję do oceny, dlaczego proponowana dyrektywa ustanawiająca system opodatkowania MŚP według siedziby głównej nie zyskała poparcia w Radzie, i występuje o konkretne postępy i wykonalne rozwiązania w tym zakresie; wzywa do opracowania kompleksowego, przyjaznego dla użytkownika, bezpłatnego i regularnie aktualizowanego zestawu narzędzi dla MŚP i przedsiębiorstw typu start-up, obejmującego wytyczne, wzory i opcje automatycznego składania deklaracji podatkowych VAT, podatku dochodowego od osób prawnych, wynagrodzeń i innych obowiązków;</w:t>
      </w:r>
    </w:p>
    <w:p w14:paraId="11F1B048" w14:textId="77777777" w:rsidR="005625AF" w:rsidRPr="0075619B" w:rsidRDefault="005625AF" w:rsidP="005625AF">
      <w:pPr>
        <w:pStyle w:val="NormalHanging12a"/>
      </w:pPr>
      <w:r w:rsidRPr="0075619B">
        <w:t>6.</w:t>
      </w:r>
      <w:r w:rsidRPr="0075619B">
        <w:tab/>
        <w:t>odnotowuje raport Draghiego w sprawie sektorowych wniosków podatkowych, w szczególności zalecenia, jak obniżyć koszty zużycia energii elektrycznej, a zarazem nie osłabić konkurencyjności UE, nie zniechęcić do inwestycji i tworzenia miejsc pracy ani nie osłabić zaufania przedsiębiorstw; w związku z tym przyjmuje do wiadomości nieformalne rozważania ministrów finansów UE ze stycznia 2025 r. dotyczące wysokich cen energii i nadania tej kwestii priorytetowego znaczenia; odnotowuje trwające prace nad przeglądem dyrektywy w sprawie opodatkowania energii</w:t>
      </w:r>
      <w:r w:rsidRPr="0075619B">
        <w:rPr>
          <w:rStyle w:val="FootnoteReference"/>
        </w:rPr>
        <w:footnoteReference w:id="27"/>
      </w:r>
      <w:r w:rsidRPr="0075619B">
        <w:t xml:space="preserve"> i podkreśla znaczenie ambicji klimatycznych, obecnych realiów gospodarczych, wysokich cen energii i potrzeb w zakresie łączności;</w:t>
      </w:r>
    </w:p>
    <w:p w14:paraId="00046E89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Konkurencyjność i wzrost gospodarczy</w:t>
      </w:r>
    </w:p>
    <w:p w14:paraId="45112FF9" w14:textId="77777777" w:rsidR="005625AF" w:rsidRPr="0075619B" w:rsidRDefault="005625AF" w:rsidP="005625AF">
      <w:pPr>
        <w:pStyle w:val="NormalHanging12a"/>
      </w:pPr>
      <w:r w:rsidRPr="0075619B">
        <w:t>7.</w:t>
      </w:r>
      <w:r w:rsidRPr="0075619B">
        <w:tab/>
        <w:t>podkreśla, że konkurencyjność jest szerokim pojęciem odnoszącym się do poziomu wydajności, który jest w stanie napędzać zrównoważony wzrost, a w konsekwencji dochody i dobrobyt wszystkich obywateli; podkreśla, że konkurencyjna gospodarka to nie tylko gospodarka przyjazna dla działalności gospodarczej, lecz również gospodarka zapewniająca wysoki poziom zatrudnienia i dobrostan społeczny, zdolność do innowacji, odpowiednie możliwości edukacyjne i infrastrukturę oraz silne instytucje i normy praworządności; uznaje, że skuteczne i wydajne opodatkowanie – w tym środki służące ograniczeniu szkodliwej konkurencji podatkowej i równania w dół pod względem stawek podatkowych – ma decydujące znaczenie dla tworzenia zasobów publicznych niezbędnych do utrzymania inwestycji publicznych i prywatnych, które zwiększą konkurencyjność UE, spójność społeczną i gospodarczą oraz wzrost gospodarczy;</w:t>
      </w:r>
    </w:p>
    <w:p w14:paraId="3F6A31C2" w14:textId="77777777" w:rsidR="005625AF" w:rsidRPr="0075619B" w:rsidRDefault="005625AF" w:rsidP="005625AF">
      <w:pPr>
        <w:pStyle w:val="NormalHanging12a"/>
      </w:pPr>
      <w:r w:rsidRPr="0075619B">
        <w:t>8.</w:t>
      </w:r>
      <w:r w:rsidRPr="0075619B">
        <w:tab/>
        <w:t xml:space="preserve">z zadowoleniem przyjmuje konkluzje Rady Europejskiej w sprawie nowego ładu na rzecz europejskiej konkurencyjności; wyraża jednak ubolewanie, że odnosząc się do </w:t>
      </w:r>
      <w:r w:rsidRPr="0075619B">
        <w:lastRenderedPageBreak/>
        <w:t>poprawy konkurencyjności Europy, pominięto w nich dziedzinę opodatkowania; apeluje o lepszą współpracę podatkową w UE, ograniczenie fragmentacji i złożoności, a jednocześnie wspieranie ściślejszej współpracy i zaufania między państwami członkowskimi, ponieważ mają to istotne znaczenie dla zwiększenia konkurencyjności gospodarki europejskiej;</w:t>
      </w:r>
    </w:p>
    <w:p w14:paraId="6803C00F" w14:textId="77777777" w:rsidR="005625AF" w:rsidRPr="0075619B" w:rsidRDefault="005625AF" w:rsidP="005625AF">
      <w:pPr>
        <w:pStyle w:val="NormalHanging12a"/>
      </w:pPr>
      <w:r w:rsidRPr="0075619B">
        <w:t>9.</w:t>
      </w:r>
      <w:r w:rsidRPr="0075619B">
        <w:tab/>
        <w:t>wzywa Komisję i państwa członkowskie do uzgodnienia skoordynowanego podejścia, aby zwiększyć przejrzystość państwowych wydatków podatkowych, zagwarantować, że wydatki te przyczyniają się do osiągnięcia pożądanych celów politycznych zgodnie ze wspólnymi celami i priorytetami UE w sposób efektywny pod względem kosztów, nie powodują nieoczekiwanych ani negatywnych skutków zewnętrznych na rynku wewnętrznym ani nie stwarzają możliwości uchylania się od opodatkowania i agresywnego planowania podatkowego;</w:t>
      </w:r>
    </w:p>
    <w:p w14:paraId="72EBDE75" w14:textId="77777777" w:rsidR="005625AF" w:rsidRPr="0075619B" w:rsidRDefault="005625AF" w:rsidP="005625AF">
      <w:pPr>
        <w:pStyle w:val="NormalHanging12a"/>
      </w:pPr>
      <w:r w:rsidRPr="0075619B">
        <w:t>10.</w:t>
      </w:r>
      <w:r w:rsidRPr="0075619B">
        <w:tab/>
        <w:t>z zadowoleniem przyjmuje konkluzje Rady Europejskiej w sprawie uporządkowania i uproszczenia przepisów podatkowych; podkreśla, że przyszłe inicjatywy UE w dziedzinie opodatkowania powinny koncentrować się w pierwszej kolejności na uproszczeniu administracyjnym, usunięciu (w stosownych przypadkach) nakładających się przepisów podatkowych, zwiększeniu jasności i usprawnieniu stosowania przepisów podatkowych w odniesieniu do zidentyfikowanych rozbieżności lub nieefektywności, które mogą mieć wpływ na funkcjonowanie jednolitego rynku; podkreśla, że Komisja powinna ułatwiać ściślejszą współpracę między państwami członkowskimi i krajowymi organami administracji podatkowej i do niej zachęcać, aby umożliwić spójniejszą interpretację przepisów dotyczących podatków bezpośrednich i pośrednich;</w:t>
      </w:r>
    </w:p>
    <w:p w14:paraId="5DC214A1" w14:textId="77777777" w:rsidR="005625AF" w:rsidRPr="0075619B" w:rsidRDefault="005625AF" w:rsidP="005625AF">
      <w:pPr>
        <w:pStyle w:val="NormalHanging12a"/>
      </w:pPr>
      <w:r w:rsidRPr="0075619B">
        <w:t>11.</w:t>
      </w:r>
      <w:r w:rsidRPr="0075619B">
        <w:tab/>
        <w:t>przyjmuje do wiadomości badania przeprowadzone przez Wspólne Centrum Badawcze w 2022 r., z których wynika, że dochody do budżetów lokalnych z podatków od lokalnej działalności gospodarczej mogą zachęcać gminy do działań na szczeblu lokalnym i pobudzać lokalną działalność gospodarczą; w związku z tym wzywa Komisję do zintensyfikowania tych badań i wzajemnej wymiany doświadczeń z państwami członkowskimi, aby zachęcić gminy do dbania o ich przedsiębiorstwa, co pozwoli uwolnić niewykorzystany potencjał wzrostu gospodarczego w całej UE;</w:t>
      </w:r>
    </w:p>
    <w:p w14:paraId="799E5481" w14:textId="77777777" w:rsidR="005625AF" w:rsidRPr="0075619B" w:rsidRDefault="005625AF" w:rsidP="005625AF">
      <w:pPr>
        <w:pStyle w:val="NormalHanging12a"/>
      </w:pPr>
      <w:r w:rsidRPr="0075619B">
        <w:t>12.</w:t>
      </w:r>
      <w:r w:rsidRPr="0075619B">
        <w:tab/>
        <w:t>podkreśla, że dobrze przygotowane i uzasadnione zachęty podatkowe przynoszące korzyści gospodarcze i społeczno-gospodarcze mogą wspierać działalność gospodarczą, która przyczynia się do realizacji celów publicznych, w tym na obszarach peryferyjnych i obszarach znajdujących się z innych względów w niekorzystnej sytuacji geograficznej w UE; zauważa, że zachęty podatkowe nie tylko powinny być zgodne z Traktatami i ograniczeniami związanymi z przestrzenią fiskalną, ale nie powinny również prowadzić do fragmentacji rynku wewnętrznego; wzywa do opracowania zestawu narzędzi zapewniających dialog, przejrzystość i koordynację między państwami członkowskimi w dziedzinie zachęt podatkowych; z zadowoleniem przyjmuje zamiar wydania przez Komisję niewiążących wytycznych dotyczących zachęt podatkowych i apeluje o dalszą analizę skutków wdrożenia zasad filaru 2 OECD dla zachęt podatkowych oraz o wydanie zaleceń, aby zapewnić ich skuteczność w ramach filaru 2; podkreśla, jak ważne jest zapewnienie zgodności zachęt podatkowych z unijnymi ramami pomocy państwa; przypomina o zobowiązaniach UE dotyczących zmiany klimatu i o stałym poparciu Parlamentu dla tych celów oraz wzywa Komisję i państwa członkowskie do koordynowania wysiłków i rozważenia potencjalnych korzyści płynących z zachęt podatkowych dla zielonych inwestycji;</w:t>
      </w:r>
    </w:p>
    <w:p w14:paraId="4A1CC7E8" w14:textId="77777777" w:rsidR="005625AF" w:rsidRPr="0075619B" w:rsidRDefault="005625AF" w:rsidP="005625AF">
      <w:pPr>
        <w:pStyle w:val="NormalHanging12a"/>
      </w:pPr>
      <w:r w:rsidRPr="0075619B">
        <w:lastRenderedPageBreak/>
        <w:t>13.</w:t>
      </w:r>
      <w:r w:rsidRPr="0075619B">
        <w:tab/>
        <w:t>przypomina, że prace nad kilkoma inicjatywami ustawodawczymi w dziedzinie opodatkowania nie posuwają się naprzód; podkreśla w tym kontekście, że należy zapewnić przedsiębiorstwom unijnym pewność i przewidywalność prawa; przyjmuje do wiadomości wyjaśnienia Komisji dotyczące inicjatyw w dziedzinie opodatkowania, które mają zostać wycofane;</w:t>
      </w:r>
    </w:p>
    <w:p w14:paraId="4D2DF09D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Uproszczenie podatków i cyfryzacja</w:t>
      </w:r>
    </w:p>
    <w:p w14:paraId="76748EFF" w14:textId="77777777" w:rsidR="005625AF" w:rsidRPr="0075619B" w:rsidRDefault="005625AF" w:rsidP="005625AF">
      <w:pPr>
        <w:pStyle w:val="NormalHanging12a"/>
      </w:pPr>
      <w:r w:rsidRPr="0075619B">
        <w:t>14.</w:t>
      </w:r>
      <w:r w:rsidRPr="0075619B">
        <w:tab/>
        <w:t>przypomina o priorytecie Komisji dotyczącym uproszczenia działalności gospodarczej we wszystkich obszarach polityki, w tym w dziedzinie opodatkowania w zakresie jej kompetencji, aby zmniejszyć wymogi sprawozdawcze o co najmniej 25 % (a w przypadku MŚP o co najmniej 35 %); w związku z tym wzywa Komisję, by w ścisłym i stałym dialogu z państwami członkowskimi systematycznie oceniała skutki ex ante wszystkich nowych wniosków ustawodawczych dotyczących podatków oraz przeprowadziła sprawdzian konkurencyjności obecnych środków z myślą o ilościowym określeniu oczekiwanego zmniejszenia obciążeń administracyjnych i zapewnieniu zgodności nowych przepisów z unijnymi celami wzrostu gospodarczego oraz zielonej i cyfrowej transformacji;</w:t>
      </w:r>
    </w:p>
    <w:p w14:paraId="709ED647" w14:textId="77777777" w:rsidR="005625AF" w:rsidRPr="0075619B" w:rsidRDefault="005625AF" w:rsidP="005625AF">
      <w:pPr>
        <w:pStyle w:val="NormalHanging12a"/>
      </w:pPr>
      <w:r w:rsidRPr="0075619B">
        <w:t>15.</w:t>
      </w:r>
      <w:r w:rsidRPr="0075619B">
        <w:tab/>
        <w:t>wzywa Komisję, by zidentyfikowała i wyeliminowała wszystkie przypadki podwójnej sprawozdawczości oraz wprowadziła system skutecznej wymiany danych między administracjami podatkowymi, dzięki czemu podatnicy nie będą podlegać obowiązkom podwójnej sprawozdawczości; zwraca uwagę, że w tym kontekście można by osiągnąć proste korzyści, np. przez zmianę dyrektywy (UE) 2021/2101</w:t>
      </w:r>
      <w:r w:rsidRPr="0075619B">
        <w:rPr>
          <w:rStyle w:val="FootnoteReference"/>
        </w:rPr>
        <w:footnoteReference w:id="28"/>
      </w:r>
      <w:r w:rsidRPr="0075619B">
        <w:t xml:space="preserve"> w sprawie sprawozdawczości publicznej w podziale na kraje, aby zapewnić zgodność przepisów UE z normą sprawozdawczą nr 207 Globalnej Inicjatywy Sprawozdawczej dotyczącą podatków; wzywa Komisję do oceny zalet takiej zgodności;</w:t>
      </w:r>
    </w:p>
    <w:p w14:paraId="188F558F" w14:textId="77777777" w:rsidR="005625AF" w:rsidRPr="0075619B" w:rsidRDefault="005625AF" w:rsidP="005625AF">
      <w:pPr>
        <w:pStyle w:val="NormalHanging12a"/>
      </w:pPr>
      <w:r w:rsidRPr="0075619B">
        <w:t>16.</w:t>
      </w:r>
      <w:r w:rsidRPr="0075619B">
        <w:tab/>
        <w:t>wzywa Komisję i państwa członkowskie, by usprawniły obowiązki podatkowe przemysłu obronnego dzięki rozszerzeniu i uproszczeniu zwolnień z VAT w odniesieniu do zamówień publicznych w kontekście wspólnych inicjatyw UE w dziedzinie obronności;</w:t>
      </w:r>
    </w:p>
    <w:p w14:paraId="4DD21ADA" w14:textId="77777777" w:rsidR="005625AF" w:rsidRPr="0075619B" w:rsidRDefault="005625AF" w:rsidP="005625AF">
      <w:pPr>
        <w:pStyle w:val="NormalHanging12a"/>
      </w:pPr>
      <w:r w:rsidRPr="0075619B">
        <w:t>17.</w:t>
      </w:r>
      <w:r w:rsidRPr="0075619B">
        <w:tab/>
        <w:t>wzywa do ustanowienia unijnego centrum danych podatkowych, aby usprawnić automatyczną wymianę informacji podatkowych i zmniejszyć obciążenia administracyjne; zachęca Komisję i państwa członkowskie do wykorzystania istniejących narzędzi, np. systemu wymiany informacji o VAT (VIES) i systemu przemieszczania wyrobów akcyzowych (EMCS), oraz do zbadania, czy można by je również stosować np. w obszarze opodatkowania bezpośredniego; podkreśla, że takie centrum powinno umożliwiać wspólną analizę informacji istotnych z punktu widzenia procesu kontroli opodatkowania o wymiarze transgranicznym, zapobiegać powielaniu działań i służyć jako pojedynczy punkt dostępu dla organów podatkowych w całej UE;</w:t>
      </w:r>
    </w:p>
    <w:p w14:paraId="105CF71D" w14:textId="77777777" w:rsidR="005625AF" w:rsidRPr="0075619B" w:rsidRDefault="005625AF" w:rsidP="005625AF">
      <w:pPr>
        <w:pStyle w:val="NormalHanging12a"/>
      </w:pPr>
      <w:r w:rsidRPr="0075619B">
        <w:lastRenderedPageBreak/>
        <w:t>18.</w:t>
      </w:r>
      <w:r w:rsidRPr="0075619B">
        <w:tab/>
        <w:t>podkreśla, że fakturowanie elektroniczne może odegrać kluczową rolę w zwiększaniu przejrzystości, zmniejszaniu obciążeń administracyjnych oraz umożliwianiu praktycznego i efektywnego wykorzystania przekazywanych danych;</w:t>
      </w:r>
    </w:p>
    <w:p w14:paraId="5980C5D0" w14:textId="77777777" w:rsidR="005625AF" w:rsidRPr="0075619B" w:rsidRDefault="005625AF" w:rsidP="005625AF">
      <w:pPr>
        <w:pStyle w:val="NormalHanging12a"/>
      </w:pPr>
      <w:r w:rsidRPr="0075619B">
        <w:t>19.</w:t>
      </w:r>
      <w:r w:rsidRPr="0075619B">
        <w:tab/>
        <w:t>przypomina, że wobec braku solidnych systemów sprawozdawczości administracje podatkowe byłyby pozbawione podstawowych informacji niezbędnych do wykrywania i badania nadużyć podatkowych oraz zapobiegania im; podkreśla, że dostęp do aktualnych i kompleksowych danych podatkowych ma istotne znaczenie dla zapewnienia sprawiedliwości systemów podatkowych i ochrony dochodów publicznych;</w:t>
      </w:r>
    </w:p>
    <w:p w14:paraId="3C3191D5" w14:textId="77777777" w:rsidR="005625AF" w:rsidRPr="0075619B" w:rsidRDefault="005625AF" w:rsidP="005625AF">
      <w:pPr>
        <w:pStyle w:val="NormalHanging12a"/>
      </w:pPr>
      <w:r w:rsidRPr="0075619B">
        <w:t>20.</w:t>
      </w:r>
      <w:r w:rsidRPr="0075619B">
        <w:tab/>
        <w:t>uznaje, że aby uzasadnić koszty związane z przestrzeganiem obowiązków sprawozdawczych, konieczne są dobrze wyposażone i efektywne administracje podatkowe, dysponujące odpowiednio przeszkolonym personelem i nowoczesną infrastrukturą cyfrową; podkreśla, że należy inwestować w zdolności organów podatkowych, aby zapewnić pełne wykorzystanie istniejących obowiązków sprawozdawczych;</w:t>
      </w:r>
    </w:p>
    <w:p w14:paraId="54B466FA" w14:textId="77777777" w:rsidR="005625AF" w:rsidRPr="0075619B" w:rsidRDefault="005625AF" w:rsidP="005625AF">
      <w:pPr>
        <w:pStyle w:val="NormalHanging12a"/>
      </w:pPr>
      <w:r w:rsidRPr="0075619B">
        <w:t>21.</w:t>
      </w:r>
      <w:r w:rsidRPr="0075619B">
        <w:tab/>
        <w:t>przypomina, że proste, stabilne i przewidywalne przepisy podatkowe mają zasadnicze znaczenie dla konkurencyjnej gospodarki i przyczynią się do tworzenia miejsc pracy oraz wzrostu gospodarczego; wzywa Komisję do wydania zaleceń dotyczących uproszczonego i konkurencyjnego systemu podatkowego, aby w stosownych przypadkach zmniejszyć obciążenia administracyjne dla przedsiębiorstw i obywateli, na przykład dzięki usprawnieniu stosowania numeru identyfikacji podatkowej we wszystkich państwach członkowskich, jak również w obszarze zachęt podatkowych; stwierdza, że pewność podatkowa, uproszczenie procedur zwrotu i odliczeń to kluczowe rozwiązania służące zmniejszeniu obciążeń administracyjnych, zwłaszcza dla MŚP;</w:t>
      </w:r>
    </w:p>
    <w:p w14:paraId="27DF736B" w14:textId="77777777" w:rsidR="005625AF" w:rsidRPr="0075619B" w:rsidRDefault="005625AF" w:rsidP="005625AF">
      <w:pPr>
        <w:pStyle w:val="NormalHanging12a"/>
      </w:pPr>
      <w:r w:rsidRPr="0075619B">
        <w:t>22.</w:t>
      </w:r>
      <w:r w:rsidRPr="0075619B">
        <w:tab/>
        <w:t>zwraca uwagę na znaczenie uproszczenia przepisów podatkowych we wszystkich dziedzinach; podkreśla, że należy zwiększyć udział sektora detalicznego w rynkach kapitałowych dzięki uproszczeniu procedur składania deklaracji podatkowych dla rachunków oszczędnościowych i inwestycyjnych, zwłaszcza gdy rachunki te są powiązane z zachętami podatkowymi; odnotowuje ponadto projekty pilotażowe Komisji dotyczące współpracy przedsiębiorstw w zakresie przestrzegania przepisów, służące ograniczeniu kontroli i usprawnieniu rozstrzygania sporów w przypadku przedsiębiorstw spełniających wysokie standardy zgodności;</w:t>
      </w:r>
    </w:p>
    <w:p w14:paraId="425B873E" w14:textId="77777777" w:rsidR="005625AF" w:rsidRPr="0075619B" w:rsidRDefault="005625AF" w:rsidP="005625AF">
      <w:pPr>
        <w:pStyle w:val="NormalHanging12a"/>
      </w:pPr>
      <w:r w:rsidRPr="0075619B">
        <w:t>23.</w:t>
      </w:r>
      <w:r w:rsidRPr="0075619B">
        <w:tab/>
        <w:t>zwraca uwagę na potencjał cyfryzacji, zwłaszcza sztucznej inteligencji (AI), jako narzędzia służącego zmniejszeniu obciążeń administracyjnych i kosztów przestrzegania przepisów dla przedsiębiorstw, w szczególności MŚP, oraz wspieraniu wykrywania oszustw związanych z VAT, przy jednoczesnym utrzymaniu czynnika ludzkiego w kontrolach jakości i zapewnieniu zabezpieczeń przed ryzykiem dyskryminacji; zauważa, że cyfryzacja może również usprawnić administrację podatkową pod warunkiem zagwarantowania przejrzystości i odpowiedniego nadzoru nad zautomatyzowanym procesem podejmowania decyzji podatkowych; wzywa Komisję i państwa członkowskie do przyspieszenia cyfryzacji i uproszczenia administracji podatkowej, a jednocześnie do poprawy współpracy, koordynacji oraz wymiany najlepszych praktyk i wiedzy fachowej między organami krajowymi, przy czym Komisja powinna pełnić rolę pośrednika;</w:t>
      </w:r>
    </w:p>
    <w:p w14:paraId="4C603847" w14:textId="77777777" w:rsidR="005625AF" w:rsidRPr="0075619B" w:rsidRDefault="005625AF" w:rsidP="005625AF">
      <w:pPr>
        <w:pStyle w:val="NormalHanging12a"/>
      </w:pPr>
      <w:r w:rsidRPr="0075619B">
        <w:lastRenderedPageBreak/>
        <w:t>24.</w:t>
      </w:r>
      <w:r w:rsidRPr="0075619B">
        <w:tab/>
        <w:t>podkreśla, że państwa członkowskie powinny przeznaczyć odpowiednie zasoby kadrowe i finansowe na wdrożenie nowych przepisów podatkowych i modernizację administracji podatkowych, szczególnie za pomocą inwestycji w personel i szkolenia, jak również zintegrowanych i interoperacyjnych systemów IT oraz konsultacji z sektorem prywatnym; wzywa Komisję, by zwiększyła wsparcie za pośrednictwem programu Fiscalis i przeanalizowała specjalny unijny program finansowania w celu dalszego wspierania takich inwestycji;</w:t>
      </w:r>
    </w:p>
    <w:p w14:paraId="225BE512" w14:textId="77777777" w:rsidR="005625AF" w:rsidRPr="0075619B" w:rsidRDefault="005625AF" w:rsidP="005625AF">
      <w:pPr>
        <w:pStyle w:val="NormalHanging12a"/>
      </w:pPr>
      <w:r w:rsidRPr="0075619B">
        <w:t>25.</w:t>
      </w:r>
      <w:r w:rsidRPr="0075619B">
        <w:tab/>
        <w:t>apeluje do Komisji, by w granicach swoich kompetencji oraz w ścisłym i stałym dialogu z państwami członkowskimi oceniła i uprościła obecne ramy VAT, ograniczyła obciążenia administracyjne, w tym dla przedsiębiorstw i organizacji społecznych, zwiększyła konkurencyjność i zmniejszyła lukę między oczekiwanymi dochodami a kwotą faktycznie pobraną (luka w podatku VAT); ponawia apel o uproszczony i zmodernizowany system VAT z ograniczeniem zwolnień i stawek niestandardowych, aby wspierać uczciwą konkurencyjność, zmniejszyć koszty przestrzegania przepisów i poprawić ich dobrowolne przestrzeganie; odnotowuje pakiet dotyczący VAT w epoce cyfrowej (ViDA) i wzywa Komisję do wydania jasnych i spójnych wytycznych wspierających sprawne wdrożenie dyrektywy (UE) 2025/516</w:t>
      </w:r>
      <w:r w:rsidRPr="0075619B">
        <w:rPr>
          <w:rStyle w:val="FootnoteReference"/>
        </w:rPr>
        <w:footnoteReference w:id="29"/>
      </w:r>
      <w:r w:rsidRPr="0075619B">
        <w:t>, szczególnie w odniesieniu do unijnego wymogu sprawozdawczości cyfrowej; podkreśla, że w poszczególnych państwach członkowskich występują znaczne różnice w luce w przestrzeganiu przepisów VAT, i z zadowoleniem przyjmuje pakiet ViDA jako narzędzie służące zwiększeniu przejrzystości i ograniczeniu oszustw; apeluje o skoordynowane wdrażanie na szczeblu krajowym, aby zapewnić spójność oraz skuteczny i przyjazny dla użytkownika model punktu kompleksowej obsługi VAT, zwłaszcza dla MŚP; wzywa do dalszych reform, aby ułatwić małym przedsiębiorstwom elektroniczną rejestrację VAT oraz zwiększyć cyfryzację poboru VAT; wzywa Komisję do wykorzystania i rozszerzenia punktu kompleksowej obsługi VAT w transgranicznym handlu elektronicznym między przedsiębiorstwami a konsumentami, aby zmniejszyć obciążenia administracyjne i koszty przestrzegania przepisów;</w:t>
      </w:r>
    </w:p>
    <w:p w14:paraId="3A6F9EE2" w14:textId="77777777" w:rsidR="005625AF" w:rsidRPr="0075619B" w:rsidRDefault="005625AF" w:rsidP="005625AF">
      <w:pPr>
        <w:pStyle w:val="NormalHanging12a"/>
      </w:pPr>
      <w:r w:rsidRPr="0075619B">
        <w:t>26.</w:t>
      </w:r>
      <w:r w:rsidRPr="0075619B">
        <w:tab/>
        <w:t>odnotowuje wyraźną zmianę zachowań zakupowych w ostatnim dziesięcioleciu i dynamiczny rozwój handlu elektronicznego w czasie pandemii COVID-19, który trwa do dziś; uznaje, że zakupy internetowe powinny przyczyniać się do większej zgodności z przepisami VAT dzięki elektronicznej ścieżce audytu, jednak w sprawozdaniu Komisji dotyczącym luki w podatku VAT w 2024 r. podkreślono, że korelacja ta nie jest aż tak oczywista ze względu na zawiłości związane ze sprzedażą przez internet; wzywa Komisję do oceny, czy dorobek prawny UE w dziedzinie VAT jest odpowiedni do zamierzonych celów, biorąc pod uwagę rosnącą popularność handlu elektronicznego;</w:t>
      </w:r>
    </w:p>
    <w:p w14:paraId="672F188B" w14:textId="77777777" w:rsidR="005625AF" w:rsidRPr="0075619B" w:rsidRDefault="005625AF" w:rsidP="005625AF">
      <w:pPr>
        <w:pStyle w:val="NormalHanging12a"/>
      </w:pPr>
      <w:r w:rsidRPr="0075619B">
        <w:t>27.</w:t>
      </w:r>
      <w:r w:rsidRPr="0075619B">
        <w:tab/>
        <w:t>apeluje o poprawę dyrektywy Rady 2008/9/WE</w:t>
      </w:r>
      <w:r w:rsidRPr="0075619B">
        <w:rPr>
          <w:rStyle w:val="FootnoteReference"/>
        </w:rPr>
        <w:footnoteReference w:id="30"/>
      </w:r>
      <w:r w:rsidRPr="0075619B">
        <w:t xml:space="preserve">; podkreśla, jak ważne jest zbadanie możliwości włączenia transgranicznego zwrotu VAT do modelu punktu kompleksowej </w:t>
      </w:r>
      <w:r w:rsidRPr="0075619B">
        <w:lastRenderedPageBreak/>
        <w:t>obsługi, aby dodatkowo ułatwić przedsiębiorstwom prowadzącym handel transgraniczny przestrzeganie przepisów VAT, a jednocześnie zapewnić dostosowanie do istniejących obowiązków VAT we wszystkich państwach członkowskich;</w:t>
      </w:r>
    </w:p>
    <w:p w14:paraId="14CD8189" w14:textId="77777777" w:rsidR="005625AF" w:rsidRPr="0075619B" w:rsidRDefault="005625AF" w:rsidP="005625AF">
      <w:pPr>
        <w:pStyle w:val="NormalHanging12a"/>
      </w:pPr>
      <w:r w:rsidRPr="0075619B">
        <w:t>28.</w:t>
      </w:r>
      <w:r w:rsidRPr="0075619B">
        <w:tab/>
        <w:t>apeluje o spójne stosowanie kluczowych pojęć i uproszczenie definicji, aby zwiększyć skuteczność systemu VAT, na przykład włącznie ze stosowaniem wspólnych interpretacji pojęcia „towary zainstalowane i zmontowane” zgodnie z art. 36 dyrektywy VAT</w:t>
      </w:r>
      <w:r w:rsidRPr="0075619B">
        <w:rPr>
          <w:rStyle w:val="FootnoteReference"/>
        </w:rPr>
        <w:footnoteReference w:id="31"/>
      </w:r>
      <w:r w:rsidRPr="0075619B">
        <w:t xml:space="preserve"> oraz spójnym stosowaniem definicji stałego zakładu i stałej siedziby lub innego rodzaju siedziby;</w:t>
      </w:r>
    </w:p>
    <w:p w14:paraId="2AEF33F8" w14:textId="77777777" w:rsidR="005625AF" w:rsidRPr="0075619B" w:rsidRDefault="005625AF" w:rsidP="005625AF">
      <w:pPr>
        <w:pStyle w:val="NormalHanging12a"/>
      </w:pPr>
      <w:r w:rsidRPr="0075619B">
        <w:t>29.</w:t>
      </w:r>
      <w:r w:rsidRPr="0075619B">
        <w:tab/>
        <w:t>podkreśla, że należy stworzyć bardziej zrównoważony i sprawiedliwy system VAT, z uwzględnieniem dalszych rozważań na temat sposobów wykorzystania stawek VAT do osiągnięcia celów zrównoważonego rozwoju; proponuje, aby Komisja oceniła, czy można znieść opłaty VAT od towarów dostarczanych nieodpłatnie na cele społeczne i środowiskowe;</w:t>
      </w:r>
    </w:p>
    <w:p w14:paraId="35A98AB5" w14:textId="77777777" w:rsidR="005625AF" w:rsidRPr="0075619B" w:rsidRDefault="005625AF" w:rsidP="005625AF">
      <w:pPr>
        <w:pStyle w:val="NormalHanging12a"/>
      </w:pPr>
      <w:r w:rsidRPr="0075619B">
        <w:t>30.</w:t>
      </w:r>
      <w:r w:rsidRPr="0075619B">
        <w:tab/>
        <w:t>zauważa, że chociaż obniżone stawki VAT mają uzasadniony cel wspierania ogólnych celów społecznych i gospodarczych państw członkowskich, w tym wsparcia dla słabszych członków społeczeństwa i dzieci, ich szersze stosowanie zwiększa brak pewności prawa i złożoność systemu podatkowego; podkreśla, że obniżone stawki VAT mogą prowadzić do obniżenia cen dla konsumentów, ale że zależy to również od innych czynników; w związku z tym uważa, że okresowy przegląd i ocena, które stawki VAT są nadal niezbędne i skuteczne w osiąganiu zamierzonych celów politycznych państw członkowskich, będą przydatne w procesie upraszczania przepisów;</w:t>
      </w:r>
    </w:p>
    <w:p w14:paraId="443B24E2" w14:textId="77777777" w:rsidR="005625AF" w:rsidRPr="0075619B" w:rsidRDefault="005625AF" w:rsidP="005625AF">
      <w:pPr>
        <w:pStyle w:val="NormalHanging12a"/>
      </w:pPr>
      <w:r w:rsidRPr="0075619B">
        <w:t>31.</w:t>
      </w:r>
      <w:r w:rsidRPr="0075619B">
        <w:tab/>
        <w:t>przypomina stanowisko Parlamentu w sprawie proponowanego systemu opodatkowania MŚP według siedziby głównej oraz propozycji dotyczących dyrektywy „Unshell” i ulgi służącej przeciwdziałaniu zjawisku uprzywilejowania finansowania dłużnego w stosunku do kapitałowego (DEBRA);</w:t>
      </w:r>
    </w:p>
    <w:p w14:paraId="2C02D7DB" w14:textId="77777777" w:rsidR="005625AF" w:rsidRPr="0075619B" w:rsidRDefault="005625AF" w:rsidP="005625AF">
      <w:pPr>
        <w:pStyle w:val="NormalHanging12a"/>
      </w:pPr>
      <w:r w:rsidRPr="0075619B">
        <w:t>32.</w:t>
      </w:r>
      <w:r w:rsidRPr="0075619B">
        <w:tab/>
        <w:t>podkreśla, że złożoność i rozbieżności w interakcji między różnymi krajowymi systemami podatkowymi mogą stwarzać nierówne warunki działania i negatywnie wpływać na funkcjonowanie rynku wewnętrznego; podkreśla, że może to zniechęcać do inwestycji transgranicznych i być szczególnie niekorzystne dla MŚP i przedsiębiorstw działających wyłącznie na rynku krajowym, które nie dysponują zasobami niezbędnymi do opracowywania złożonych planów podatkowych i dlatego zmagają się z nieuczciwym otoczeniem konkurencyjnym, które nie sprzyja rozwojowi;</w:t>
      </w:r>
    </w:p>
    <w:p w14:paraId="041FB9AA" w14:textId="77777777" w:rsidR="005625AF" w:rsidRPr="0075619B" w:rsidRDefault="005625AF" w:rsidP="005625AF">
      <w:pPr>
        <w:pStyle w:val="NormalHanging12a"/>
      </w:pPr>
      <w:r w:rsidRPr="0075619B">
        <w:t>33.</w:t>
      </w:r>
      <w:r w:rsidRPr="0075619B">
        <w:tab/>
        <w:t xml:space="preserve">odnotowuje prace nad wnioskiem dotyczącym działalności gospodarczej w Europie: ram opodatkowania dochodu (BEFIT); przypomina, że proponując BEFIT, Komisja chce zmniejszyć złożoność przepisów podatkowych i koszty przestrzegania przepisów dla unijnych przedsiębiorstw prowadzących działalność transgraniczną; odnotowuje jego potencjał zmniejszenia fragmentacji i stworzenia równych warunków działania dla przedsiębiorstw na rynku wewnętrznym; podkreśla, że inicjatywy UE muszą zapewniać wartość dodaną zarówno w sensie prawnym, jak i gospodarczym, i apeluje o skuteczne i </w:t>
      </w:r>
      <w:r w:rsidRPr="0075619B">
        <w:lastRenderedPageBreak/>
        <w:t>zrównoważone podejście, które będzie korzystne dla wszystkich państw członkowskich, zgodne z zasadą pomocniczości i spójne z wdrażaniem zasad filaru 2 OECD;</w:t>
      </w:r>
    </w:p>
    <w:p w14:paraId="50225EB6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Filary 1 i 2 OECD oraz opodatkowanie międzynarodowe</w:t>
      </w:r>
    </w:p>
    <w:p w14:paraId="51984F8C" w14:textId="77777777" w:rsidR="005625AF" w:rsidRPr="0075619B" w:rsidRDefault="005625AF" w:rsidP="005625AF">
      <w:pPr>
        <w:pStyle w:val="NormalHanging12a"/>
      </w:pPr>
      <w:r w:rsidRPr="0075619B">
        <w:t>34.</w:t>
      </w:r>
      <w:r w:rsidRPr="0075619B">
        <w:tab/>
        <w:t>przypomina o silnym zaangażowaniu UE we wdrażanie podejścia dwufilarowego uzgodnionego na forum otwartych ram OECD/G-20, z uwzględnieniem obecnej sytuacji w odniesieniu do zasad filaru 2, w tym dekretu prezydenta USA z 20 stycznia 2025 r., stwierdzającego, że globalny ład podatkowy OECD nie ma mocy ani skutków w Stanach Zjednoczonych; apeluje do Komisji o priorytetowe potraktowanie prac, które utrzymują i chronią umowę, aby zapobiec przywróceniu szkodliwej konkurencji podatkowej kosztem dochodów publicznych i interesów UE; wzywa Komisję, by informowała Parlament o planach awaryjnych oraz podjęła natychmiastowe i ukierunkowane działania w celu zabezpieczenia integralności i skuteczności dyrektywy w sprawie filaru 2</w:t>
      </w:r>
      <w:r w:rsidRPr="0075619B">
        <w:rPr>
          <w:rStyle w:val="FootnoteReference"/>
        </w:rPr>
        <w:footnoteReference w:id="32"/>
      </w:r>
      <w:r w:rsidRPr="0075619B">
        <w:t xml:space="preserve"> oraz ochrony interesów UE i zapobiegania środkom odwetowym; odnotowuje możliwość uproszczeń administracyjnych we wdrażaniu dyrektywy w sprawie filaru 2;</w:t>
      </w:r>
    </w:p>
    <w:p w14:paraId="5B30891F" w14:textId="77777777" w:rsidR="005625AF" w:rsidRPr="0075619B" w:rsidRDefault="005625AF" w:rsidP="005625AF">
      <w:pPr>
        <w:pStyle w:val="NormalHanging12a"/>
      </w:pPr>
      <w:r w:rsidRPr="0075619B">
        <w:t>35.</w:t>
      </w:r>
      <w:r w:rsidRPr="0075619B">
        <w:tab/>
        <w:t>podkreśla, że filar 2 powinien zapewnić globalny minimalny poziom opodatkowania grup międzynarodowych i dużych grup krajowych w UE; z zadowoleniem przyjmuje jego transpozycję do prawa krajowego; apeluje o jasność prawa, z uwzględnieniem różnic między zasadami filaru 2 OECD a ich wdrażaniem przez państwa członkowskie, szczególnie w odniesieniu do działalności żeglugowej, aby uniknąć tworzenia sprzecznych systemów opodatkowania, które mogą prowadzić do nieporozumień; oczekuje, że proces negocjowania i publikowania wytycznych administracyjnych wkrótce się zakończy i zapewni niezbędną pewność przedsiębiorstwom objętym zakresem filaru 2; oczekuje dalszych zmian dotyczących istniejących bezpiecznych przystani, aby ułatwić przestrzeganie przepisów, np. stworzenia stałej bezpiecznej przystani;</w:t>
      </w:r>
    </w:p>
    <w:p w14:paraId="70094D3D" w14:textId="77777777" w:rsidR="005625AF" w:rsidRPr="0075619B" w:rsidRDefault="005625AF" w:rsidP="005625AF">
      <w:pPr>
        <w:pStyle w:val="NormalHanging12a"/>
      </w:pPr>
      <w:r w:rsidRPr="0075619B">
        <w:t>36.</w:t>
      </w:r>
      <w:r w:rsidRPr="0075619B">
        <w:tab/>
        <w:t>zwraca uwagę na znaczącą rolę Prokuratury Europejskiej (EPPO) i Europejskiego Urzędu ds. Zwalczania Nadużyć Finansowych (OLAF) w wykrywaniu i ściganiu oszustw podatkowych i uchylania się od opodatkowania oraz podkreśla potrzebę skutecznej współpracy między tymi organami i z krajowymi organami podatkowymi;</w:t>
      </w:r>
    </w:p>
    <w:p w14:paraId="2FE51B57" w14:textId="77777777" w:rsidR="005625AF" w:rsidRPr="0075619B" w:rsidRDefault="005625AF" w:rsidP="005625AF">
      <w:pPr>
        <w:pStyle w:val="NormalHanging12a"/>
      </w:pPr>
      <w:r w:rsidRPr="0075619B">
        <w:t>37.</w:t>
      </w:r>
      <w:r w:rsidRPr="0075619B">
        <w:tab/>
        <w:t>wyraża uznanie dla publikacji w październiku 2023 r. wielostronnej konwencji OECD, w której określono zasady techniczne dotyczące wdrożenia kwoty A w filarze 1, oraz dla toczących się negocjacji; wzywa Komisję do oceny potencjalnych skutków podatku od usług cyfrowych;</w:t>
      </w:r>
    </w:p>
    <w:p w14:paraId="0356ADF4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Bariery podatkowe na jednolitym rynku</w:t>
      </w:r>
    </w:p>
    <w:p w14:paraId="2F5C18D9" w14:textId="77777777" w:rsidR="005625AF" w:rsidRPr="0075619B" w:rsidRDefault="005625AF" w:rsidP="005625AF">
      <w:pPr>
        <w:pStyle w:val="NormalHanging12a"/>
      </w:pPr>
      <w:r w:rsidRPr="0075619B">
        <w:t>38.</w:t>
      </w:r>
      <w:r w:rsidRPr="0075619B">
        <w:tab/>
        <w:t xml:space="preserve">odnotowuje raport Letty i odniesienie do dobrowolnego 28. systemu prawnego, który ma przyciągać i zatrzymywać innowacyjne przedsiębiorstwa typu start-up w UE; zauważa, że rozdrobnione środowisko podatkowe w UE powoduje złożoność, niepewność i wysokie koszty przestrzegania przepisów dla przedsiębiorstw unijnych, a </w:t>
      </w:r>
      <w:r w:rsidRPr="0075619B">
        <w:lastRenderedPageBreak/>
        <w:t>zwłaszcza MŚP, i wzywa Komisję do analizy i oceny korzyści i wad opcji 28. systemu prawnego; podkreśla, że należy zająć się przeszkodami podatkowymi dla inwestycji transgranicznych, aby zmniejszyć nadmierne uzależnienie od zadłużenia i zwiększyć kapitał własny w finansowaniu przedsiębiorstw; przypomina w związku z tym raport Draghiego, w którym podkreślono, że obywatele UE powinni mieć możliwość inwestowania w innych państwach członkowskich bez skomplikowanych procedur podatkowych skutkujących w rzeczywistości podwójnym opodatkowaniem; podkreśla, że przestrzeganie tych zasad ma istotne znaczenie, aby UE stała się konkurencyjnym i opartym na innowacjach ośrodkiem inwestycji; podkreśla, że należy przeanalizować sposoby uproszczenia i standaryzacji zasad ustalania cen transferowych w całej UE, włącznie ze staranną i wyważoną oceną istniejących progów i kryteriów istotności, a jednocześnie uwzględnić specyfikę państw członkowskich, aby zmniejszyć koszty przestrzegania przepisów w odniesieniu do transakcji, bez uszczerbku dla standardów przejrzystości i bez ułatwiania agresywnego planowania podatkowego i uchylania się od opodatkowania;</w:t>
      </w:r>
    </w:p>
    <w:p w14:paraId="7B3200F0" w14:textId="77777777" w:rsidR="005625AF" w:rsidRPr="0075619B" w:rsidRDefault="005625AF" w:rsidP="005625AF">
      <w:pPr>
        <w:pStyle w:val="NormalHanging12a"/>
      </w:pPr>
      <w:r w:rsidRPr="0075619B">
        <w:t>39.</w:t>
      </w:r>
      <w:r w:rsidRPr="0075619B">
        <w:tab/>
        <w:t>wyraża ubolewanie, że w opracowanym przez Komisję Kompasie konkurencyjności dla UE brakuje konkretnych wytycznych dotyczących usuwania barier podatkowych utrudniających inwestycje transgraniczne; apeluje do Komisji o ukierunkowane badania oceniające skutki gospodarcze i skutki dla konkurencyjności wynikające z fragmentacji, z naciskiem na określenie sektorów najbardziej dotkniętych tym zjawiskiem i propozycje konkretnych środków, aby uprościć systemy podatkowe i wzmocnić wzajemne zaufanie między państwami członkowskimi, a zwłaszcza aby wesprzeć MŚP;</w:t>
      </w:r>
    </w:p>
    <w:p w14:paraId="485AFBA9" w14:textId="77777777" w:rsidR="005625AF" w:rsidRPr="0075619B" w:rsidRDefault="005625AF" w:rsidP="005625AF">
      <w:pPr>
        <w:pStyle w:val="NormalHanging12a"/>
      </w:pPr>
      <w:r w:rsidRPr="0075619B">
        <w:t>40.</w:t>
      </w:r>
      <w:r w:rsidRPr="0075619B">
        <w:tab/>
        <w:t>z zadowoleniem przyjmuje niedawne wejście w życie dyrektywy FASTER</w:t>
      </w:r>
      <w:r w:rsidRPr="0075619B">
        <w:rPr>
          <w:rStyle w:val="FootnoteReference"/>
        </w:rPr>
        <w:footnoteReference w:id="33"/>
      </w:r>
      <w:r w:rsidRPr="0075619B">
        <w:t xml:space="preserve"> w sprawie podatku u źródła jako ważny pierwszy krok w kierunku modernizacji i usprawnienia transgranicznych procedur podatkowych w UE; odnotowuje zalecenia raportu Draghiego i przypomina o zaleceniach Parlamentu zawartych w rezolucji w sprawie ram podatku u źródła</w:t>
      </w:r>
      <w:r w:rsidRPr="0075619B">
        <w:rPr>
          <w:rStyle w:val="FootnoteReference"/>
        </w:rPr>
        <w:footnoteReference w:id="34"/>
      </w:r>
      <w:r w:rsidRPr="0075619B">
        <w:t>, których ustanowienie jest istotne, aby zmniejszyć złożoność, zwiększyć pewność prawa dla inwestorów i powstrzymać praktykę nabywania korzyści umownych; ponadto zauważa, że reforma polityki podatkowej mogłaby również ułatwić dalszą integrację rynków kapitałowych UE w kontekście unii oszczędności i inwestycji;</w:t>
      </w:r>
    </w:p>
    <w:p w14:paraId="657561A0" w14:textId="77777777" w:rsidR="005625AF" w:rsidRPr="0075619B" w:rsidRDefault="005625AF" w:rsidP="005625AF">
      <w:pPr>
        <w:pStyle w:val="NormalHanging12a"/>
      </w:pPr>
      <w:r w:rsidRPr="0075619B">
        <w:t>41.</w:t>
      </w:r>
      <w:r w:rsidRPr="0075619B">
        <w:tab/>
        <w:t>wzywa Komisję, by przeanalizowała istniejące przeszkody podatkowe utrudniające integrację jednolitego rynku oraz opracowała plan działania w celu ich usunięcia;</w:t>
      </w:r>
    </w:p>
    <w:p w14:paraId="632F3228" w14:textId="77777777" w:rsidR="005625AF" w:rsidRPr="0075619B" w:rsidRDefault="005625AF" w:rsidP="005625AF">
      <w:pPr>
        <w:pStyle w:val="NormalHanging12a"/>
      </w:pPr>
      <w:r w:rsidRPr="0075619B">
        <w:t>42.</w:t>
      </w:r>
      <w:r w:rsidRPr="0075619B">
        <w:tab/>
        <w:t>apeluje o zasady przewodnie dotyczące praw podatników, aby umożliwić wskazywanie utrzymujących się barier podatkowych na jednolitym rynku i zalecanie najlepszych praktyk stosowanych w całej UE i poprawić doświadczenia podatników, a jednocześnie dopilnować, aby takie zasady przewodnie nie ograniczały zdolności państw członkowskich do wprowadzania środków zwalczania nadużyć w celu zapewnienia właściwego egzekwowania krajowych przepisów podatkowych; odnotowuje niechęć Komisji, by przedstawić planowany komunikat w sprawie praw obywateli jako podatników, zapowiedziany w jej planie działania na 2021 r.;</w:t>
      </w:r>
    </w:p>
    <w:p w14:paraId="24A40C1D" w14:textId="77777777" w:rsidR="005625AF" w:rsidRPr="0075619B" w:rsidRDefault="005625AF" w:rsidP="005625AF">
      <w:pPr>
        <w:pStyle w:val="NormalHanging12a"/>
      </w:pPr>
      <w:r w:rsidRPr="0075619B">
        <w:lastRenderedPageBreak/>
        <w:t>43.</w:t>
      </w:r>
      <w:r w:rsidRPr="0075619B">
        <w:tab/>
        <w:t>z zadowoleniem przyjmuje komunikat Komisji w sprawie unii oszczędności i inwestycji, a zwłaszcza gotowość do usunięcia różnic w krajowych procedurach podatkowych, które powodują obciążenia administracyjne i bariery dla inwestycji transgranicznych, a także do wspierania odnośnych działań państw członkowskich;</w:t>
      </w:r>
    </w:p>
    <w:p w14:paraId="4471775F" w14:textId="77777777" w:rsidR="005625AF" w:rsidRPr="0075619B" w:rsidRDefault="005625AF" w:rsidP="005625AF">
      <w:pPr>
        <w:pStyle w:val="NormalHanging12a"/>
      </w:pPr>
      <w:r w:rsidRPr="0075619B">
        <w:t>44.</w:t>
      </w:r>
      <w:r w:rsidRPr="0075619B">
        <w:tab/>
        <w:t>zauważa, że różnice w traktowaniu pod względem podatkowym dochodów kapitałowych mogą powodować złożoność i niepewność prawa dla inwestorów transgranicznych; podkreśla, że w kompleksowym raporcie Draghiego uznano potrzebę „wyeliminowania przeszkód podatkowych dla inwestycji transgranicznych w UE”, aby zmniejszyć fragmentację rynku kapitałowego; podkreśla znaczenie bardziej zrównoważonej struktury podatkowej dla odporności gospodarczej i zwraca się do Komisji i państw członkowskich o ocenę zalet dalszej koordynacji i uproszczenia w tej dziedzinie, aby wspierać inwestycje transgraniczne;</w:t>
      </w:r>
    </w:p>
    <w:p w14:paraId="4FFD5240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Walka z uchylaniem się od opodatkowania, unikaniem opodatkowania i agresywnym planowaniem podatkowym</w:t>
      </w:r>
    </w:p>
    <w:p w14:paraId="444939D1" w14:textId="77777777" w:rsidR="005625AF" w:rsidRPr="0075619B" w:rsidRDefault="005625AF" w:rsidP="005625AF">
      <w:pPr>
        <w:pStyle w:val="NormalHanging12a"/>
      </w:pPr>
      <w:r w:rsidRPr="0075619B">
        <w:t>45.</w:t>
      </w:r>
      <w:r w:rsidRPr="0075619B">
        <w:tab/>
        <w:t>przypomina, że podczas wdrażania zasad filaru 2 należy monitorować ewentualne nowe formy szkodliwej konkurencji podatkowej;</w:t>
      </w:r>
    </w:p>
    <w:p w14:paraId="483BD53A" w14:textId="77777777" w:rsidR="005625AF" w:rsidRPr="0075619B" w:rsidRDefault="005625AF" w:rsidP="005625AF">
      <w:pPr>
        <w:pStyle w:val="NormalHanging12a"/>
      </w:pPr>
      <w:r w:rsidRPr="0075619B">
        <w:t>46.</w:t>
      </w:r>
      <w:r w:rsidRPr="0075619B">
        <w:tab/>
        <w:t>z myślą o sprawiedliwej gospodarce europejskiej zobowiązuje się do walki z agresywnym planowaniem podatkowym, którego dopuszczają się zarówno przedsiębiorstwa, jak i osoby fizyczne, biorąc pod uwagę szczególną sytuację i interesy MŚP oraz gospodarstw domowych o niskich i średnich dochodach; dostrzega istotne skutki agresywnego planowania podatkowego dla dochodów, zaburzające równe warunki działania dla podmiotów gospodarczych, grożące osłabieniem morale podatników i powodujące erozję podstaw opodatkowania państw członkowskich; wzywa Komisję i państwa członkowskie do poprawy współpracy między państwami członkowskimi w dziedzinie przeciwdziałania agresywnemu planowaniu podatkowemu, w szczególności dzięki większej wymianie informacji, skoordynowanym kontrolom i lepszemu egzekwowaniu przepisów; przypomina swoje rezolucje w sprawie wdrożenia wymogów UE dotyczących wymiany informacji podatkowych</w:t>
      </w:r>
      <w:r w:rsidRPr="0075619B">
        <w:rPr>
          <w:rStyle w:val="FootnoteReference"/>
        </w:rPr>
        <w:footnoteReference w:id="35"/>
      </w:r>
      <w:r w:rsidRPr="0075619B">
        <w:t>, reformy unijnego wykazu rajów podatkowych</w:t>
      </w:r>
      <w:r w:rsidRPr="0075619B">
        <w:rPr>
          <w:rStyle w:val="FootnoteReference"/>
        </w:rPr>
        <w:footnoteReference w:id="36"/>
      </w:r>
      <w:r w:rsidRPr="0075619B">
        <w:t xml:space="preserve"> oraz reformy polityki UE dotyczącej szkodliwych praktyk podatkowych; podkreśla, że zwiększenie złożoności systemów podatkowych może prowadzić do powstawania wypaczonych i nieprzejrzystych bodźców sprzyjających agresywnemu planowaniu podatkowemu i uchylaniu się od opodatkowania; wzywa państwa członkowskie i Komisję do stosowania opartego na analizie ryzyka i odpowiedniego podejścia do walki z oszustwami podatkowymi i agresywnym planowaniem podatkowym;</w:t>
      </w:r>
    </w:p>
    <w:p w14:paraId="3A6FE4CB" w14:textId="77777777" w:rsidR="005625AF" w:rsidRPr="0075619B" w:rsidRDefault="005625AF" w:rsidP="005625AF">
      <w:pPr>
        <w:pStyle w:val="NormalHanging12a"/>
      </w:pPr>
      <w:r w:rsidRPr="0075619B">
        <w:t>47.</w:t>
      </w:r>
      <w:r w:rsidRPr="0075619B">
        <w:tab/>
        <w:t>podkreśla znaczenie istniejących mechanizmów określonych w dyrektywie w sprawie współpracy administracyjnej</w:t>
      </w:r>
      <w:r w:rsidRPr="0075619B">
        <w:rPr>
          <w:rStyle w:val="FootnoteReference"/>
        </w:rPr>
        <w:footnoteReference w:id="37"/>
      </w:r>
      <w:r w:rsidRPr="0075619B">
        <w:t xml:space="preserve"> (DAC), dyrektywie w sprawie przeciwdziałania unikaniu </w:t>
      </w:r>
      <w:r w:rsidRPr="0075619B">
        <w:lastRenderedPageBreak/>
        <w:t>opodatkowania</w:t>
      </w:r>
      <w:r w:rsidRPr="0075619B">
        <w:rPr>
          <w:rStyle w:val="FootnoteReference"/>
        </w:rPr>
        <w:footnoteReference w:id="38"/>
      </w:r>
      <w:r w:rsidRPr="0075619B">
        <w:t xml:space="preserve"> (ATAD) i wielostronnej umowie między właściwymi organami, które znacząco poprawiły przejrzystość i współpracę transgraniczną między organami podatkowymi i umożliwiły skuteczniejsze przeciwdziałanie agresywnemu planowaniu podatkowemu; zwraca uwagę na rosnące obciążenia administracyjne i koszty przestrzegania przepisów dla administracji podatkowych i podatników wynikające z DAC i ATAD oraz pochwala ich przegląd i uproszczenie, przy jednoczesnym utrzymaniu obecnych standardów;</w:t>
      </w:r>
    </w:p>
    <w:p w14:paraId="71A9079A" w14:textId="77777777" w:rsidR="005625AF" w:rsidRPr="0075619B" w:rsidRDefault="005625AF" w:rsidP="005625AF">
      <w:pPr>
        <w:pStyle w:val="NormalHanging12a"/>
      </w:pPr>
      <w:r w:rsidRPr="0075619B">
        <w:t>48.</w:t>
      </w:r>
      <w:r w:rsidRPr="0075619B">
        <w:tab/>
        <w:t>podkreśla, że należy zająć się niespójnościami między ATAD a podejściem w ramach filaru 2 OECD, aby zapewnić spójność i pewność prawa w całej UE, w tym rozważyć usprawnienie opcji i zwolnień przyznanych państwom członkowskim; przyjmuje do wiadomości zapowiedź Komisji, że oceni ATAD w kontekście filaru 2 i w trzecim kwartale 2025 r. przedstawi kompleksowe sprawozdanie na temat stosowanych środków zgodnie z porozumieniem w sprawie filaru 2; wzywa Komisję, by przedstawiła państwom członkowskim wytyczne dotyczące interpretacji klauzuli ogólnej przeciwdziałania nadużyciom określonej w ATAD, oraz wzywa do przeglądu, aby ułatwić wdrażanie ATAD i zwiększyć jej skuteczność;</w:t>
      </w:r>
    </w:p>
    <w:p w14:paraId="7C958033" w14:textId="77777777" w:rsidR="005625AF" w:rsidRPr="0075619B" w:rsidRDefault="005625AF" w:rsidP="005625AF">
      <w:pPr>
        <w:pStyle w:val="NormalHanging12a"/>
      </w:pPr>
      <w:r w:rsidRPr="0075619B">
        <w:t>49.</w:t>
      </w:r>
      <w:r w:rsidRPr="0075619B">
        <w:tab/>
        <w:t>odnotowuje rolę DAC w ograniczaniu unikania opodatkowania, uchylania się od opodatkowania i agresywnego planowania oraz zwiększaniu przejrzystości, a jednocześnie zwraca uwagę na złożoność i obciążenia administracyjne, zwłaszcza związane z DAC 6</w:t>
      </w:r>
      <w:r w:rsidRPr="0075619B">
        <w:rPr>
          <w:rStyle w:val="FootnoteReference"/>
        </w:rPr>
        <w:footnoteReference w:id="39"/>
      </w:r>
      <w:r w:rsidRPr="0075619B">
        <w:t>; podkreśla potrzebę przeglądu DAC 6 i wzywa Komisję, by oceniła koszty przestrzegania przepisów na mocy tej dyrektywy oraz wzmocniła wytyczne, poprawiła analizy ryzyka i wykorzystywała technologie do lepszego gromadzenia danych, aby zapewnić skuteczność w promowaniu przejrzystości podatkowej oraz zapobiegać nieproporcjonalnym kosztom i obciążeniom administracyjnym; stwierdza, że w ramach tej ponownej oceny należy rozważyć ochronę MŚP przed zbędnymi obowiązkami sprawozdawczymi i zapewnić większą jasność co do poziomów odniesienia dla podlegających zgłoszeniu uzgodnień transgranicznych; sugeruje ocenę możliwego przeglądu DAC 7</w:t>
      </w:r>
      <w:r w:rsidRPr="0075619B">
        <w:rPr>
          <w:rStyle w:val="FootnoteReference"/>
        </w:rPr>
        <w:footnoteReference w:id="40"/>
      </w:r>
      <w:r w:rsidRPr="0075619B">
        <w:t>, aby rozważyć, czy można ograniczyć zakres wymiany informacji w przypadku wprowadzenia sprawozdawczości w czasie rzeczywistym w ramach pakietu ViDA;</w:t>
      </w:r>
    </w:p>
    <w:p w14:paraId="0E641C0B" w14:textId="77777777" w:rsidR="005625AF" w:rsidRPr="0075619B" w:rsidRDefault="005625AF" w:rsidP="005625AF">
      <w:pPr>
        <w:pStyle w:val="NormalHanging12a"/>
      </w:pPr>
      <w:r w:rsidRPr="0075619B">
        <w:t>50.</w:t>
      </w:r>
      <w:r w:rsidRPr="0075619B">
        <w:tab/>
        <w:t xml:space="preserve">zauważa w szczególności potrzebę wykorzystania trwającego procesu przeglądu w celu rozwiązania problemu obecnych nakładających się przepisów oraz usprawnienia i uproszczenia stosowania wspólnych zasad i pojęć; wskazuje, że ujednolicenie </w:t>
      </w:r>
      <w:r w:rsidRPr="0075619B">
        <w:lastRenderedPageBreak/>
        <w:t>terminologii i pojęć ma istotne znaczenie dla uproszczenia przestrzegania przepisów, ponieważ różne krajowe interpretacje mogą prowadzić do fragmentacji i złożoności;</w:t>
      </w:r>
    </w:p>
    <w:p w14:paraId="31947AAF" w14:textId="77777777" w:rsidR="005625AF" w:rsidRPr="0075619B" w:rsidRDefault="005625AF" w:rsidP="005625AF">
      <w:pPr>
        <w:pStyle w:val="NormalHanging12a"/>
      </w:pPr>
      <w:r w:rsidRPr="0075619B">
        <w:t>51.</w:t>
      </w:r>
      <w:r w:rsidRPr="0075619B">
        <w:tab/>
        <w:t>wzywa do zacieśnienia współpracy między EPPO a Eurofisc, aby poprawić wymianę informacji o zagrożeniach, koordynację egzekwowania prawa oraz dochodzenia transgraniczne w walce z oszustwami związanymi z VAT i innymi formami uchylania się od opodatkowania i unikania opodatkowania; podkreśla potrzebę usprawnionej współpracy pomiędzy tymi organami w celu zapewnienia skuteczniejszej i bardziej jednolitej reakcji UE na transgraniczne oszustwa podatkowe, z wykorzystaniem ich odpowiednich mandatów i wiedzy fachowej; wzywa Komisję i państwa członkowskie do ułatwienia tej współpracy dzięki usprawnieniu mechanizmów wymiany danych, zapewnieniu odpowiednich zasobów i wspieraniu wspólnych działań dochodzeniowych; podkreśla, że dalsza koordynacja podatkowa między państwami członkowskimi w walce z uchylaniem się od opodatkowania i unikaniem opodatkowania jest niezbędna, by ułatwić transgraniczną działalność gospodarczą; zauważa, że UE musi dopilnować, aby wszystkie przywożone produkty były objęte odpowiednimi cłami;</w:t>
      </w:r>
    </w:p>
    <w:p w14:paraId="28335741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Opodatkowanie transgraniczne i mobilność pracowników</w:t>
      </w:r>
    </w:p>
    <w:p w14:paraId="54A71D9F" w14:textId="77777777" w:rsidR="005625AF" w:rsidRPr="0075619B" w:rsidRDefault="005625AF" w:rsidP="005625AF">
      <w:pPr>
        <w:pStyle w:val="NormalHanging12a"/>
      </w:pPr>
      <w:r w:rsidRPr="0075619B">
        <w:t>52.</w:t>
      </w:r>
      <w:r w:rsidRPr="0075619B">
        <w:tab/>
        <w:t>wzywa Komisję, by z myślą o zwiększeniu konkurencyjności przedstawiła badanie i w razie potrzeby pakiet środków dotyczących sposobów uproszczenia przepisów podatkowych i rozwiązania problemu fragmentacji w dziedzinie opodatkowania dotykającego pracowników transgranicznych i osoby samozatrudnione, zwiększenia konkurencyjności dzięki pogłębieniu rynku wewnętrznego oraz ochrony dochodów podatkowych dzięki stworzeniu równych warunków działania; zauważa, że rozbieżne krajowe systemy podatkowe stwarzają znaczne przeszkody, obciążenia administracyjne, brak pewności prawa i podwójne opodatkowanie, utrudniając mobilność pracowników i transgraniczną przedsiębiorczość;</w:t>
      </w:r>
    </w:p>
    <w:p w14:paraId="2A2841C4" w14:textId="77777777" w:rsidR="005625AF" w:rsidRPr="0075619B" w:rsidRDefault="005625AF" w:rsidP="005625AF">
      <w:pPr>
        <w:pStyle w:val="NormalHanging12a"/>
      </w:pPr>
      <w:r w:rsidRPr="0075619B">
        <w:t>53.</w:t>
      </w:r>
      <w:r w:rsidRPr="0075619B">
        <w:tab/>
        <w:t>zauważa, że mobilność osób fizycznych ponad granicami rośnie w bezprecedensowym tempie i że tak wysoki poziom globalnej mobilności ma znaczący wpływ na systemy podatkowe; podkreśla, że należy starannie uwzględniać taką mobilność i jej wpływ na systemy podatkowe w procesie kształtowania polityki, a jednocześnie utrzymać zachęty do mobilności i możliwości zatrudnienia w UE; zauważa w związku z tym, że państwa członkowskie stosują zachęty podatkowe, by wspierać mobilność pracowników i przedsiębiorczość transgraniczną; podkreśla jednak, że państwa członkowskie muszą również zapobiegać szkodliwym praktykom podatkowym przyciągającym indywidualnych podatników i zakłóceniom konkurencji dzięki jasnym zastrzeżeniom i zabezpieczeniom;</w:t>
      </w:r>
    </w:p>
    <w:p w14:paraId="656FD058" w14:textId="77777777" w:rsidR="005625AF" w:rsidRPr="0075619B" w:rsidRDefault="005625AF" w:rsidP="005625AF">
      <w:pPr>
        <w:pStyle w:val="NormalHanging12a"/>
      </w:pPr>
      <w:r w:rsidRPr="0075619B">
        <w:t>54.</w:t>
      </w:r>
      <w:r w:rsidRPr="0075619B">
        <w:tab/>
        <w:t>odnotowuje coraz większą mobilność transgraniczną wysoko wykwalifikowanych pracowników i innych osób, wynikającą ze swobody przemieszczania się i preferencyjnych systemów podatkowych w niektórych państwach członkowskich; podkreśla, że należy dopilnować, aby polityka podatkowa na rynku wewnętrznym pozostała sprawiedliwa, przejrzysta i zgodna ze stabilnością finansów publicznych w całej UE; ponawia apel do Rady o przegląd mandatu Grupy ds. Kodeksu Postępowania (opodatkowanie działalności gospodarczej);</w:t>
      </w:r>
    </w:p>
    <w:p w14:paraId="0D98BF80" w14:textId="77777777" w:rsidR="005625AF" w:rsidRPr="0075619B" w:rsidRDefault="005625AF" w:rsidP="005625AF">
      <w:pPr>
        <w:pStyle w:val="NormalHanging12a"/>
      </w:pPr>
      <w:r w:rsidRPr="0075619B">
        <w:t>55.</w:t>
      </w:r>
      <w:r w:rsidRPr="0075619B">
        <w:tab/>
        <w:t xml:space="preserve">przypomina, że konsekwencje podatkowe wynikają z ryzyka zaistnienia obowiązku podatkowego w związku z prowadzeniem podlegającej opodatkowaniu działalności gospodarczej lub stałego zakładu, na przykład w przypadku podróży służbowych lub </w:t>
      </w:r>
      <w:r w:rsidRPr="0075619B">
        <w:lastRenderedPageBreak/>
        <w:t>telepracy pracowników transgranicznych; zauważa, że dzięki skoordynowanemu stosowaniu przez państwa członkowskie zasady „bezpiecznej przystani” dotyczącej telepracy można by zagwarantować pracodawcom pewność podatkową, zmniejszyć obciążenia administracyjne i uprościć opodatkowanie osób fizycznych;</w:t>
      </w:r>
    </w:p>
    <w:p w14:paraId="37F74AD2" w14:textId="77777777" w:rsidR="005625AF" w:rsidRPr="0075619B" w:rsidRDefault="005625AF" w:rsidP="005625AF">
      <w:pPr>
        <w:pStyle w:val="Normal12a24b"/>
      </w:pPr>
      <w:r w:rsidRPr="0075619B">
        <w:rPr>
          <w:rStyle w:val="BoldItalic"/>
        </w:rPr>
        <w:t>Podatki i innowacje</w:t>
      </w:r>
    </w:p>
    <w:p w14:paraId="24FE3268" w14:textId="77777777" w:rsidR="005625AF" w:rsidRPr="0075619B" w:rsidRDefault="005625AF" w:rsidP="005625AF">
      <w:pPr>
        <w:pStyle w:val="NormalHanging12a"/>
      </w:pPr>
      <w:r w:rsidRPr="0075619B">
        <w:t>56.</w:t>
      </w:r>
      <w:r w:rsidRPr="0075619B">
        <w:tab/>
        <w:t>podkreśla, że innowacje są główną siłą napędową wzrostu gospodarczego, globalnej konkurencyjności i dobrobytu oraz że według OECD zachęty podatkowe są powszechnie stosowanym i istotnym z gospodarczego punktu widzenia instrumentem polityki wspierania innowacji; jest zdania, że rządy powinny dopilnować, aby systemy zachęt podatkowych na badania i rozwój zapewniały optymalne wykorzystanie środków finansowych dzięki regularnej ocenie i przyjmowaniu ukierunkowanych zachęt stymulujących inwestycje i wzrost gospodarczy oraz zwiększających konkurencyjność UE na arenie międzynarodowej, zgodnie z propozycjami zawartymi w raporcie Draghiego;</w:t>
      </w:r>
    </w:p>
    <w:p w14:paraId="46E08AA2" w14:textId="77777777" w:rsidR="005625AF" w:rsidRPr="0075619B" w:rsidRDefault="005625AF" w:rsidP="005625AF">
      <w:pPr>
        <w:pStyle w:val="NormalHanging12a"/>
      </w:pPr>
      <w:r w:rsidRPr="0075619B">
        <w:t>57.</w:t>
      </w:r>
      <w:r w:rsidRPr="0075619B">
        <w:tab/>
        <w:t>wzywa Komisję, by zgodnie z propozycjami zawartymi w raporcie Draghiego przeprowadziła dalsze badania nad opłacalnością różnych rodzajów zachęt podatkowych na rzecz badań i rozwoju oraz innowacji z myślą o zwiększeniu konkurencyjności UE na arenie międzynarodowej, a zarazem dopilnowała, aby zachęty te były dobrze zaprojektowane i pozwoliły osiągnąć wyznaczone cele polityczne, nie prowadziły do utraty dochodów podatkowych ani nie zwiększały ryzyka unikania opodatkowania; zachęca Komisję, by przeanalizowała różne rozwiązania i mechanizmy wspierania badań i rozwoju dla przedsiębiorstw typu start-up, w tym m.in. zbywalnych kredytów podatkowych, w ramach skoordynowanego podejścia z państwami członkowskimi i na podstawie wspólnych kryteriów, w celu poprawy dostępności i skuteczności takich środków; wzywa Komisję do dalszej oceny transgranicznych skutków takich zachęt w innych państwach członkowskich, w tym ryzyka unikania opodatkowania; podkreśla potrzebę szerszej dostępności zachęt podatkowych, w tym ulg i kredytów podatkowych, przyspieszonej amortyzacji i bardzo wysokich odliczeń; w związku z tym wzywa Komisję do wydania zaleceń i odpowiedniego włączenia zachęt podatkowych, w stosownych przypadkach związanych szczególnie z badaniami i rozwojem, bez pogłębiania asymetrii gospodarczych w UE; podkreśla, że rozsądne byłoby dostosowanie zachęt do innowacji oraz badań i rozwoju do opracowanych na miarę potrzeb zachęt do inwestycji; apeluje o ściślejszą współpracę i zaufanie między państwami członkowskimi, aby promować równe warunki działania dla handlu elektronicznego, usług cyfrowych i innych szybko rozwijających się sektorów;</w:t>
      </w:r>
    </w:p>
    <w:p w14:paraId="2F33544D" w14:textId="77777777" w:rsidR="005625AF" w:rsidRDefault="005625AF" w:rsidP="005625AF">
      <w:pPr>
        <w:pStyle w:val="NormalHanging12a"/>
      </w:pPr>
      <w:r w:rsidRPr="0075619B">
        <w:t>58.</w:t>
      </w:r>
      <w:r w:rsidRPr="0075619B">
        <w:tab/>
        <w:t>podkreśla, jak ważne jest zapewnienie pełnej zgodności zachęt podatkowych z obecnymi unijnymi ramami pomocy państwa; podkreśla wartość unijnych ram pomocy państwa dla zachowania uczciwej konkurencji na całym rynku wewnętrznym oraz zagwarantowania pewności prawa i równych warunków działania dla wszystkich państw członkowskich;</w:t>
      </w:r>
    </w:p>
    <w:p w14:paraId="66505DD7" w14:textId="77777777" w:rsidR="00A50F83" w:rsidRPr="0075619B" w:rsidRDefault="00A50F83" w:rsidP="00A50F83">
      <w:pPr>
        <w:pStyle w:val="NormalHanging12a"/>
        <w:jc w:val="center"/>
      </w:pPr>
      <w:r w:rsidRPr="0075619B">
        <w:t>°</w:t>
      </w:r>
    </w:p>
    <w:p w14:paraId="342CDDA5" w14:textId="77777777" w:rsidR="00A50F83" w:rsidRPr="0075619B" w:rsidRDefault="00A50F83" w:rsidP="00A50F83">
      <w:pPr>
        <w:pStyle w:val="NormalHanging12a"/>
        <w:jc w:val="center"/>
      </w:pPr>
      <w:r w:rsidRPr="0075619B">
        <w:t>°</w:t>
      </w:r>
      <w:r w:rsidRPr="0075619B">
        <w:tab/>
        <w:t>°</w:t>
      </w:r>
    </w:p>
    <w:p w14:paraId="5F35D394" w14:textId="77777777" w:rsidR="005625AF" w:rsidRPr="0075619B" w:rsidRDefault="005625AF" w:rsidP="005625AF">
      <w:pPr>
        <w:pStyle w:val="NormalHanging12a"/>
      </w:pPr>
      <w:r w:rsidRPr="0075619B">
        <w:t>59.</w:t>
      </w:r>
      <w:r w:rsidRPr="0075619B">
        <w:tab/>
        <w:t>zobowiązuje swoją przewodniczącą do przekazania niniejszej rezolucji Radzie i Komisji.</w:t>
      </w:r>
    </w:p>
    <w:sectPr w:rsidR="005625AF" w:rsidRPr="0075619B" w:rsidSect="007561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543C6" w14:textId="77777777" w:rsidR="007729B9" w:rsidRPr="0075619B" w:rsidRDefault="007729B9">
      <w:r w:rsidRPr="0075619B">
        <w:separator/>
      </w:r>
    </w:p>
  </w:endnote>
  <w:endnote w:type="continuationSeparator" w:id="0">
    <w:p w14:paraId="668D6CCA" w14:textId="77777777" w:rsidR="007729B9" w:rsidRPr="0075619B" w:rsidRDefault="007729B9">
      <w:r w:rsidRPr="007561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37530" w14:textId="77777777" w:rsidR="00064002" w:rsidRPr="007561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E5D04" w14:textId="77777777" w:rsidR="00064002" w:rsidRPr="007561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3A0A4" w14:textId="77777777" w:rsidR="00064002" w:rsidRPr="007561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7B7DA" w14:textId="77777777" w:rsidR="007729B9" w:rsidRPr="0075619B" w:rsidRDefault="007729B9">
      <w:r w:rsidRPr="0075619B">
        <w:separator/>
      </w:r>
    </w:p>
  </w:footnote>
  <w:footnote w:type="continuationSeparator" w:id="0">
    <w:p w14:paraId="72B2D3CE" w14:textId="77777777" w:rsidR="007729B9" w:rsidRPr="0075619B" w:rsidRDefault="007729B9">
      <w:r w:rsidRPr="0075619B">
        <w:continuationSeparator/>
      </w:r>
    </w:p>
  </w:footnote>
  <w:footnote w:id="1">
    <w:p w14:paraId="6FF819E1" w14:textId="6F46A638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Dz.U. L 157 z 26.6.2003, s. 49, ELI: </w:t>
      </w:r>
      <w:hyperlink r:id="rId1" w:history="1">
        <w:r w:rsidRPr="0075619B">
          <w:rPr>
            <w:rStyle w:val="Hyperlink"/>
            <w:sz w:val="24"/>
            <w:lang w:val="pl-PL"/>
          </w:rPr>
          <w:t>http://data.europa.eu/eli/dir/2003/49/oj</w:t>
        </w:r>
      </w:hyperlink>
      <w:r w:rsidRPr="0075619B">
        <w:rPr>
          <w:sz w:val="24"/>
          <w:lang w:val="pl-PL"/>
        </w:rPr>
        <w:t>.</w:t>
      </w:r>
    </w:p>
  </w:footnote>
  <w:footnote w:id="2">
    <w:p w14:paraId="1C05BFD5" w14:textId="0060AFA0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Dz.U. L 345 z 29.12.2011, s. 8, ELI: </w:t>
      </w:r>
      <w:hyperlink r:id="rId2" w:history="1">
        <w:r w:rsidRPr="0075619B">
          <w:rPr>
            <w:rStyle w:val="Hyperlink"/>
            <w:sz w:val="24"/>
            <w:lang w:val="pl-PL"/>
          </w:rPr>
          <w:t>http://data.europa.eu/eli/dir/2011/96/oj</w:t>
        </w:r>
      </w:hyperlink>
      <w:r w:rsidRPr="0075619B">
        <w:rPr>
          <w:sz w:val="24"/>
          <w:lang w:val="pl-PL"/>
        </w:rPr>
        <w:t>.</w:t>
      </w:r>
    </w:p>
  </w:footnote>
  <w:footnote w:id="3">
    <w:p w14:paraId="239D01DB" w14:textId="29606D2D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Dz.U. L 328 z 22.12.2022, s. 1, ELI: </w:t>
      </w:r>
      <w:hyperlink r:id="rId3" w:history="1">
        <w:r w:rsidRPr="0075619B">
          <w:rPr>
            <w:rStyle w:val="Hyperlink"/>
            <w:sz w:val="24"/>
            <w:lang w:val="pl-PL"/>
          </w:rPr>
          <w:t>http://data.europa.eu/eli/dir/2022/2523/oj</w:t>
        </w:r>
      </w:hyperlink>
      <w:r w:rsidRPr="0075619B">
        <w:rPr>
          <w:sz w:val="24"/>
          <w:lang w:val="pl-PL"/>
        </w:rPr>
        <w:t>.</w:t>
      </w:r>
    </w:p>
  </w:footnote>
  <w:footnote w:id="4">
    <w:p w14:paraId="595D003B" w14:textId="5A493426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479 z 16.12.2022, s. 89.</w:t>
      </w:r>
    </w:p>
  </w:footnote>
  <w:footnote w:id="5">
    <w:p w14:paraId="5FDEB0D2" w14:textId="709AADFC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Komisja Europejska: Agencja Wykonawcza Europejskiej Rady ds. Innowacji i MŚP, Dyrekcja Generalna ds. Rynku Wewnętrznego, Przemysłu, Przedsiębiorczości i MŚP, KPMG, VVA, A. Di Legge i in. „Tax compliance costs for SMEs – An update and a complement – Final report” [Koszty przestrzegania przepisów podatkowych dla MŚP – aktualizacja i uzupełnienie – sprawozdanie końcowe], Urząd Publikacji Unii Europejskiej, 2022 r., </w:t>
      </w:r>
      <w:hyperlink r:id="rId4" w:history="1">
        <w:r w:rsidRPr="0075619B">
          <w:rPr>
            <w:rStyle w:val="Hyperlink"/>
            <w:sz w:val="24"/>
            <w:lang w:val="pl-PL"/>
          </w:rPr>
          <w:t>https://data.europa.eu/doi/10.2873/180570</w:t>
        </w:r>
      </w:hyperlink>
      <w:r w:rsidRPr="0075619B">
        <w:rPr>
          <w:sz w:val="24"/>
          <w:lang w:val="pl-PL"/>
        </w:rPr>
        <w:t>.</w:t>
      </w:r>
    </w:p>
  </w:footnote>
  <w:footnote w:id="6">
    <w:p w14:paraId="7D325CE0" w14:textId="31671E24" w:rsidR="005625AF" w:rsidRPr="00256293" w:rsidRDefault="005625AF" w:rsidP="0075619B">
      <w:pPr>
        <w:pStyle w:val="FootnoteText"/>
        <w:ind w:left="567" w:hanging="567"/>
        <w:rPr>
          <w:sz w:val="24"/>
          <w:lang w:val="fi-FI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256293">
        <w:rPr>
          <w:sz w:val="24"/>
          <w:lang w:val="fi-FI"/>
        </w:rPr>
        <w:t xml:space="preserve"> </w:t>
      </w:r>
      <w:r w:rsidR="0075619B" w:rsidRPr="00256293">
        <w:rPr>
          <w:sz w:val="24"/>
          <w:lang w:val="fi-FI"/>
        </w:rPr>
        <w:tab/>
      </w:r>
      <w:r w:rsidRPr="00256293">
        <w:rPr>
          <w:sz w:val="24"/>
          <w:lang w:val="fi-FI"/>
        </w:rPr>
        <w:t xml:space="preserve">Dz.U. L, 2025/50, 10.1.2025, ELI: </w:t>
      </w:r>
      <w:hyperlink r:id="rId5" w:history="1">
        <w:r w:rsidRPr="00256293">
          <w:rPr>
            <w:rStyle w:val="Hyperlink"/>
            <w:sz w:val="24"/>
            <w:lang w:val="fi-FI"/>
          </w:rPr>
          <w:t>http://data.europa.eu/eli/dir/2025/50/oj</w:t>
        </w:r>
      </w:hyperlink>
      <w:r w:rsidRPr="00256293">
        <w:rPr>
          <w:sz w:val="24"/>
          <w:lang w:val="fi-FI"/>
        </w:rPr>
        <w:t>.</w:t>
      </w:r>
    </w:p>
  </w:footnote>
  <w:footnote w:id="7">
    <w:p w14:paraId="1021EF7E" w14:textId="6F1C0B57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342 z 6.9.2022, s. 88.</w:t>
      </w:r>
    </w:p>
  </w:footnote>
  <w:footnote w:id="8">
    <w:p w14:paraId="00ED80D4" w14:textId="73EA63AC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132 z 24.3.2022, s. 167.</w:t>
      </w:r>
    </w:p>
  </w:footnote>
  <w:footnote w:id="9">
    <w:p w14:paraId="32740681" w14:textId="22E5901A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342 z 6.9.2022, s. 14.</w:t>
      </w:r>
    </w:p>
  </w:footnote>
  <w:footnote w:id="10">
    <w:p w14:paraId="282A5344" w14:textId="38C5A95E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347 z 9.9.2022, s. 172.</w:t>
      </w:r>
    </w:p>
  </w:footnote>
  <w:footnote w:id="11">
    <w:p w14:paraId="7AC912DB" w14:textId="08E85C8E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132 z 14.4.2023, s. 15.</w:t>
      </w:r>
    </w:p>
  </w:footnote>
  <w:footnote w:id="12">
    <w:p w14:paraId="0EE55821" w14:textId="30505F20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347 z 9.9.2022, s. 211.</w:t>
      </w:r>
    </w:p>
  </w:footnote>
  <w:footnote w:id="13">
    <w:p w14:paraId="0F72AFE6" w14:textId="30A2E430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Dz.U. C 465 z 6.12.2022, s. 109.</w:t>
      </w:r>
    </w:p>
  </w:footnote>
  <w:footnote w:id="14">
    <w:p w14:paraId="3DD2D017" w14:textId="74E4EA62" w:rsidR="005625AF" w:rsidRPr="00256293" w:rsidRDefault="005625AF" w:rsidP="0075619B">
      <w:pPr>
        <w:pStyle w:val="FootnoteText"/>
        <w:ind w:left="567" w:hanging="567"/>
        <w:rPr>
          <w:sz w:val="24"/>
          <w:lang w:val="fi-FI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256293">
        <w:rPr>
          <w:sz w:val="24"/>
          <w:lang w:val="fi-FI"/>
        </w:rPr>
        <w:t xml:space="preserve"> </w:t>
      </w:r>
      <w:r w:rsidR="0075619B" w:rsidRPr="00256293">
        <w:rPr>
          <w:sz w:val="24"/>
          <w:lang w:val="fi-FI"/>
        </w:rPr>
        <w:tab/>
      </w:r>
      <w:r w:rsidRPr="00256293">
        <w:rPr>
          <w:sz w:val="24"/>
          <w:lang w:val="fi-FI"/>
        </w:rPr>
        <w:t xml:space="preserve">Dz.U. C, C/2024/492, 23.1.2024, ELI: </w:t>
      </w:r>
      <w:hyperlink r:id="rId6" w:history="1">
        <w:r w:rsidRPr="00256293">
          <w:rPr>
            <w:rStyle w:val="Hyperlink"/>
            <w:sz w:val="24"/>
            <w:lang w:val="fi-FI"/>
          </w:rPr>
          <w:t>http://data.europa.eu/eli/C/2024/492/oj</w:t>
        </w:r>
      </w:hyperlink>
      <w:r w:rsidRPr="00256293">
        <w:rPr>
          <w:sz w:val="24"/>
          <w:lang w:val="fi-FI"/>
        </w:rPr>
        <w:t>.</w:t>
      </w:r>
    </w:p>
  </w:footnote>
  <w:footnote w:id="15">
    <w:p w14:paraId="5B85CB69" w14:textId="424DF7CD" w:rsidR="005625AF" w:rsidRPr="00256293" w:rsidRDefault="005625AF" w:rsidP="0075619B">
      <w:pPr>
        <w:pStyle w:val="FootnoteText"/>
        <w:ind w:left="567" w:hanging="567"/>
        <w:rPr>
          <w:sz w:val="24"/>
          <w:lang w:val="fi-FI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256293">
        <w:rPr>
          <w:sz w:val="24"/>
          <w:lang w:val="fi-FI"/>
        </w:rPr>
        <w:t xml:space="preserve"> </w:t>
      </w:r>
      <w:r w:rsidR="0075619B" w:rsidRPr="00256293">
        <w:rPr>
          <w:sz w:val="24"/>
          <w:lang w:val="fi-FI"/>
        </w:rPr>
        <w:tab/>
      </w:r>
      <w:r w:rsidRPr="00256293">
        <w:rPr>
          <w:sz w:val="24"/>
          <w:lang w:val="fi-FI"/>
        </w:rPr>
        <w:t xml:space="preserve">Dz.U. C, </w:t>
      </w:r>
      <w:r w:rsidR="007E0C38">
        <w:rPr>
          <w:sz w:val="24"/>
          <w:lang w:val="fi-FI"/>
        </w:rPr>
        <w:t>C/</w:t>
      </w:r>
      <w:r w:rsidRPr="00256293">
        <w:rPr>
          <w:sz w:val="24"/>
          <w:lang w:val="fi-FI"/>
        </w:rPr>
        <w:t xml:space="preserve">2024/4165, 2.8.2024, ELI: </w:t>
      </w:r>
      <w:hyperlink r:id="rId7" w:history="1">
        <w:r w:rsidRPr="00256293">
          <w:rPr>
            <w:rStyle w:val="Hyperlink"/>
            <w:sz w:val="24"/>
            <w:lang w:val="fi-FI"/>
          </w:rPr>
          <w:t>http://data.europa.eu/eli/C/2024/4165/oj</w:t>
        </w:r>
      </w:hyperlink>
      <w:r w:rsidRPr="00256293">
        <w:rPr>
          <w:sz w:val="24"/>
          <w:lang w:val="fi-FI"/>
        </w:rPr>
        <w:t>.</w:t>
      </w:r>
    </w:p>
  </w:footnote>
  <w:footnote w:id="16">
    <w:p w14:paraId="36D958CE" w14:textId="29B255E4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Rada Unii Europejskiej: Sekretariat Generalny Rady, „Konferencja w sprawie przyszłości Europy – sprawozdanie z wyników końcowych – maj 2022 r.”, Urząd Publikacji Unii Europejskiej, 2022 r., </w:t>
      </w:r>
      <w:hyperlink r:id="rId8" w:history="1">
        <w:r w:rsidRPr="0075619B">
          <w:rPr>
            <w:rStyle w:val="Hyperlink"/>
            <w:sz w:val="24"/>
            <w:lang w:val="pl-PL"/>
          </w:rPr>
          <w:t>https://data.europa.eu/doi/10.2860/637445</w:t>
        </w:r>
      </w:hyperlink>
      <w:r w:rsidRPr="0075619B">
        <w:rPr>
          <w:sz w:val="24"/>
          <w:lang w:val="pl-PL"/>
        </w:rPr>
        <w:t>.</w:t>
      </w:r>
    </w:p>
  </w:footnote>
  <w:footnote w:id="17">
    <w:p w14:paraId="4B30B29F" w14:textId="44EC5610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E. Letta „Much more than a market: Speed, Security, Solidarity – Empowering the Single Market to deliver a sustainable future and prosperity for all EU Citizens” [O wiele więcej niż rynek – szybkość, bezpieczeństwo, solidarność: umocnienie jednolitego rynku z myślą o zapewnieniu zrównoważonej przyszłości i dobrobytu wszystkim obywatelom UE], kwiecień 2024 r.</w:t>
      </w:r>
    </w:p>
  </w:footnote>
  <w:footnote w:id="18">
    <w:p w14:paraId="26416B29" w14:textId="760EA1BA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M. Draghi „The future of European Competitiveness” [Przyszłość europejskiej konkurencyjności], 9 września 2024 r.</w:t>
      </w:r>
    </w:p>
  </w:footnote>
  <w:footnote w:id="19">
    <w:p w14:paraId="36B8BEDD" w14:textId="23803768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Komisja Europejska, dane dotyczące tendencji w opodatkowaniu, ostatnio zaktualizowane 10 marca 2025 r.</w:t>
      </w:r>
    </w:p>
  </w:footnote>
  <w:footnote w:id="20">
    <w:p w14:paraId="687EFC40" w14:textId="3A08F7AC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Tamże.</w:t>
      </w:r>
    </w:p>
  </w:footnote>
  <w:footnote w:id="21">
    <w:p w14:paraId="6AA00687" w14:textId="2C99AD13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Tamże.</w:t>
      </w:r>
    </w:p>
  </w:footnote>
  <w:footnote w:id="22">
    <w:p w14:paraId="18275CBC" w14:textId="4FEFF21A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Komisja Europejska: Dyrekcja Generalna ds. Podatków i Unii Celnej, Centrum Analiz Społeczno-Ekonomicznych (CASE), Oxford Economics, Syntesia, M. Bonch-Osmolovskiy i in. </w:t>
      </w:r>
      <w:r w:rsidRPr="0075619B">
        <w:rPr>
          <w:rStyle w:val="Italic"/>
          <w:sz w:val="24"/>
          <w:lang w:val="pl-PL"/>
        </w:rPr>
        <w:t>VAT gap in the EU</w:t>
      </w:r>
      <w:r w:rsidRPr="0075619B">
        <w:rPr>
          <w:sz w:val="24"/>
          <w:lang w:val="pl-PL"/>
        </w:rPr>
        <w:t xml:space="preserve"> –</w:t>
      </w:r>
      <w:r w:rsidRPr="0075619B">
        <w:rPr>
          <w:rStyle w:val="Italic"/>
          <w:sz w:val="24"/>
          <w:lang w:val="pl-PL"/>
        </w:rPr>
        <w:t xml:space="preserve"> 2024 report</w:t>
      </w:r>
      <w:r w:rsidRPr="0075619B">
        <w:rPr>
          <w:sz w:val="24"/>
          <w:lang w:val="pl-PL"/>
        </w:rPr>
        <w:t xml:space="preserve"> [Luka w podatku VAT w UE – sprawozdanie za 2024 r.], G. Poniatowski (red.), Urząd Publikacji Unii Europejskiej, 2024 r., </w:t>
      </w:r>
      <w:hyperlink r:id="rId9" w:history="1">
        <w:r w:rsidRPr="0075619B">
          <w:rPr>
            <w:rStyle w:val="Hyperlink"/>
            <w:sz w:val="24"/>
            <w:lang w:val="pl-PL"/>
          </w:rPr>
          <w:t>https://data.europa.eu/doi/10.2778/2476549</w:t>
        </w:r>
      </w:hyperlink>
      <w:r w:rsidRPr="0075619B">
        <w:rPr>
          <w:sz w:val="24"/>
          <w:lang w:val="pl-PL"/>
        </w:rPr>
        <w:t>.</w:t>
      </w:r>
    </w:p>
  </w:footnote>
  <w:footnote w:id="23">
    <w:p w14:paraId="391D5D28" w14:textId="636B0921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Komisja Europejska „Questions and Answers: VAT Gap 2022 report” [Pytania i odpowiedzi: sprawozdanie w sprawie luki w podatku VAT za 2022 r.], strona internetowa Komisji Europejskiej, 8 grudnia 2022 r., </w:t>
      </w:r>
      <w:hyperlink r:id="rId10" w:history="1">
        <w:r w:rsidRPr="0075619B">
          <w:rPr>
            <w:rStyle w:val="Hyperlink"/>
            <w:sz w:val="24"/>
            <w:lang w:val="pl-PL"/>
          </w:rPr>
          <w:t>https://ec.europa.eu/commission/presscorner/detail/en/qanda_22_7519</w:t>
        </w:r>
      </w:hyperlink>
      <w:r w:rsidRPr="0075619B">
        <w:rPr>
          <w:sz w:val="24"/>
          <w:lang w:val="pl-PL"/>
        </w:rPr>
        <w:t>.</w:t>
      </w:r>
    </w:p>
  </w:footnote>
  <w:footnote w:id="24">
    <w:p w14:paraId="368B9E99" w14:textId="63E6DEFC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Komisja Europejska: Dyrekcja Generalna ds. Podatków i Unii Celnej, „Annual report on taxation 2024 – Review of taxation policies in the European Union” [Sprawozdanie roczne w sprawie opodatkowania w 2024 r. – przegląd polityki podatkowej w Unii Europejskiej], Urząd Publikacji Unii Europejskiej, 2024 r., </w:t>
      </w:r>
      <w:hyperlink r:id="rId11" w:history="1">
        <w:r w:rsidRPr="0075619B">
          <w:rPr>
            <w:rStyle w:val="Hyperlink"/>
            <w:sz w:val="24"/>
            <w:lang w:val="pl-PL"/>
          </w:rPr>
          <w:t>https://data.europa.eu/doi/10.2778/10846</w:t>
        </w:r>
      </w:hyperlink>
      <w:r w:rsidRPr="0075619B">
        <w:rPr>
          <w:sz w:val="24"/>
          <w:lang w:val="pl-PL"/>
        </w:rPr>
        <w:t>.</w:t>
      </w:r>
    </w:p>
  </w:footnote>
  <w:footnote w:id="25">
    <w:p w14:paraId="25502FF8" w14:textId="04055DFE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Komisja Europejska: Agencja Wykonawcza Europejskiej Rady ds. Innowacji i MŚP, Dyrekcja Generalna ds. Rynku Wewnętrznego, Przemysłu, Przedsiębiorczości i MŚP, KPMG, VVA, A. Di Legge i in. „Tax compliance costs for SMEs – An update and a complement – Final report” [Koszty przestrzegania przepisów podatkowych dla MŚP – aktualizacja i uzupełnienie – sprawozdanie końcowe], Urząd Publikacji Unii Europejskiej, 2022 r., </w:t>
      </w:r>
      <w:hyperlink r:id="rId12" w:history="1">
        <w:r w:rsidRPr="0075619B">
          <w:rPr>
            <w:rStyle w:val="Hyperlink"/>
            <w:sz w:val="24"/>
            <w:lang w:val="pl-PL"/>
          </w:rPr>
          <w:t>https://data.europa.eu/doi/10.2873/180570</w:t>
        </w:r>
      </w:hyperlink>
      <w:r w:rsidRPr="0075619B">
        <w:rPr>
          <w:sz w:val="24"/>
          <w:lang w:val="pl-PL"/>
        </w:rPr>
        <w:t>.</w:t>
      </w:r>
    </w:p>
  </w:footnote>
  <w:footnote w:id="26">
    <w:p w14:paraId="104D1583" w14:textId="0903758D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E. Letta „Much more than a market– Speed, Security, Solidarity – Empowering the Single Market to deliver a sustainable future and prosperity for all EU Citizens” [Znacznie więcej niż rynek – szybkość, bezpieczeństwo, solidarność – wzmocnienie jednolitego rynku w celu zapewnienia zrównoważonej przyszłości i dobrobytu wszystkim obywatelom UE], kwiecień 2024 r., s. 91, 111.</w:t>
      </w:r>
    </w:p>
  </w:footnote>
  <w:footnote w:id="27">
    <w:p w14:paraId="783F02F3" w14:textId="69015A30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 2003/96/WE z 27 października 2003 r. w sprawie restrukturyzacji wspólnotowych przepisów ramowych dotyczących opodatkowania produktów energetycznych i energii elektrycznej (Dz.U. L 283 z 31.10.2003, s. 51, ELI: </w:t>
      </w:r>
      <w:hyperlink r:id="rId13" w:history="1">
        <w:r w:rsidRPr="0075619B">
          <w:rPr>
            <w:rStyle w:val="Hyperlink"/>
            <w:sz w:val="24"/>
            <w:lang w:val="pl-PL"/>
          </w:rPr>
          <w:t>http://data.europa.eu/eli/dir/2003/96/oj</w:t>
        </w:r>
      </w:hyperlink>
      <w:r w:rsidRPr="0075619B">
        <w:rPr>
          <w:sz w:val="24"/>
          <w:lang w:val="pl-PL"/>
        </w:rPr>
        <w:t>).</w:t>
      </w:r>
    </w:p>
  </w:footnote>
  <w:footnote w:id="28">
    <w:p w14:paraId="2461259B" w14:textId="04F8A225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Parlamentu Europejskiego i Rady (UE) 2021/2101 z 24 listopada 2021 r. zmieniająca dyrektywę 2013/34/UE w odniesieniu do ujawniania informacji o podatku dochodowym przez niektóre jednostki i oddziały (Dz.U. L 429 z 1.12.2021, s. 1, ELI: </w:t>
      </w:r>
      <w:hyperlink r:id="rId14" w:history="1">
        <w:r w:rsidRPr="0075619B">
          <w:rPr>
            <w:rStyle w:val="Hyperlink"/>
            <w:sz w:val="24"/>
            <w:lang w:val="pl-PL"/>
          </w:rPr>
          <w:t>http://data.europa.eu/eli/dir/2021/2101/oj</w:t>
        </w:r>
      </w:hyperlink>
      <w:r w:rsidRPr="0075619B">
        <w:rPr>
          <w:sz w:val="24"/>
          <w:lang w:val="pl-PL"/>
        </w:rPr>
        <w:t>).</w:t>
      </w:r>
    </w:p>
  </w:footnote>
  <w:footnote w:id="29">
    <w:p w14:paraId="3DEC7291" w14:textId="7D81E243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 (UE) 2025/516 z 11 marca 2025 r. zmieniająca dyrektywę 2006/112/WE w odniesieniu do przepisów dotyczących VAT w epoce cyfrowej (Dz.U. L, 2025/516, 25.3.2025, ELI: </w:t>
      </w:r>
      <w:hyperlink r:id="rId15" w:history="1">
        <w:r w:rsidRPr="0075619B">
          <w:rPr>
            <w:rStyle w:val="Hyperlink"/>
            <w:sz w:val="24"/>
            <w:lang w:val="pl-PL"/>
          </w:rPr>
          <w:t>http://data.europa.eu/eli/dir/2025/516/oj</w:t>
        </w:r>
      </w:hyperlink>
      <w:r w:rsidRPr="0075619B">
        <w:rPr>
          <w:sz w:val="24"/>
          <w:lang w:val="pl-PL"/>
        </w:rPr>
        <w:t>).</w:t>
      </w:r>
    </w:p>
  </w:footnote>
  <w:footnote w:id="30">
    <w:p w14:paraId="32F3F48D" w14:textId="677DE085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 2008/9/WE z 12 lutego 2008 r. określająca szczegółowe zasady zwrotu podatku od wartości dodanej, przewidzianego w dyrektywie 2006/112/WE, podatnikom niemającym siedziby w państwie członkowskim zwrotu, lecz mającym siedzibę w innym państwie członkowskim (Dz.U. L 44 z 20.2.2008, s. 23, ELI: </w:t>
      </w:r>
      <w:hyperlink r:id="rId16" w:history="1">
        <w:r w:rsidRPr="0075619B">
          <w:rPr>
            <w:rStyle w:val="Hyperlink"/>
            <w:sz w:val="24"/>
            <w:lang w:val="pl-PL"/>
          </w:rPr>
          <w:t>http://data.europa.eu/eli/dir/2008/9/oj</w:t>
        </w:r>
      </w:hyperlink>
      <w:r w:rsidRPr="0075619B">
        <w:rPr>
          <w:sz w:val="24"/>
          <w:lang w:val="pl-PL"/>
        </w:rPr>
        <w:t>).</w:t>
      </w:r>
    </w:p>
  </w:footnote>
  <w:footnote w:id="31">
    <w:p w14:paraId="53F990D3" w14:textId="2972180F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2006/112/WE Rady z 28 listopada 2006 r. w sprawie wspólnego systemu podatku od wartości dodanej (Dz.U. L 347 z 11.12.2006, s. 1, ELI: </w:t>
      </w:r>
      <w:hyperlink r:id="rId17" w:history="1">
        <w:r w:rsidRPr="0075619B">
          <w:rPr>
            <w:rStyle w:val="Hyperlink"/>
            <w:sz w:val="24"/>
            <w:lang w:val="pl-PL"/>
          </w:rPr>
          <w:t>http://data.europa.eu/eli/dir/2006/112/oj</w:t>
        </w:r>
      </w:hyperlink>
      <w:r w:rsidRPr="0075619B">
        <w:rPr>
          <w:sz w:val="24"/>
          <w:lang w:val="pl-PL"/>
        </w:rPr>
        <w:t>).</w:t>
      </w:r>
    </w:p>
  </w:footnote>
  <w:footnote w:id="32">
    <w:p w14:paraId="2835D30F" w14:textId="59E7A8F4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 (UE) 2022/2523 z 14 grudnia 2022 r. w sprawie zapewnienia globalnego minimalnego poziomu opodatkowania międzynarodowych grup przedsiębiorstw oraz dużych grup krajowych w Unii (Dz.U. L 328 z 22.12.2022, s. 1, ELI:  </w:t>
      </w:r>
      <w:hyperlink r:id="rId18" w:history="1">
        <w:r w:rsidRPr="0075619B">
          <w:rPr>
            <w:rStyle w:val="Hyperlink"/>
            <w:sz w:val="24"/>
            <w:lang w:val="pl-PL"/>
          </w:rPr>
          <w:t>http://data.europa.eu/eli/dir/2022/2523/oj</w:t>
        </w:r>
      </w:hyperlink>
      <w:r w:rsidRPr="0075619B">
        <w:rPr>
          <w:sz w:val="24"/>
          <w:lang w:val="pl-PL"/>
        </w:rPr>
        <w:t>).</w:t>
      </w:r>
    </w:p>
  </w:footnote>
  <w:footnote w:id="33">
    <w:p w14:paraId="33EEA936" w14:textId="484F23A1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 (UE) 2025/50 z 10 grudnia 2024 r. w sprawie szybszego i bezpieczniejszego systemu ulg w nadmiernym podatku u źródła (Dz.U. L, 2025/50, 10.1.2025, ELI: </w:t>
      </w:r>
      <w:hyperlink r:id="rId19" w:history="1">
        <w:r w:rsidRPr="0075619B">
          <w:rPr>
            <w:rStyle w:val="Hyperlink"/>
            <w:sz w:val="24"/>
            <w:lang w:val="pl-PL"/>
          </w:rPr>
          <w:t>http://data.europa.eu/eli/dir/2025/50/oj</w:t>
        </w:r>
      </w:hyperlink>
      <w:r w:rsidRPr="0075619B">
        <w:rPr>
          <w:sz w:val="24"/>
          <w:lang w:val="pl-PL"/>
        </w:rPr>
        <w:t>).</w:t>
      </w:r>
    </w:p>
  </w:footnote>
  <w:footnote w:id="34">
    <w:p w14:paraId="65DE5063" w14:textId="46EDDA8C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Rezolucja Parlamentu Europejskiego z 10 marca 2022 r. w sprawie europejskich ram podatku u źródła (Dz.U. C 347 z 9.9.2022, s. 172).</w:t>
      </w:r>
    </w:p>
  </w:footnote>
  <w:footnote w:id="35">
    <w:p w14:paraId="1CBEC2A7" w14:textId="6BCCDC02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Rezolucja Parlamentu Europejskiego z 16 września 2021 r. w sprawie wdrożenia wymogów UE dotyczących wymiany informacji podatkowych: postępy, wyciągnięte wnioski i przeszkody do pokonania (Dz.U. C 117 z 11.3.2022, s. 120).</w:t>
      </w:r>
    </w:p>
  </w:footnote>
  <w:footnote w:id="36">
    <w:p w14:paraId="5D3E4E98" w14:textId="6CF9A692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>Rezolucja Parlamentu Europejskiego z 21 stycznia 2021 r. w sprawie zmian w unijnym wykazie rajów podatkowych (Dz.U. C 456 z 10.11.2021, s. 177).</w:t>
      </w:r>
    </w:p>
  </w:footnote>
  <w:footnote w:id="37">
    <w:p w14:paraId="3A59F376" w14:textId="5A693558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 2011/16/UE z 15 lutego 2011 r. w sprawie współpracy administracyjnej w dziedzinie opodatkowania i uchylająca dyrektywę 77/799/EWG (Dz.U. L 64 z 11.3.2011, s. 1, ELI: </w:t>
      </w:r>
      <w:hyperlink r:id="rId20" w:history="1">
        <w:r w:rsidRPr="0075619B">
          <w:rPr>
            <w:rStyle w:val="Hyperlink"/>
            <w:sz w:val="24"/>
            <w:lang w:val="pl-PL"/>
          </w:rPr>
          <w:t>http://data.europa.eu/eli/dir/2011/16/oj</w:t>
        </w:r>
      </w:hyperlink>
      <w:r w:rsidRPr="0075619B">
        <w:rPr>
          <w:sz w:val="24"/>
          <w:lang w:val="pl-PL"/>
        </w:rPr>
        <w:t>).</w:t>
      </w:r>
    </w:p>
  </w:footnote>
  <w:footnote w:id="38">
    <w:p w14:paraId="27DDD255" w14:textId="08982C00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 (UE) 2016/1164 z 12 lipca 2016 r. ustanawiająca przepisy mające na celu przeciwdziałanie praktykom unikania opodatkowania, które mają bezpośredni wpływ na funkcjonowanie rynku wewnętrznego (Dz.U. L 193 z 19.7.2016, s. 1, ELI: </w:t>
      </w:r>
      <w:hyperlink r:id="rId21" w:history="1">
        <w:r w:rsidRPr="0075619B">
          <w:rPr>
            <w:rStyle w:val="Hyperlink"/>
            <w:sz w:val="24"/>
            <w:lang w:val="pl-PL"/>
          </w:rPr>
          <w:t>http://data.europa.eu/eli/dir/2016/1164/oj</w:t>
        </w:r>
      </w:hyperlink>
      <w:r w:rsidRPr="0075619B">
        <w:rPr>
          <w:sz w:val="24"/>
          <w:lang w:val="pl-PL"/>
        </w:rPr>
        <w:t>).</w:t>
      </w:r>
    </w:p>
  </w:footnote>
  <w:footnote w:id="39">
    <w:p w14:paraId="03DABFE7" w14:textId="3B9E2001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 (UE) 2018/822 z 25 maja 2018 r. zmieniająca dyrektywę 2011/16/UE w zakresie obowiązkowej automatycznej wymiany informacji w dziedzinie opodatkowania w odniesieniu do podlegających zgłoszeniu uzgodnień transgranicznych (Dz.U. L 139 z 5.6.2018, s. 1, ELI: </w:t>
      </w:r>
      <w:hyperlink r:id="rId22" w:history="1">
        <w:r w:rsidRPr="0075619B">
          <w:rPr>
            <w:rStyle w:val="Hyperlink"/>
            <w:sz w:val="24"/>
            <w:lang w:val="pl-PL"/>
          </w:rPr>
          <w:t>http://data.europa.eu/eli/dir/2018/822/oj</w:t>
        </w:r>
      </w:hyperlink>
      <w:r w:rsidRPr="0075619B">
        <w:rPr>
          <w:sz w:val="24"/>
          <w:lang w:val="pl-PL"/>
        </w:rPr>
        <w:t>).</w:t>
      </w:r>
    </w:p>
  </w:footnote>
  <w:footnote w:id="40">
    <w:p w14:paraId="7A00BD28" w14:textId="484FEB2D" w:rsidR="005625AF" w:rsidRPr="0075619B" w:rsidRDefault="005625AF" w:rsidP="0075619B">
      <w:pPr>
        <w:pStyle w:val="FootnoteText"/>
        <w:ind w:left="567" w:hanging="567"/>
        <w:rPr>
          <w:sz w:val="24"/>
          <w:lang w:val="pl-PL"/>
        </w:rPr>
      </w:pPr>
      <w:r w:rsidRPr="0075619B">
        <w:rPr>
          <w:rStyle w:val="FootnoteReference"/>
          <w:sz w:val="24"/>
          <w:lang w:val="pl-PL"/>
        </w:rPr>
        <w:footnoteRef/>
      </w:r>
      <w:r w:rsidR="0075619B" w:rsidRPr="0075619B">
        <w:rPr>
          <w:sz w:val="24"/>
          <w:lang w:val="pl-PL"/>
        </w:rPr>
        <w:t xml:space="preserve"> </w:t>
      </w:r>
      <w:r w:rsidR="0075619B" w:rsidRPr="0075619B">
        <w:rPr>
          <w:sz w:val="24"/>
          <w:lang w:val="pl-PL"/>
        </w:rPr>
        <w:tab/>
      </w:r>
      <w:r w:rsidRPr="0075619B">
        <w:rPr>
          <w:sz w:val="24"/>
          <w:lang w:val="pl-PL"/>
        </w:rPr>
        <w:t xml:space="preserve">Dyrektywa Rady (UE) 2021/514 z 22 marca 2021 r. zmieniająca dyrektywę 2011/16/UE w sprawie współpracy administracyjnej w dziedzinie opodatkowania (Dz.U. L 104 z 25.3.2021, s. 1, ELI:  </w:t>
      </w:r>
      <w:hyperlink r:id="rId23" w:history="1">
        <w:r w:rsidRPr="0075619B">
          <w:rPr>
            <w:rStyle w:val="Hyperlink"/>
            <w:sz w:val="24"/>
            <w:lang w:val="pl-PL"/>
          </w:rPr>
          <w:t>http://data.europa.eu/eli/dir/2021/514/oj</w:t>
        </w:r>
      </w:hyperlink>
      <w:r w:rsidRPr="0075619B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358CF" w14:textId="77777777" w:rsidR="00064002" w:rsidRPr="007561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0AFF" w14:textId="77777777" w:rsidR="00064002" w:rsidRPr="007561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0565" w14:textId="77777777" w:rsidR="00064002" w:rsidRPr="007561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631051">
    <w:abstractNumId w:val="9"/>
  </w:num>
  <w:num w:numId="2" w16cid:durableId="1960182028">
    <w:abstractNumId w:val="9"/>
  </w:num>
  <w:num w:numId="3" w16cid:durableId="109058295">
    <w:abstractNumId w:val="7"/>
  </w:num>
  <w:num w:numId="4" w16cid:durableId="533546153">
    <w:abstractNumId w:val="7"/>
  </w:num>
  <w:num w:numId="5" w16cid:durableId="897474320">
    <w:abstractNumId w:val="6"/>
  </w:num>
  <w:num w:numId="6" w16cid:durableId="360132648">
    <w:abstractNumId w:val="6"/>
  </w:num>
  <w:num w:numId="7" w16cid:durableId="1764108685">
    <w:abstractNumId w:val="5"/>
  </w:num>
  <w:num w:numId="8" w16cid:durableId="1937979000">
    <w:abstractNumId w:val="5"/>
  </w:num>
  <w:num w:numId="9" w16cid:durableId="1956600109">
    <w:abstractNumId w:val="4"/>
  </w:num>
  <w:num w:numId="10" w16cid:durableId="321473598">
    <w:abstractNumId w:val="4"/>
  </w:num>
  <w:num w:numId="11" w16cid:durableId="1001155221">
    <w:abstractNumId w:val="8"/>
  </w:num>
  <w:num w:numId="12" w16cid:durableId="1561406776">
    <w:abstractNumId w:val="8"/>
  </w:num>
  <w:num w:numId="13" w16cid:durableId="684862053">
    <w:abstractNumId w:val="3"/>
  </w:num>
  <w:num w:numId="14" w16cid:durableId="655574793">
    <w:abstractNumId w:val="3"/>
  </w:num>
  <w:num w:numId="15" w16cid:durableId="697971650">
    <w:abstractNumId w:val="2"/>
  </w:num>
  <w:num w:numId="16" w16cid:durableId="264075907">
    <w:abstractNumId w:val="2"/>
  </w:num>
  <w:num w:numId="17" w16cid:durableId="127362136">
    <w:abstractNumId w:val="1"/>
  </w:num>
  <w:num w:numId="18" w16cid:durableId="1979333408">
    <w:abstractNumId w:val="1"/>
  </w:num>
  <w:num w:numId="19" w16cid:durableId="1608274586">
    <w:abstractNumId w:val="0"/>
  </w:num>
  <w:num w:numId="20" w16cid:durableId="985890731">
    <w:abstractNumId w:val="0"/>
  </w:num>
  <w:num w:numId="21" w16cid:durableId="1657802164">
    <w:abstractNumId w:val="9"/>
  </w:num>
  <w:num w:numId="22" w16cid:durableId="653991425">
    <w:abstractNumId w:val="7"/>
  </w:num>
  <w:num w:numId="23" w16cid:durableId="1805729348">
    <w:abstractNumId w:val="6"/>
  </w:num>
  <w:num w:numId="24" w16cid:durableId="993098871">
    <w:abstractNumId w:val="5"/>
  </w:num>
  <w:num w:numId="25" w16cid:durableId="1098988514">
    <w:abstractNumId w:val="4"/>
  </w:num>
  <w:num w:numId="26" w16cid:durableId="1117598399">
    <w:abstractNumId w:val="8"/>
  </w:num>
  <w:num w:numId="27" w16cid:durableId="1736851154">
    <w:abstractNumId w:val="3"/>
  </w:num>
  <w:num w:numId="28" w16cid:durableId="1106196384">
    <w:abstractNumId w:val="2"/>
  </w:num>
  <w:num w:numId="29" w16cid:durableId="463349088">
    <w:abstractNumId w:val="1"/>
  </w:num>
  <w:num w:numId="30" w16cid:durableId="1313414557">
    <w:abstractNumId w:val="0"/>
  </w:num>
  <w:num w:numId="31" w16cid:durableId="1434133070">
    <w:abstractNumId w:val="9"/>
  </w:num>
  <w:num w:numId="32" w16cid:durableId="1566144971">
    <w:abstractNumId w:val="7"/>
  </w:num>
  <w:num w:numId="33" w16cid:durableId="1343779148">
    <w:abstractNumId w:val="6"/>
  </w:num>
  <w:num w:numId="34" w16cid:durableId="775364566">
    <w:abstractNumId w:val="5"/>
  </w:num>
  <w:num w:numId="35" w16cid:durableId="840317974">
    <w:abstractNumId w:val="4"/>
  </w:num>
  <w:num w:numId="36" w16cid:durableId="201020065">
    <w:abstractNumId w:val="8"/>
  </w:num>
  <w:num w:numId="37" w16cid:durableId="1137600780">
    <w:abstractNumId w:val="3"/>
  </w:num>
  <w:num w:numId="38" w16cid:durableId="1714187563">
    <w:abstractNumId w:val="2"/>
  </w:num>
  <w:num w:numId="39" w16cid:durableId="951517401">
    <w:abstractNumId w:val="1"/>
  </w:num>
  <w:num w:numId="40" w16cid:durableId="744835632">
    <w:abstractNumId w:val="0"/>
  </w:num>
  <w:num w:numId="41" w16cid:durableId="446127077">
    <w:abstractNumId w:val="10"/>
  </w:num>
  <w:num w:numId="42" w16cid:durableId="1922836526">
    <w:abstractNumId w:val="10"/>
  </w:num>
  <w:num w:numId="43" w16cid:durableId="1456824479">
    <w:abstractNumId w:val="10"/>
  </w:num>
  <w:num w:numId="44" w16cid:durableId="614937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5/2025"/>
    <w:docVar w:name="dvlangue" w:val="PL"/>
    <w:docVar w:name="dvnumam" w:val="0"/>
    <w:docVar w:name="dvpe" w:val="770.261"/>
    <w:docVar w:name="dvrapporteur" w:val="Sprawozdawca: "/>
    <w:docVar w:name="dvtitre" w:val="Rezolucja Parlamentu Europejskiego z dnia  2025 r. w sprawie znaczenia prostych przepisów podatkowych i fragmentacji w dziedzinie opodatkowania dla konkurencyjności Europy(2024/2118(INI))"/>
  </w:docVars>
  <w:rsids>
    <w:rsidRoot w:val="007729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8D0"/>
    <w:rsid w:val="0025629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5AF"/>
    <w:rsid w:val="005C2568"/>
    <w:rsid w:val="005F1B17"/>
    <w:rsid w:val="006037C0"/>
    <w:rsid w:val="006604EF"/>
    <w:rsid w:val="006631B6"/>
    <w:rsid w:val="00680577"/>
    <w:rsid w:val="006F74FA"/>
    <w:rsid w:val="00731ADD"/>
    <w:rsid w:val="00734777"/>
    <w:rsid w:val="00747932"/>
    <w:rsid w:val="00751A4A"/>
    <w:rsid w:val="0075619B"/>
    <w:rsid w:val="00756632"/>
    <w:rsid w:val="00762C74"/>
    <w:rsid w:val="007729B9"/>
    <w:rsid w:val="00786EC0"/>
    <w:rsid w:val="007D1690"/>
    <w:rsid w:val="007E0C38"/>
    <w:rsid w:val="007E22AD"/>
    <w:rsid w:val="00817416"/>
    <w:rsid w:val="00842779"/>
    <w:rsid w:val="00865F67"/>
    <w:rsid w:val="00881A7B"/>
    <w:rsid w:val="0088250F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0F83"/>
    <w:rsid w:val="00A609CC"/>
    <w:rsid w:val="00A778C7"/>
    <w:rsid w:val="00AB441E"/>
    <w:rsid w:val="00AB6293"/>
    <w:rsid w:val="00AE0928"/>
    <w:rsid w:val="00AE456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1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141F7"/>
  <w15:chartTrackingRefBased/>
  <w15:docId w15:val="{20AAA4ED-5919-465C-836A-D48BCD2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25A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5625AF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5625AF"/>
    <w:rPr>
      <w:b/>
      <w:i/>
      <w:u w:val="none"/>
    </w:rPr>
  </w:style>
  <w:style w:type="character" w:customStyle="1" w:styleId="Italic">
    <w:name w:val="Italic"/>
    <w:uiPriority w:val="1"/>
    <w:rsid w:val="005625AF"/>
    <w:rPr>
      <w:i/>
    </w:rPr>
  </w:style>
  <w:style w:type="paragraph" w:customStyle="1" w:styleId="Normal12a24b">
    <w:name w:val="Normal12a24b"/>
    <w:basedOn w:val="Normal"/>
    <w:rsid w:val="005625A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625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860/637445" TargetMode="External"/><Relationship Id="rId13" Type="http://schemas.openxmlformats.org/officeDocument/2006/relationships/hyperlink" Target="http://data.europa.eu/eli/dir/2003/96/oj" TargetMode="External"/><Relationship Id="rId18" Type="http://schemas.openxmlformats.org/officeDocument/2006/relationships/hyperlink" Target="http://data.europa.eu/eli/dir/2022/2523/oj" TargetMode="External"/><Relationship Id="rId3" Type="http://schemas.openxmlformats.org/officeDocument/2006/relationships/hyperlink" Target="http://data.europa.eu/eli/dir/2022/2523/oj" TargetMode="External"/><Relationship Id="rId21" Type="http://schemas.openxmlformats.org/officeDocument/2006/relationships/hyperlink" Target="http://data.europa.eu/eli/dir/2016/1164/oj" TargetMode="External"/><Relationship Id="rId7" Type="http://schemas.openxmlformats.org/officeDocument/2006/relationships/hyperlink" Target="http://data.europa.eu/eli/C/2024/4165/oj" TargetMode="External"/><Relationship Id="rId12" Type="http://schemas.openxmlformats.org/officeDocument/2006/relationships/hyperlink" Target="https://data.europa.eu/doi/10.2873/180570" TargetMode="External"/><Relationship Id="rId17" Type="http://schemas.openxmlformats.org/officeDocument/2006/relationships/hyperlink" Target="http://data.europa.eu/eli/dir/2006/112/oj" TargetMode="External"/><Relationship Id="rId2" Type="http://schemas.openxmlformats.org/officeDocument/2006/relationships/hyperlink" Target="http://data.europa.eu/eli/dir/2011/96/oj" TargetMode="External"/><Relationship Id="rId16" Type="http://schemas.openxmlformats.org/officeDocument/2006/relationships/hyperlink" Target="http://data.europa.eu/eli/dir/2008/9/oj" TargetMode="External"/><Relationship Id="rId20" Type="http://schemas.openxmlformats.org/officeDocument/2006/relationships/hyperlink" Target="http://data.europa.eu/eli/dir/2011/16/oj" TargetMode="External"/><Relationship Id="rId1" Type="http://schemas.openxmlformats.org/officeDocument/2006/relationships/hyperlink" Target="http://data.europa.eu/eli/dir/2003/49/oj" TargetMode="External"/><Relationship Id="rId6" Type="http://schemas.openxmlformats.org/officeDocument/2006/relationships/hyperlink" Target="http://data.europa.eu/eli/C/2024/492/oj" TargetMode="External"/><Relationship Id="rId11" Type="http://schemas.openxmlformats.org/officeDocument/2006/relationships/hyperlink" Target="https://data.europa.eu/doi/10.2778/10846" TargetMode="External"/><Relationship Id="rId5" Type="http://schemas.openxmlformats.org/officeDocument/2006/relationships/hyperlink" Target="http://data.europa.eu/eli/dir/2025/50/oj" TargetMode="External"/><Relationship Id="rId15" Type="http://schemas.openxmlformats.org/officeDocument/2006/relationships/hyperlink" Target="http://data.europa.eu/eli/dir/2025/516/oj" TargetMode="External"/><Relationship Id="rId23" Type="http://schemas.openxmlformats.org/officeDocument/2006/relationships/hyperlink" Target="http://data.europa.eu/eli/dir/2021/514/oj" TargetMode="External"/><Relationship Id="rId10" Type="http://schemas.openxmlformats.org/officeDocument/2006/relationships/hyperlink" Target="https://ec.europa.eu/commission/presscorner/detail/en/qanda_22_7519" TargetMode="External"/><Relationship Id="rId19" Type="http://schemas.openxmlformats.org/officeDocument/2006/relationships/hyperlink" Target="http://data.europa.eu/eli/dir/2025/50/oj" TargetMode="External"/><Relationship Id="rId4" Type="http://schemas.openxmlformats.org/officeDocument/2006/relationships/hyperlink" Target="https://data.europa.eu/doi/10.2873/180570" TargetMode="External"/><Relationship Id="rId9" Type="http://schemas.openxmlformats.org/officeDocument/2006/relationships/hyperlink" Target="https://data.europa.eu/doi/10.2778/2476549" TargetMode="External"/><Relationship Id="rId14" Type="http://schemas.openxmlformats.org/officeDocument/2006/relationships/hyperlink" Target="http://data.europa.eu/eli/dir/2021/2101/oj" TargetMode="External"/><Relationship Id="rId22" Type="http://schemas.openxmlformats.org/officeDocument/2006/relationships/hyperlink" Target="http://data.europa.eu/eli/dir/2018/8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6734</Words>
  <Characters>46392</Characters>
  <Application>Microsoft Office Word</Application>
  <DocSecurity>4</DocSecurity>
  <Lines>386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GOROPECNIK Tina</cp:lastModifiedBy>
  <cp:revision>2</cp:revision>
  <cp:lastPrinted>2004-11-19T15:42:00Z</cp:lastPrinted>
  <dcterms:created xsi:type="dcterms:W3CDTF">2026-01-22T09:15:00Z</dcterms:created>
  <dcterms:modified xsi:type="dcterms:W3CDTF">2026-01-22T09:15:00Z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A10-0155/2025</vt:lpwstr>
  </property>
  <property fmtid="{D5CDD505-2E9C-101B-9397-08002B2CF9AE}" pid="4" name="&lt;Type&gt;">
    <vt:lpwstr>RR</vt:lpwstr>
  </property>
</Properties>
</file>