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C77A7" w14:paraId="79F64A3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4794E34" w14:textId="77777777" w:rsidR="00751A4A" w:rsidRPr="00CC77A7" w:rsidRDefault="00B961B6" w:rsidP="0010095E">
            <w:pPr>
              <w:pStyle w:val="EPName"/>
            </w:pPr>
            <w:r w:rsidRPr="00CC77A7">
              <w:t>Parlamento Europeu</w:t>
            </w:r>
          </w:p>
          <w:p w14:paraId="5CB9DE41" w14:textId="77777777" w:rsidR="00751A4A" w:rsidRPr="00CC77A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C77A7">
              <w:t>2024</w:t>
            </w:r>
            <w:r w:rsidR="00817416" w:rsidRPr="00CC77A7">
              <w:t>-202</w:t>
            </w:r>
            <w:r w:rsidRPr="00CC77A7">
              <w:t>9</w:t>
            </w:r>
          </w:p>
        </w:tc>
        <w:tc>
          <w:tcPr>
            <w:tcW w:w="2268" w:type="dxa"/>
            <w:shd w:val="clear" w:color="auto" w:fill="auto"/>
          </w:tcPr>
          <w:p w14:paraId="61905ABF" w14:textId="77777777" w:rsidR="00751A4A" w:rsidRPr="00CC77A7" w:rsidRDefault="00187494" w:rsidP="0010095E">
            <w:pPr>
              <w:pStyle w:val="EPLogo"/>
            </w:pPr>
            <w:r w:rsidRPr="00CC77A7">
              <w:rPr>
                <w:noProof/>
                <w:lang w:eastAsia="ja-JP"/>
              </w:rPr>
              <w:drawing>
                <wp:inline distT="0" distB="0" distL="0" distR="0" wp14:anchorId="14FC04B3" wp14:editId="234D003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8B2C33" w14:textId="77777777" w:rsidR="00D058B8" w:rsidRPr="00CC77A7" w:rsidRDefault="00D058B8" w:rsidP="004C5D52">
      <w:pPr>
        <w:pStyle w:val="LineTop"/>
      </w:pPr>
    </w:p>
    <w:p w14:paraId="0E2B8E27" w14:textId="77777777" w:rsidR="00680577" w:rsidRPr="00CC77A7" w:rsidRDefault="00B961B6" w:rsidP="00680577">
      <w:pPr>
        <w:pStyle w:val="EPBodyTA1"/>
      </w:pPr>
      <w:r w:rsidRPr="00CC77A7">
        <w:t>TEXTOS APROVADOS</w:t>
      </w:r>
    </w:p>
    <w:p w14:paraId="37F917C1" w14:textId="77777777" w:rsidR="00D058B8" w:rsidRPr="00CC77A7" w:rsidRDefault="00D058B8" w:rsidP="00D058B8">
      <w:pPr>
        <w:pStyle w:val="LineBottom"/>
      </w:pPr>
    </w:p>
    <w:p w14:paraId="6A1119AF" w14:textId="2AE99D7D" w:rsidR="00B961B6" w:rsidRPr="00CC77A7" w:rsidRDefault="00B961B6" w:rsidP="00B961B6">
      <w:pPr>
        <w:pStyle w:val="ATHeading1"/>
      </w:pPr>
      <w:bookmarkStart w:id="0" w:name="TANumber"/>
      <w:r w:rsidRPr="00CC77A7">
        <w:t>P10_TA(2025)</w:t>
      </w:r>
      <w:bookmarkEnd w:id="0"/>
      <w:r w:rsidR="00CC77A7" w:rsidRPr="00CC77A7">
        <w:t>0227</w:t>
      </w:r>
    </w:p>
    <w:p w14:paraId="2D132EDC" w14:textId="77777777" w:rsidR="00B961B6" w:rsidRPr="00CC77A7" w:rsidRDefault="00B961B6" w:rsidP="00B961B6">
      <w:pPr>
        <w:pStyle w:val="ATHeading2"/>
      </w:pPr>
      <w:bookmarkStart w:id="1" w:name="title"/>
      <w:r w:rsidRPr="00CC77A7">
        <w:t>O papel da simplicidade das regras fiscais e da fragmentação fiscal na competitividade europeia</w:t>
      </w:r>
      <w:bookmarkEnd w:id="1"/>
    </w:p>
    <w:p w14:paraId="53F9710F" w14:textId="77777777" w:rsidR="00B961B6" w:rsidRPr="00CC77A7" w:rsidRDefault="00B961B6" w:rsidP="00B961B6">
      <w:pPr>
        <w:rPr>
          <w:i/>
          <w:vanish/>
        </w:rPr>
      </w:pPr>
      <w:r w:rsidRPr="00CC77A7">
        <w:rPr>
          <w:i/>
        </w:rPr>
        <w:fldChar w:fldCharType="begin"/>
      </w:r>
      <w:r w:rsidRPr="00CC77A7">
        <w:rPr>
          <w:i/>
        </w:rPr>
        <w:instrText xml:space="preserve"> TC"(</w:instrText>
      </w:r>
      <w:bookmarkStart w:id="2" w:name="DocNumber"/>
      <w:r w:rsidRPr="00CC77A7">
        <w:rPr>
          <w:i/>
        </w:rPr>
        <w:instrText>A10-0155/2025</w:instrText>
      </w:r>
      <w:bookmarkEnd w:id="2"/>
      <w:r w:rsidRPr="00CC77A7">
        <w:rPr>
          <w:i/>
        </w:rPr>
        <w:instrText xml:space="preserve"> - Relator: Michalis Hadjipantela)"\l3 \n&gt; \* MERGEFORMAT </w:instrText>
      </w:r>
      <w:r w:rsidRPr="00CC77A7">
        <w:rPr>
          <w:i/>
        </w:rPr>
        <w:fldChar w:fldCharType="end"/>
      </w:r>
    </w:p>
    <w:p w14:paraId="23731CB3" w14:textId="77777777" w:rsidR="00B961B6" w:rsidRPr="00CC77A7" w:rsidRDefault="00B961B6" w:rsidP="00B961B6">
      <w:pPr>
        <w:rPr>
          <w:vanish/>
        </w:rPr>
      </w:pPr>
      <w:bookmarkStart w:id="3" w:name="Commission"/>
      <w:r w:rsidRPr="00CC77A7">
        <w:rPr>
          <w:vanish/>
        </w:rPr>
        <w:t>Comissão dos Assuntos Económicos e Monetários</w:t>
      </w:r>
      <w:bookmarkEnd w:id="3"/>
    </w:p>
    <w:p w14:paraId="1220C71D" w14:textId="77777777" w:rsidR="00B961B6" w:rsidRPr="00CC77A7" w:rsidRDefault="00B961B6" w:rsidP="00B961B6">
      <w:pPr>
        <w:rPr>
          <w:vanish/>
        </w:rPr>
      </w:pPr>
      <w:bookmarkStart w:id="4" w:name="PE"/>
      <w:r w:rsidRPr="00CC77A7">
        <w:rPr>
          <w:vanish/>
        </w:rPr>
        <w:t>PE770.261</w:t>
      </w:r>
      <w:bookmarkEnd w:id="4"/>
    </w:p>
    <w:p w14:paraId="5E2CB117" w14:textId="6ECCEAEB" w:rsidR="00B961B6" w:rsidRPr="00CC77A7" w:rsidRDefault="00B961B6" w:rsidP="00B961B6">
      <w:pPr>
        <w:pStyle w:val="ATHeading3"/>
      </w:pPr>
      <w:bookmarkStart w:id="5" w:name="Sujet"/>
      <w:r w:rsidRPr="00CC77A7">
        <w:t xml:space="preserve">Resolução do Parlamento Europeu, de </w:t>
      </w:r>
      <w:r w:rsidR="003A3ECB" w:rsidRPr="00CC77A7">
        <w:t xml:space="preserve">9 </w:t>
      </w:r>
      <w:r w:rsidRPr="00CC77A7">
        <w:t xml:space="preserve">de </w:t>
      </w:r>
      <w:r w:rsidR="003A3ECB" w:rsidRPr="00CC77A7">
        <w:t xml:space="preserve">outubro </w:t>
      </w:r>
      <w:r w:rsidRPr="00CC77A7">
        <w:t>de 2025, sobre o papel da simplicidade das regras fiscais e da fragmentação fiscal na competitividade europeia</w:t>
      </w:r>
      <w:bookmarkEnd w:id="5"/>
      <w:r w:rsidRPr="00CC77A7">
        <w:t xml:space="preserve"> </w:t>
      </w:r>
      <w:bookmarkStart w:id="6" w:name="References"/>
      <w:r w:rsidRPr="00CC77A7">
        <w:t>(2024/2118(INI))</w:t>
      </w:r>
      <w:bookmarkEnd w:id="6"/>
    </w:p>
    <w:p w14:paraId="43EB8345" w14:textId="77777777" w:rsidR="00FA7CC6" w:rsidRPr="00CC77A7" w:rsidRDefault="00FA7CC6" w:rsidP="00FA7CC6">
      <w:pPr>
        <w:pStyle w:val="EPComma"/>
      </w:pPr>
      <w:r w:rsidRPr="00CC77A7">
        <w:rPr>
          <w:rStyle w:val="Italic"/>
        </w:rPr>
        <w:t>O Parlamento Europeu</w:t>
      </w:r>
      <w:r w:rsidRPr="00CC77A7">
        <w:t>,</w:t>
      </w:r>
    </w:p>
    <w:p w14:paraId="3D17C476" w14:textId="77777777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>Tendo em conta o Tratado sobre o Funcionamento da União Europeia, nomeadamente o artigo 4.º e os artigos 63.º a 66.º relativos aos princípios do mercado interno, da livre circulação de mercadorias, de serviços, de capitais e de pessoas, bem como os artigos 113.º, 114.º e 115.º,</w:t>
      </w:r>
    </w:p>
    <w:p w14:paraId="53D8A6E7" w14:textId="77777777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>Tendo em conta a Diretiva 2003/49/CE do Conselho, de 3 de junho de 2003, relativa a um regime fiscal comum aplicável aos pagamentos de juros e royalties efetuados entre sociedades associadas de Estados</w:t>
      </w:r>
      <w:r w:rsidRPr="00CC77A7">
        <w:noBreakHyphen/>
        <w:t>Membros diferentes</w:t>
      </w:r>
      <w:r w:rsidRPr="00CC77A7">
        <w:rPr>
          <w:rStyle w:val="FootnoteReference"/>
        </w:rPr>
        <w:footnoteReference w:id="1"/>
      </w:r>
      <w:r w:rsidRPr="00CC77A7">
        <w:t xml:space="preserve"> (Diretiva Juros e Royalties),</w:t>
      </w:r>
    </w:p>
    <w:p w14:paraId="3987C30F" w14:textId="77777777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>Tendo em conta a Diretiva 2011/96/UE do Conselho, de 30 de novembro de 2011, relativa ao regime fiscal comum aplicável às sociedades</w:t>
      </w:r>
      <w:r w:rsidRPr="00CC77A7">
        <w:noBreakHyphen/>
        <w:t>mães e sociedades afiliadas de Estados</w:t>
      </w:r>
      <w:r w:rsidRPr="00CC77A7">
        <w:noBreakHyphen/>
        <w:t>Membros diferentes</w:t>
      </w:r>
      <w:r w:rsidRPr="00CC77A7">
        <w:rPr>
          <w:rStyle w:val="FootnoteReference"/>
        </w:rPr>
        <w:footnoteReference w:id="2"/>
      </w:r>
      <w:r w:rsidRPr="00CC77A7">
        <w:t xml:space="preserve"> (Diretiva Sociedades</w:t>
      </w:r>
      <w:r w:rsidRPr="00CC77A7">
        <w:noBreakHyphen/>
        <w:t>mãe e Filiais),</w:t>
      </w:r>
    </w:p>
    <w:p w14:paraId="2852F9CE" w14:textId="77777777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>Tendo em conta a Diretiva (UE) 2022/2523 do Conselho, de 14 de dezembro de 2022, relativa à garantia de um nível mínimo mundial de tributação [de 15 %] para os grupos de empresas multinacionais e grandes grupos nacionais na União</w:t>
      </w:r>
      <w:r w:rsidRPr="00CC77A7">
        <w:rPr>
          <w:rStyle w:val="FootnoteReference"/>
        </w:rPr>
        <w:footnoteReference w:id="3"/>
      </w:r>
      <w:r w:rsidRPr="00CC77A7">
        <w:t>, que constitui a resposta da UE à coordenação fiscal internacional,</w:t>
      </w:r>
    </w:p>
    <w:p w14:paraId="12462822" w14:textId="77777777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>Tendo em conta a evolução da situação no que diz respeito à solução de dois pilares da UE que visa dar resposta aos desafios fiscais decorrentes da digitalização da economia,</w:t>
      </w:r>
    </w:p>
    <w:p w14:paraId="287E6117" w14:textId="77777777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>Tendo em conta os relatórios finais, de outubro de 2015, publicados pela Organização de Cooperação e de Desenvolvimento Económicos (OCDE) sobre o projeto da OCDE/G20 relativo à erosão da base tributável e transferência de lucros (BEPS),</w:t>
      </w:r>
    </w:p>
    <w:p w14:paraId="135F86CD" w14:textId="77777777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>Tendo em conta os relatórios sobre os planos preparatórios («</w:t>
      </w:r>
      <w:proofErr w:type="spellStart"/>
      <w:r w:rsidRPr="00CC77A7">
        <w:t>Blueprints</w:t>
      </w:r>
      <w:proofErr w:type="spellEnd"/>
      <w:r w:rsidRPr="00CC77A7">
        <w:t xml:space="preserve">») relativos ao «Pilar Um» e ao «Pilar Dois», adotados, em 14 de outubro de 2020, pelo Quadro </w:t>
      </w:r>
      <w:r w:rsidRPr="00CC77A7">
        <w:lastRenderedPageBreak/>
        <w:t>Inclusivo da OCDE/G20, bem como os resultados da análise económica e da avaliação de impacto da OCDE, de 12 de outubro de 2020, intitulada «</w:t>
      </w:r>
      <w:proofErr w:type="spellStart"/>
      <w:r w:rsidRPr="00CC77A7">
        <w:t>Tax</w:t>
      </w:r>
      <w:proofErr w:type="spellEnd"/>
      <w:r w:rsidRPr="00CC77A7">
        <w:t xml:space="preserve"> </w:t>
      </w:r>
      <w:proofErr w:type="spellStart"/>
      <w:r w:rsidRPr="00CC77A7">
        <w:t>Challenges</w:t>
      </w:r>
      <w:proofErr w:type="spellEnd"/>
      <w:r w:rsidRPr="00CC77A7">
        <w:t xml:space="preserve"> </w:t>
      </w:r>
      <w:proofErr w:type="spellStart"/>
      <w:r w:rsidRPr="00CC77A7">
        <w:t>Arising</w:t>
      </w:r>
      <w:proofErr w:type="spellEnd"/>
      <w:r w:rsidRPr="00CC77A7">
        <w:t xml:space="preserve"> </w:t>
      </w:r>
      <w:proofErr w:type="spellStart"/>
      <w:r w:rsidRPr="00CC77A7">
        <w:t>from</w:t>
      </w:r>
      <w:proofErr w:type="spellEnd"/>
      <w:r w:rsidRPr="00CC77A7">
        <w:t xml:space="preserve"> </w:t>
      </w:r>
      <w:proofErr w:type="spellStart"/>
      <w:r w:rsidRPr="00CC77A7">
        <w:t>Digitalisation</w:t>
      </w:r>
      <w:proofErr w:type="spellEnd"/>
      <w:r w:rsidRPr="00CC77A7">
        <w:t xml:space="preserve"> — </w:t>
      </w:r>
      <w:proofErr w:type="spellStart"/>
      <w:r w:rsidRPr="00CC77A7">
        <w:t>Economic</w:t>
      </w:r>
      <w:proofErr w:type="spellEnd"/>
      <w:r w:rsidRPr="00CC77A7">
        <w:t xml:space="preserve"> </w:t>
      </w:r>
      <w:proofErr w:type="spellStart"/>
      <w:r w:rsidRPr="00CC77A7">
        <w:t>Impact</w:t>
      </w:r>
      <w:proofErr w:type="spellEnd"/>
      <w:r w:rsidRPr="00CC77A7">
        <w:t xml:space="preserve"> </w:t>
      </w:r>
      <w:proofErr w:type="spellStart"/>
      <w:r w:rsidRPr="00CC77A7">
        <w:t>Assessment</w:t>
      </w:r>
      <w:proofErr w:type="spellEnd"/>
      <w:r w:rsidRPr="00CC77A7">
        <w:t>» [Desafios fiscais decorrentes da digitalização — Avaliação do impacto económico],</w:t>
      </w:r>
    </w:p>
    <w:p w14:paraId="52C318F9" w14:textId="77777777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 xml:space="preserve">Tendo em conta a declaração do Quadro Inclusivo da OCDE/G20 sobre a BEPS, de 8 de outubro de 2021, sobre «a </w:t>
      </w:r>
      <w:proofErr w:type="spellStart"/>
      <w:r w:rsidRPr="00CC77A7">
        <w:t>Two</w:t>
      </w:r>
      <w:r w:rsidRPr="00CC77A7">
        <w:noBreakHyphen/>
        <w:t>Pillar</w:t>
      </w:r>
      <w:proofErr w:type="spellEnd"/>
      <w:r w:rsidRPr="00CC77A7">
        <w:t xml:space="preserve"> </w:t>
      </w:r>
      <w:proofErr w:type="spellStart"/>
      <w:r w:rsidRPr="00CC77A7">
        <w:t>Solution</w:t>
      </w:r>
      <w:proofErr w:type="spellEnd"/>
      <w:r w:rsidRPr="00CC77A7">
        <w:t xml:space="preserve"> to </w:t>
      </w:r>
      <w:proofErr w:type="spellStart"/>
      <w:r w:rsidRPr="00CC77A7">
        <w:t>Address</w:t>
      </w:r>
      <w:proofErr w:type="spellEnd"/>
      <w:r w:rsidRPr="00CC77A7">
        <w:t xml:space="preserve"> </w:t>
      </w:r>
      <w:proofErr w:type="spellStart"/>
      <w:r w:rsidRPr="00CC77A7">
        <w:t>the</w:t>
      </w:r>
      <w:proofErr w:type="spellEnd"/>
      <w:r w:rsidRPr="00CC77A7">
        <w:t xml:space="preserve"> </w:t>
      </w:r>
      <w:proofErr w:type="spellStart"/>
      <w:r w:rsidRPr="00CC77A7">
        <w:t>Tax</w:t>
      </w:r>
      <w:proofErr w:type="spellEnd"/>
      <w:r w:rsidRPr="00CC77A7">
        <w:t xml:space="preserve"> </w:t>
      </w:r>
      <w:proofErr w:type="spellStart"/>
      <w:r w:rsidRPr="00CC77A7">
        <w:t>Challenges</w:t>
      </w:r>
      <w:proofErr w:type="spellEnd"/>
      <w:r w:rsidRPr="00CC77A7">
        <w:t xml:space="preserve"> </w:t>
      </w:r>
      <w:proofErr w:type="spellStart"/>
      <w:r w:rsidRPr="00CC77A7">
        <w:t>Arising</w:t>
      </w:r>
      <w:proofErr w:type="spellEnd"/>
      <w:r w:rsidRPr="00CC77A7">
        <w:t xml:space="preserve"> </w:t>
      </w:r>
      <w:proofErr w:type="spellStart"/>
      <w:r w:rsidRPr="00CC77A7">
        <w:t>from</w:t>
      </w:r>
      <w:proofErr w:type="spellEnd"/>
      <w:r w:rsidRPr="00CC77A7">
        <w:t xml:space="preserve"> </w:t>
      </w:r>
      <w:proofErr w:type="spellStart"/>
      <w:r w:rsidRPr="00CC77A7">
        <w:t>the</w:t>
      </w:r>
      <w:proofErr w:type="spellEnd"/>
      <w:r w:rsidRPr="00CC77A7">
        <w:t xml:space="preserve"> </w:t>
      </w:r>
      <w:proofErr w:type="spellStart"/>
      <w:r w:rsidRPr="00CC77A7">
        <w:t>Digitalisation</w:t>
      </w:r>
      <w:proofErr w:type="spellEnd"/>
      <w:r w:rsidRPr="00CC77A7">
        <w:t xml:space="preserve"> </w:t>
      </w:r>
      <w:proofErr w:type="spellStart"/>
      <w:r w:rsidRPr="00CC77A7">
        <w:t>of</w:t>
      </w:r>
      <w:proofErr w:type="spellEnd"/>
      <w:r w:rsidRPr="00CC77A7">
        <w:t xml:space="preserve"> </w:t>
      </w:r>
      <w:proofErr w:type="spellStart"/>
      <w:r w:rsidRPr="00CC77A7">
        <w:t>the</w:t>
      </w:r>
      <w:proofErr w:type="spellEnd"/>
      <w:r w:rsidRPr="00CC77A7">
        <w:t xml:space="preserve"> </w:t>
      </w:r>
      <w:proofErr w:type="spellStart"/>
      <w:r w:rsidRPr="00CC77A7">
        <w:t>Economy</w:t>
      </w:r>
      <w:proofErr w:type="spellEnd"/>
      <w:r w:rsidRPr="00CC77A7">
        <w:t>» [Uma solução de dois pilares para enfrentar os desafios fiscais decorrentes da digitalização da economia],</w:t>
      </w:r>
    </w:p>
    <w:p w14:paraId="21A1F2A2" w14:textId="77777777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>Tendo em conta as regras</w:t>
      </w:r>
      <w:r w:rsidRPr="00CC77A7">
        <w:noBreakHyphen/>
        <w:t>modelo do Pilar Dois, adotadas em 20 de dezembro de 2021 pelo Quadro Inclusivo da OCDE/G20 sobre a BEPS, relativas à aplicação, a nível nacional, de um nível mínimo mundial de tributação de 15 %,</w:t>
      </w:r>
    </w:p>
    <w:p w14:paraId="5CE5F316" w14:textId="77777777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>Tendo em conta a Lei Pública 117</w:t>
      </w:r>
      <w:r w:rsidRPr="00CC77A7">
        <w:noBreakHyphen/>
        <w:t>169 dos Estados Unidos, de 16 de agosto de 2022, conhecida por «</w:t>
      </w:r>
      <w:proofErr w:type="spellStart"/>
      <w:r w:rsidRPr="00CC77A7">
        <w:t>Inflation</w:t>
      </w:r>
      <w:proofErr w:type="spellEnd"/>
      <w:r w:rsidRPr="00CC77A7">
        <w:t xml:space="preserve"> </w:t>
      </w:r>
      <w:proofErr w:type="spellStart"/>
      <w:r w:rsidRPr="00CC77A7">
        <w:t>Reduction</w:t>
      </w:r>
      <w:proofErr w:type="spellEnd"/>
      <w:r w:rsidRPr="00CC77A7">
        <w:t xml:space="preserve"> </w:t>
      </w:r>
      <w:proofErr w:type="spellStart"/>
      <w:r w:rsidRPr="00CC77A7">
        <w:t>Act</w:t>
      </w:r>
      <w:proofErr w:type="spellEnd"/>
      <w:r w:rsidRPr="00CC77A7">
        <w:t>» [Lei sobre a redução da inflação],</w:t>
      </w:r>
    </w:p>
    <w:p w14:paraId="7CAB82B5" w14:textId="77777777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>Tendo em conta a Declaração dos dirigentes do G20 emitida no Rio de Janeiro, em 19 de novembro de 2024, e a Declaração Ministerial do G20 do Rio de Janeiro sobre Cooperação Internacional em matéria Fiscal, de 25 de julho de 2024,</w:t>
      </w:r>
    </w:p>
    <w:p w14:paraId="5AC25349" w14:textId="77777777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>Tendo em conta a Resolução 79/235 da Assembleia Geral das Nações Unidas, de 24 de dezembro de 2024, intitulada «</w:t>
      </w:r>
      <w:proofErr w:type="spellStart"/>
      <w:r w:rsidRPr="00CC77A7">
        <w:t>Promotion</w:t>
      </w:r>
      <w:proofErr w:type="spellEnd"/>
      <w:r w:rsidRPr="00CC77A7">
        <w:t xml:space="preserve"> </w:t>
      </w:r>
      <w:proofErr w:type="spellStart"/>
      <w:r w:rsidRPr="00CC77A7">
        <w:t>of</w:t>
      </w:r>
      <w:proofErr w:type="spellEnd"/>
      <w:r w:rsidRPr="00CC77A7">
        <w:t xml:space="preserve"> inclusive </w:t>
      </w:r>
      <w:proofErr w:type="spellStart"/>
      <w:r w:rsidRPr="00CC77A7">
        <w:t>and</w:t>
      </w:r>
      <w:proofErr w:type="spellEnd"/>
      <w:r w:rsidRPr="00CC77A7">
        <w:t xml:space="preserve"> </w:t>
      </w:r>
      <w:proofErr w:type="spellStart"/>
      <w:r w:rsidRPr="00CC77A7">
        <w:t>effective</w:t>
      </w:r>
      <w:proofErr w:type="spellEnd"/>
      <w:r w:rsidRPr="00CC77A7">
        <w:t xml:space="preserve"> </w:t>
      </w:r>
      <w:proofErr w:type="spellStart"/>
      <w:r w:rsidRPr="00CC77A7">
        <w:t>international</w:t>
      </w:r>
      <w:proofErr w:type="spellEnd"/>
      <w:r w:rsidRPr="00CC77A7">
        <w:t xml:space="preserve"> </w:t>
      </w:r>
      <w:proofErr w:type="spellStart"/>
      <w:r w:rsidRPr="00CC77A7">
        <w:t>tax</w:t>
      </w:r>
      <w:proofErr w:type="spellEnd"/>
      <w:r w:rsidRPr="00CC77A7">
        <w:t xml:space="preserve"> </w:t>
      </w:r>
      <w:proofErr w:type="spellStart"/>
      <w:r w:rsidRPr="00CC77A7">
        <w:t>cooperation</w:t>
      </w:r>
      <w:proofErr w:type="spellEnd"/>
      <w:r w:rsidRPr="00CC77A7">
        <w:t xml:space="preserve"> </w:t>
      </w:r>
      <w:proofErr w:type="spellStart"/>
      <w:r w:rsidRPr="00CC77A7">
        <w:t>at</w:t>
      </w:r>
      <w:proofErr w:type="spellEnd"/>
      <w:r w:rsidRPr="00CC77A7">
        <w:t xml:space="preserve"> </w:t>
      </w:r>
      <w:proofErr w:type="spellStart"/>
      <w:r w:rsidRPr="00CC77A7">
        <w:t>the</w:t>
      </w:r>
      <w:proofErr w:type="spellEnd"/>
      <w:r w:rsidRPr="00CC77A7">
        <w:t xml:space="preserve"> United </w:t>
      </w:r>
      <w:proofErr w:type="spellStart"/>
      <w:r w:rsidRPr="00CC77A7">
        <w:t>Nations</w:t>
      </w:r>
      <w:proofErr w:type="spellEnd"/>
      <w:r w:rsidRPr="00CC77A7">
        <w:t>» [Promoção de uma cooperação fiscal internacional inclusiva e eficaz nas Nações Unidas],</w:t>
      </w:r>
    </w:p>
    <w:p w14:paraId="6C020955" w14:textId="6C0C2998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>Tendo em conta a Comunicação da Comissão, de 15 de julho de 2020, intitulada «Plano de ação para uma tributação justa e simples que apoie a estratégia de recuperação» (</w:t>
      </w:r>
      <w:r w:rsidR="003628C7" w:rsidRPr="00CC77A7">
        <w:t>COM(2020)0312</w:t>
      </w:r>
      <w:r w:rsidRPr="00CC77A7">
        <w:t>),</w:t>
      </w:r>
    </w:p>
    <w:p w14:paraId="252CFEB6" w14:textId="29A496C5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>Tendo em conta a Comunicação da Comissão, de 18 de maio de 2021, intitulada «Uma tributação das empresas para o século XXI» (</w:t>
      </w:r>
      <w:r w:rsidR="003628C7" w:rsidRPr="00CC77A7">
        <w:t>COM(2021)0251</w:t>
      </w:r>
      <w:r w:rsidRPr="00CC77A7">
        <w:t>),</w:t>
      </w:r>
    </w:p>
    <w:p w14:paraId="4A345745" w14:textId="2A38C26F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>Tendo em conta a proposta da Comissão, de 22 de dezembro de 2021, de diretiva do Conselho relativa à fixação de um nível mínimo mundial de tributação para os grupos multinacionais na União (</w:t>
      </w:r>
      <w:r w:rsidR="003628C7" w:rsidRPr="00CC77A7">
        <w:t>COM(2021)0823</w:t>
      </w:r>
      <w:r w:rsidRPr="00CC77A7">
        <w:t>), bem como a posição do Parlamento, de 19 de maio de 2022, sobre esta proposta</w:t>
      </w:r>
      <w:r w:rsidRPr="00CC77A7">
        <w:rPr>
          <w:rStyle w:val="FootnoteReference"/>
        </w:rPr>
        <w:footnoteReference w:id="4"/>
      </w:r>
      <w:r w:rsidRPr="00CC77A7">
        <w:t>,</w:t>
      </w:r>
    </w:p>
    <w:p w14:paraId="5504D306" w14:textId="77777777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>Tendo em conta o estudo da Comissão, de janeiro de 2022, intitulado «</w:t>
      </w:r>
      <w:proofErr w:type="spellStart"/>
      <w:r w:rsidRPr="00CC77A7">
        <w:t>Tax</w:t>
      </w:r>
      <w:proofErr w:type="spellEnd"/>
      <w:r w:rsidRPr="00CC77A7">
        <w:t xml:space="preserve"> </w:t>
      </w:r>
      <w:proofErr w:type="spellStart"/>
      <w:r w:rsidRPr="00CC77A7">
        <w:t>compliance</w:t>
      </w:r>
      <w:proofErr w:type="spellEnd"/>
      <w:r w:rsidRPr="00CC77A7">
        <w:t xml:space="preserve"> </w:t>
      </w:r>
      <w:proofErr w:type="spellStart"/>
      <w:r w:rsidRPr="00CC77A7">
        <w:t>costs</w:t>
      </w:r>
      <w:proofErr w:type="spellEnd"/>
      <w:r w:rsidRPr="00CC77A7">
        <w:t xml:space="preserve"> for </w:t>
      </w:r>
      <w:proofErr w:type="spellStart"/>
      <w:r w:rsidRPr="00CC77A7">
        <w:t>SMEs</w:t>
      </w:r>
      <w:proofErr w:type="spellEnd"/>
      <w:r w:rsidRPr="00CC77A7">
        <w:t xml:space="preserve">: </w:t>
      </w:r>
      <w:proofErr w:type="spellStart"/>
      <w:r w:rsidRPr="00CC77A7">
        <w:t>An</w:t>
      </w:r>
      <w:proofErr w:type="spellEnd"/>
      <w:r w:rsidRPr="00CC77A7">
        <w:t xml:space="preserve"> </w:t>
      </w:r>
      <w:proofErr w:type="spellStart"/>
      <w:r w:rsidRPr="00CC77A7">
        <w:t>update</w:t>
      </w:r>
      <w:proofErr w:type="spellEnd"/>
      <w:r w:rsidRPr="00CC77A7">
        <w:t xml:space="preserve"> </w:t>
      </w:r>
      <w:proofErr w:type="spellStart"/>
      <w:r w:rsidRPr="00CC77A7">
        <w:t>and</w:t>
      </w:r>
      <w:proofErr w:type="spellEnd"/>
      <w:r w:rsidRPr="00CC77A7">
        <w:t xml:space="preserve"> a </w:t>
      </w:r>
      <w:proofErr w:type="spellStart"/>
      <w:r w:rsidRPr="00CC77A7">
        <w:t>complement</w:t>
      </w:r>
      <w:proofErr w:type="spellEnd"/>
      <w:r w:rsidRPr="00CC77A7">
        <w:t xml:space="preserve"> — final </w:t>
      </w:r>
      <w:proofErr w:type="spellStart"/>
      <w:r w:rsidRPr="00CC77A7">
        <w:t>report</w:t>
      </w:r>
      <w:proofErr w:type="spellEnd"/>
      <w:r w:rsidRPr="00CC77A7">
        <w:t>» [Custos de conformidade fiscal para as PME: atualização e complemento — relatório final]</w:t>
      </w:r>
      <w:r w:rsidRPr="00CC77A7">
        <w:rPr>
          <w:rStyle w:val="FootnoteReference"/>
        </w:rPr>
        <w:footnoteReference w:id="5"/>
      </w:r>
      <w:r w:rsidRPr="00CC77A7">
        <w:t>,</w:t>
      </w:r>
    </w:p>
    <w:p w14:paraId="352068AB" w14:textId="5E87DF02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 xml:space="preserve">Tendo em conta a proposta da Comissão, de 11 de maio de 2022, de diretiva do Conselho que estabelece regras relativas a uma dedução para reduzir a distorção </w:t>
      </w:r>
      <w:r w:rsidRPr="00CC77A7">
        <w:lastRenderedPageBreak/>
        <w:t>dívida</w:t>
      </w:r>
      <w:r w:rsidRPr="00CC77A7">
        <w:noBreakHyphen/>
        <w:t>capitais próprios e à limitação da dedutibilidade dos juros para efeitos do imposto sobre o rendimento das sociedades (</w:t>
      </w:r>
      <w:r w:rsidR="003628C7" w:rsidRPr="00CC77A7">
        <w:t>COM(2022)0216</w:t>
      </w:r>
      <w:r w:rsidRPr="00CC77A7">
        <w:t>),</w:t>
      </w:r>
    </w:p>
    <w:p w14:paraId="375C39A5" w14:textId="1D8342E5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>Tendo em conta a proposta da Comissão, de 8 de dezembro de 2022, que altera a Diretiva 2006/112/CE no que diz respeito às regras do IVA para a era digital (</w:t>
      </w:r>
      <w:r w:rsidR="003628C7" w:rsidRPr="00CC77A7">
        <w:t>COM(2022)0701</w:t>
      </w:r>
      <w:r w:rsidRPr="00CC77A7">
        <w:t>),</w:t>
      </w:r>
    </w:p>
    <w:p w14:paraId="681C3A64" w14:textId="4FAA05A3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>Tendo em conta a proposta da Comissão, de 8 de dezembro de 2022, de regulamento do Conselho que altera o Regulamento (UE) n.º 904/2010 no que diz respeito às modalidades de cooperação administrativa no domínio do IVA necessárias para a era digital (</w:t>
      </w:r>
      <w:r w:rsidR="003628C7" w:rsidRPr="00CC77A7">
        <w:t>COM(2022)0703</w:t>
      </w:r>
      <w:r w:rsidRPr="00CC77A7">
        <w:t>),</w:t>
      </w:r>
    </w:p>
    <w:p w14:paraId="1DF90B29" w14:textId="07C8ECDF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>Tendo em conta a proposta da Comissão, de 8 de julho de 2024, de diretiva do Conselho que altera a Diretiva 2006/112/CE no que respeita ao certificado de isenção eletrónico do imposto sobre o valor acrescentado (</w:t>
      </w:r>
      <w:r w:rsidR="003628C7" w:rsidRPr="00CC77A7">
        <w:t>COM(2024)0278</w:t>
      </w:r>
      <w:r w:rsidRPr="00CC77A7">
        <w:t>),</w:t>
      </w:r>
    </w:p>
    <w:p w14:paraId="762DEEE5" w14:textId="77777777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>Tendo em conta o acordo do Conselho sobre o pacote IVA na era digital, de 5 de novembro de 2024,</w:t>
      </w:r>
    </w:p>
    <w:p w14:paraId="5B32C093" w14:textId="77777777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>Tendo em conta a Diretiva (UE) 2025/50 do Conselho, de 10 de dezembro de 2024, relativa a um desagravamento mais rápido e mais seguro do excesso de retenção do imposto na fonte</w:t>
      </w:r>
      <w:r w:rsidRPr="00CC77A7">
        <w:rPr>
          <w:rStyle w:val="FootnoteReference"/>
        </w:rPr>
        <w:footnoteReference w:id="6"/>
      </w:r>
      <w:r w:rsidRPr="00CC77A7">
        <w:t>,</w:t>
      </w:r>
    </w:p>
    <w:p w14:paraId="4512AB22" w14:textId="4B7B37F8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>Tendo em conta a proposta da Comissão, de 12 de setembro de 2023, de diretiva do Conselho relativa ao Quadro de Tributação dos Rendimentos Empresariais na Europa (BEFIT) (</w:t>
      </w:r>
      <w:r w:rsidR="003628C7" w:rsidRPr="00CC77A7">
        <w:t>COM(2023)0532</w:t>
      </w:r>
      <w:r w:rsidRPr="00CC77A7">
        <w:t>),</w:t>
      </w:r>
    </w:p>
    <w:p w14:paraId="783C081F" w14:textId="511EEFCC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>Tendo em conta a proposta da Comissão, de 12 de setembro de 2023, de diretiva do Conselho que cria um sistema de tributação da sede social para as micro, pequenas e médias empresas, e que altera a Diretiva 2011/16/UE (</w:t>
      </w:r>
      <w:r w:rsidR="003628C7" w:rsidRPr="00CC77A7">
        <w:t>COM(2023)0528</w:t>
      </w:r>
      <w:r w:rsidRPr="00CC77A7">
        <w:t>),</w:t>
      </w:r>
    </w:p>
    <w:p w14:paraId="3210861F" w14:textId="2AE2429F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>Tendo em conta a proposta da Comissão, de 12 de setembro de 2023, de diretiva do Conselho relativa aos preços de transferência (</w:t>
      </w:r>
      <w:r w:rsidR="003628C7" w:rsidRPr="00CC77A7">
        <w:t>COM(2023)0529</w:t>
      </w:r>
      <w:r w:rsidRPr="00CC77A7">
        <w:t>),</w:t>
      </w:r>
    </w:p>
    <w:p w14:paraId="3EF62CA7" w14:textId="77777777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>Tendo em conta as Conclusões do Conselho Europeu, de 17 e 18 de abril de 2024, sobre o novo pacto para a competitividade europeia,</w:t>
      </w:r>
    </w:p>
    <w:p w14:paraId="051BD0E6" w14:textId="77777777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>Tendo em conta as Conclusões do Conselho, de 24 de maio de 2024, sobre um mercado único em benefício de todos,</w:t>
      </w:r>
    </w:p>
    <w:p w14:paraId="1729ACF2" w14:textId="77777777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>Tendo em conta a Declaração de Budapeste do Conselho Europeu, sobre o novo pacto para a competitividade europeia, aprovada em 8 de novembro de 2024,</w:t>
      </w:r>
    </w:p>
    <w:p w14:paraId="34DC8BE4" w14:textId="77777777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>Tendo em conta as Conclusões do Conselho, de 11 de março de 2025, sobre um programa de racionalização e simplificação fiscal que contribua para a competitividade da UE,</w:t>
      </w:r>
    </w:p>
    <w:p w14:paraId="0BEF8AB7" w14:textId="77777777" w:rsidR="00FA7CC6" w:rsidRPr="00CC77A7" w:rsidRDefault="00FA7CC6" w:rsidP="00FA7CC6">
      <w:pPr>
        <w:pStyle w:val="NormalHanging12a"/>
      </w:pPr>
      <w:r w:rsidRPr="00CC77A7">
        <w:lastRenderedPageBreak/>
        <w:t>–</w:t>
      </w:r>
      <w:r w:rsidRPr="00CC77A7">
        <w:tab/>
        <w:t>Tendo em conta as Conclusões do Conselho Europeu, de 20 de março de 2025, sobre a competitividade, que se centra na simplificação e na redução dos encargos regulamentares e administrativos,</w:t>
      </w:r>
    </w:p>
    <w:p w14:paraId="7FA93CA2" w14:textId="77777777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>Tendo em conta a sua Resolução, de 16 de fevereiro de 2022, sobre a aplicação da Sexta Diretiva IVA: o que falta para reduzir o fosso do IVA na UE?</w:t>
      </w:r>
      <w:r w:rsidRPr="00CC77A7">
        <w:rPr>
          <w:rStyle w:val="FootnoteReference"/>
        </w:rPr>
        <w:footnoteReference w:id="7"/>
      </w:r>
      <w:r w:rsidRPr="00CC77A7">
        <w:t>,</w:t>
      </w:r>
    </w:p>
    <w:p w14:paraId="1A880EDC" w14:textId="77777777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>Tendo em conta a sua Resolução, de 7 de outubro de 2021, sobre a reforma da política da UE sobre práticas fiscais prejudiciais (incluindo a reforma do Grupo do Código de Conduta)</w:t>
      </w:r>
      <w:r w:rsidRPr="00CC77A7">
        <w:rPr>
          <w:rStyle w:val="FootnoteReference"/>
        </w:rPr>
        <w:footnoteReference w:id="8"/>
      </w:r>
      <w:r w:rsidRPr="00CC77A7">
        <w:t>,</w:t>
      </w:r>
    </w:p>
    <w:p w14:paraId="70AED913" w14:textId="77777777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>Tendo em conta a sua Resolução, de 15 de fevereiro de 2022, sobre o impacto das reformas fiscais nacionais na economia da UE</w:t>
      </w:r>
      <w:r w:rsidRPr="00CC77A7">
        <w:rPr>
          <w:rStyle w:val="FootnoteReference"/>
        </w:rPr>
        <w:footnoteReference w:id="9"/>
      </w:r>
      <w:r w:rsidRPr="00CC77A7">
        <w:t>,</w:t>
      </w:r>
    </w:p>
    <w:p w14:paraId="7ECA8EDB" w14:textId="77777777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>Tendo em conta a sua Resolução, de 10 de março de 2022, sobre «Um quadro europeu em matéria de retenção na fonte»</w:t>
      </w:r>
      <w:r w:rsidRPr="00CC77A7">
        <w:rPr>
          <w:rStyle w:val="FootnoteReference"/>
        </w:rPr>
        <w:footnoteReference w:id="10"/>
      </w:r>
      <w:r w:rsidRPr="00CC77A7">
        <w:t>, que apela ao estabelecimento de um quadro normalizado de retenção na fonte,</w:t>
      </w:r>
    </w:p>
    <w:p w14:paraId="3BD7698F" w14:textId="77777777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>Tendo em conta a sua Resolução, de 4 de outubro de 2022, sobre o impacto de novas tecnologias na fiscalidade: cripto e cadeia de blocos</w:t>
      </w:r>
      <w:r w:rsidRPr="00CC77A7">
        <w:rPr>
          <w:rStyle w:val="FootnoteReference"/>
        </w:rPr>
        <w:footnoteReference w:id="11"/>
      </w:r>
      <w:r w:rsidRPr="00CC77A7">
        <w:t>,</w:t>
      </w:r>
    </w:p>
    <w:p w14:paraId="51F9727B" w14:textId="77777777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>Tendo em conta a sua Resolução, de 10 de março de 2022, que contém recomendações à Comissão sobre uma tributação justa e mais simples que apoie a estratégia de recuperação (seguimento dado pelo PE ao plano de ação de julho da Comissão e às suas 25 iniciativas no domínio do IVA, das empresas e da fiscalidade individual)</w:t>
      </w:r>
      <w:r w:rsidRPr="00CC77A7">
        <w:rPr>
          <w:rStyle w:val="FootnoteReference"/>
        </w:rPr>
        <w:footnoteReference w:id="12"/>
      </w:r>
      <w:r w:rsidRPr="00CC77A7">
        <w:t>,</w:t>
      </w:r>
    </w:p>
    <w:p w14:paraId="69A9C939" w14:textId="77777777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>Tendo em conta o Relatório, de 4 de maio de 2022, sobre o seguimento das conclusões da Conferência sobre o Futuro da Europa</w:t>
      </w:r>
      <w:r w:rsidRPr="00CC77A7">
        <w:rPr>
          <w:rStyle w:val="FootnoteReference"/>
        </w:rPr>
        <w:footnoteReference w:id="13"/>
      </w:r>
      <w:r w:rsidRPr="00CC77A7">
        <w:t>,</w:t>
      </w:r>
    </w:p>
    <w:p w14:paraId="3199892B" w14:textId="77777777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 xml:space="preserve">Tendo em conta o estudo do Centro Comum de Investigação da Comissão, de 19 de abril de 2022, intitulado «Local taxes </w:t>
      </w:r>
      <w:proofErr w:type="spellStart"/>
      <w:r w:rsidRPr="00CC77A7">
        <w:t>on</w:t>
      </w:r>
      <w:proofErr w:type="spellEnd"/>
      <w:r w:rsidRPr="00CC77A7">
        <w:t xml:space="preserve"> </w:t>
      </w:r>
      <w:proofErr w:type="spellStart"/>
      <w:r w:rsidRPr="00CC77A7">
        <w:t>economic</w:t>
      </w:r>
      <w:proofErr w:type="spellEnd"/>
      <w:r w:rsidRPr="00CC77A7">
        <w:t xml:space="preserve"> </w:t>
      </w:r>
      <w:proofErr w:type="spellStart"/>
      <w:r w:rsidRPr="00CC77A7">
        <w:t>activity</w:t>
      </w:r>
      <w:proofErr w:type="spellEnd"/>
      <w:r w:rsidRPr="00CC77A7">
        <w:t xml:space="preserve"> in </w:t>
      </w:r>
      <w:proofErr w:type="spellStart"/>
      <w:r w:rsidRPr="00CC77A7">
        <w:t>municipalities</w:t>
      </w:r>
      <w:proofErr w:type="spellEnd"/>
      <w:r w:rsidRPr="00CC77A7">
        <w:t xml:space="preserve"> in EU </w:t>
      </w:r>
      <w:proofErr w:type="spellStart"/>
      <w:r w:rsidRPr="00CC77A7">
        <w:t>Member</w:t>
      </w:r>
      <w:proofErr w:type="spellEnd"/>
      <w:r w:rsidRPr="00CC77A7">
        <w:t xml:space="preserve"> </w:t>
      </w:r>
      <w:proofErr w:type="spellStart"/>
      <w:r w:rsidRPr="00CC77A7">
        <w:t>States</w:t>
      </w:r>
      <w:proofErr w:type="spellEnd"/>
      <w:r w:rsidRPr="00CC77A7">
        <w:t>» [Impostos locais sobre a atividade económica nos municípios dos Estados</w:t>
      </w:r>
      <w:r w:rsidRPr="00CC77A7">
        <w:noBreakHyphen/>
        <w:t>Membros da UE],</w:t>
      </w:r>
    </w:p>
    <w:p w14:paraId="6A2FFAF4" w14:textId="77777777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 xml:space="preserve">Tendo em conta a sua Resolução, de 15 de junho de 2023, sobre os ensinamentos retirados do escândalo «Pandora </w:t>
      </w:r>
      <w:proofErr w:type="spellStart"/>
      <w:r w:rsidRPr="00CC77A7">
        <w:t>Papers</w:t>
      </w:r>
      <w:proofErr w:type="spellEnd"/>
      <w:r w:rsidRPr="00CC77A7">
        <w:t>» e de outras revelações</w:t>
      </w:r>
      <w:r w:rsidRPr="00CC77A7">
        <w:rPr>
          <w:rStyle w:val="FootnoteReference"/>
        </w:rPr>
        <w:footnoteReference w:id="14"/>
      </w:r>
      <w:r w:rsidRPr="00CC77A7">
        <w:t>, que apela igualmente a uma melhoria da comunicação e partilha de informações,</w:t>
      </w:r>
    </w:p>
    <w:p w14:paraId="4DBB55A8" w14:textId="77777777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>Tendo em conta a sua Resolução, de 12 de dezembro de 2023, sobre a nova reforma das regras da fiscalidade empresarial</w:t>
      </w:r>
      <w:r w:rsidRPr="00CC77A7">
        <w:rPr>
          <w:rStyle w:val="FootnoteReference"/>
        </w:rPr>
        <w:footnoteReference w:id="15"/>
      </w:r>
      <w:r w:rsidRPr="00CC77A7">
        <w:t>,</w:t>
      </w:r>
    </w:p>
    <w:p w14:paraId="26D1E0E7" w14:textId="77777777" w:rsidR="00FA7CC6" w:rsidRPr="00CC77A7" w:rsidRDefault="00FA7CC6" w:rsidP="00FA7CC6">
      <w:pPr>
        <w:pStyle w:val="NormalHanging12a"/>
      </w:pPr>
      <w:r w:rsidRPr="00CC77A7">
        <w:lastRenderedPageBreak/>
        <w:t>–</w:t>
      </w:r>
      <w:r w:rsidRPr="00CC77A7">
        <w:tab/>
        <w:t xml:space="preserve">Tendo em conta o Relatório, de 9 de maio de 2022, sobre o </w:t>
      </w:r>
      <w:proofErr w:type="gramStart"/>
      <w:r w:rsidRPr="00CC77A7">
        <w:t>resultado final</w:t>
      </w:r>
      <w:proofErr w:type="gramEnd"/>
      <w:r w:rsidRPr="00CC77A7">
        <w:t xml:space="preserve"> da Conferência sobre o Futuro da Europa</w:t>
      </w:r>
      <w:r w:rsidRPr="00CC77A7">
        <w:rPr>
          <w:rStyle w:val="FootnoteReference"/>
        </w:rPr>
        <w:footnoteReference w:id="16"/>
      </w:r>
      <w:r w:rsidRPr="00CC77A7">
        <w:t>,</w:t>
      </w:r>
    </w:p>
    <w:p w14:paraId="5CADD3B6" w14:textId="77777777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 xml:space="preserve">Tendo em conta o Relatório de Enrico </w:t>
      </w:r>
      <w:proofErr w:type="spellStart"/>
      <w:r w:rsidRPr="00CC77A7">
        <w:t>Letta</w:t>
      </w:r>
      <w:proofErr w:type="spellEnd"/>
      <w:r w:rsidRPr="00CC77A7">
        <w:t>, de abril de 2024, intitulado «</w:t>
      </w:r>
      <w:proofErr w:type="spellStart"/>
      <w:r w:rsidRPr="00CC77A7">
        <w:t>Much</w:t>
      </w:r>
      <w:proofErr w:type="spellEnd"/>
      <w:r w:rsidRPr="00CC77A7">
        <w:t xml:space="preserve"> more </w:t>
      </w:r>
      <w:proofErr w:type="spellStart"/>
      <w:r w:rsidRPr="00CC77A7">
        <w:t>than</w:t>
      </w:r>
      <w:proofErr w:type="spellEnd"/>
      <w:r w:rsidRPr="00CC77A7">
        <w:t xml:space="preserve"> a </w:t>
      </w:r>
      <w:proofErr w:type="spellStart"/>
      <w:r w:rsidRPr="00CC77A7">
        <w:t>market</w:t>
      </w:r>
      <w:proofErr w:type="spellEnd"/>
      <w:r w:rsidRPr="00CC77A7">
        <w:t>» [Muito mais do que um mercado]</w:t>
      </w:r>
      <w:r w:rsidRPr="00CC77A7">
        <w:rPr>
          <w:rStyle w:val="FootnoteReference"/>
        </w:rPr>
        <w:footnoteReference w:id="17"/>
      </w:r>
      <w:r w:rsidRPr="00CC77A7">
        <w:t>,</w:t>
      </w:r>
    </w:p>
    <w:p w14:paraId="139FC623" w14:textId="77777777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 xml:space="preserve">Tendo em conta o Relatório de </w:t>
      </w:r>
      <w:proofErr w:type="spellStart"/>
      <w:r w:rsidRPr="00CC77A7">
        <w:t>Mario</w:t>
      </w:r>
      <w:proofErr w:type="spellEnd"/>
      <w:r w:rsidRPr="00CC77A7">
        <w:t xml:space="preserve"> </w:t>
      </w:r>
      <w:proofErr w:type="spellStart"/>
      <w:r w:rsidRPr="00CC77A7">
        <w:t>Draghi</w:t>
      </w:r>
      <w:proofErr w:type="spellEnd"/>
      <w:r w:rsidRPr="00CC77A7">
        <w:t>, de 9 de setembro de 2024, intitulado «</w:t>
      </w:r>
      <w:proofErr w:type="spellStart"/>
      <w:r w:rsidRPr="00CC77A7">
        <w:t>The</w:t>
      </w:r>
      <w:proofErr w:type="spellEnd"/>
      <w:r w:rsidRPr="00CC77A7">
        <w:t xml:space="preserve"> future </w:t>
      </w:r>
      <w:proofErr w:type="spellStart"/>
      <w:r w:rsidRPr="00CC77A7">
        <w:t>of</w:t>
      </w:r>
      <w:proofErr w:type="spellEnd"/>
      <w:r w:rsidRPr="00CC77A7">
        <w:t xml:space="preserve"> </w:t>
      </w:r>
      <w:proofErr w:type="spellStart"/>
      <w:r w:rsidRPr="00CC77A7">
        <w:t>European</w:t>
      </w:r>
      <w:proofErr w:type="spellEnd"/>
      <w:r w:rsidRPr="00CC77A7">
        <w:t xml:space="preserve"> </w:t>
      </w:r>
      <w:proofErr w:type="spellStart"/>
      <w:r w:rsidRPr="00CC77A7">
        <w:t>competitiveness</w:t>
      </w:r>
      <w:proofErr w:type="spellEnd"/>
      <w:r w:rsidRPr="00CC77A7">
        <w:t>» [O futuro da competitividade europeia]</w:t>
      </w:r>
      <w:r w:rsidRPr="00CC77A7">
        <w:rPr>
          <w:rStyle w:val="FootnoteReference"/>
        </w:rPr>
        <w:footnoteReference w:id="18"/>
      </w:r>
      <w:r w:rsidRPr="00CC77A7">
        <w:t>,</w:t>
      </w:r>
    </w:p>
    <w:p w14:paraId="7380D818" w14:textId="77777777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>Tendo em conta o artigo 55.º do seu Regimento,</w:t>
      </w:r>
    </w:p>
    <w:p w14:paraId="30EF1771" w14:textId="77777777" w:rsidR="00FA7CC6" w:rsidRPr="00CC77A7" w:rsidRDefault="00FA7CC6" w:rsidP="00FA7CC6">
      <w:pPr>
        <w:pStyle w:val="NormalHanging12a"/>
      </w:pPr>
      <w:r w:rsidRPr="00CC77A7">
        <w:t>–</w:t>
      </w:r>
      <w:r w:rsidRPr="00CC77A7">
        <w:tab/>
        <w:t>Tendo em conta o relatório da Comissão dos Assuntos Económicos e Monetários (A10</w:t>
      </w:r>
      <w:r w:rsidRPr="00CC77A7">
        <w:noBreakHyphen/>
        <w:t>0155/2025),</w:t>
      </w:r>
    </w:p>
    <w:p w14:paraId="5F63144E" w14:textId="77777777" w:rsidR="00FA7CC6" w:rsidRPr="00CC77A7" w:rsidRDefault="00FA7CC6" w:rsidP="00FA7CC6">
      <w:pPr>
        <w:pStyle w:val="NormalHanging12a"/>
      </w:pPr>
      <w:r w:rsidRPr="00CC77A7">
        <w:t>A.</w:t>
      </w:r>
      <w:r w:rsidRPr="00CC77A7">
        <w:tab/>
        <w:t>Considerando que políticas fiscais eficazes, justas e eficientes desempenham um papel fundamental no fomento do crescimento económico sustentável a longo prazo e de sociedades inclusivas;</w:t>
      </w:r>
    </w:p>
    <w:p w14:paraId="770ECE66" w14:textId="77777777" w:rsidR="00FA7CC6" w:rsidRPr="00CC77A7" w:rsidRDefault="00FA7CC6" w:rsidP="00FA7CC6">
      <w:pPr>
        <w:pStyle w:val="NormalHanging12a"/>
      </w:pPr>
      <w:r w:rsidRPr="00CC77A7">
        <w:t>B.</w:t>
      </w:r>
      <w:r w:rsidRPr="00CC77A7">
        <w:tab/>
        <w:t>Considerando que, em 2023, os Estados</w:t>
      </w:r>
      <w:r w:rsidRPr="00CC77A7">
        <w:noBreakHyphen/>
        <w:t>Membros da UE cobraram impostos num montante de 6 712 mil milhões de EUR (incluindo as contribuições sociais efetivas obrigatórias), o que representa um acréscimo de 4,7 % relativamente a 2022</w:t>
      </w:r>
      <w:r w:rsidRPr="00CC77A7">
        <w:rPr>
          <w:rStyle w:val="FootnoteReference"/>
        </w:rPr>
        <w:footnoteReference w:id="19"/>
      </w:r>
      <w:r w:rsidRPr="00CC77A7">
        <w:t>;</w:t>
      </w:r>
    </w:p>
    <w:p w14:paraId="0E1105A3" w14:textId="45229B9D" w:rsidR="00FA7CC6" w:rsidRPr="00CC77A7" w:rsidRDefault="00FA7CC6" w:rsidP="00FA7CC6">
      <w:pPr>
        <w:pStyle w:val="NormalHanging12a"/>
      </w:pPr>
      <w:r w:rsidRPr="00CC77A7">
        <w:t>C.</w:t>
      </w:r>
      <w:r w:rsidRPr="00CC77A7">
        <w:tab/>
        <w:t>Considerando que a UE se vê perante um défice de investimento considerável</w:t>
      </w:r>
      <w:r w:rsidR="003A3ECB" w:rsidRPr="00CC77A7">
        <w:t>; considerando que</w:t>
      </w:r>
      <w:r w:rsidRPr="00CC77A7">
        <w:t xml:space="preserve"> é fundamental colmatar este fosso para assegurar um crescimento económico sustentável, reforçar a competitividade e alcançar os objetivos da UE em matéria de transição ecológica e digital;</w:t>
      </w:r>
    </w:p>
    <w:p w14:paraId="3E11E4F4" w14:textId="77777777" w:rsidR="00FA7CC6" w:rsidRPr="00CC77A7" w:rsidRDefault="00FA7CC6" w:rsidP="00FA7CC6">
      <w:pPr>
        <w:pStyle w:val="NormalHanging12a"/>
      </w:pPr>
      <w:r w:rsidRPr="00CC77A7">
        <w:t>D.</w:t>
      </w:r>
      <w:r w:rsidRPr="00CC77A7">
        <w:tab/>
        <w:t>Considerando que, em 2023, a carga fiscal (ou seja, as receitas fiscais globais em percentagem do PIB) na UE se situou em 39,0 % do PIB, o que representa uma ligeira diminuição em relação a 2022</w:t>
      </w:r>
      <w:r w:rsidRPr="00CC77A7">
        <w:rPr>
          <w:rStyle w:val="FootnoteReference"/>
        </w:rPr>
        <w:footnoteReference w:id="20"/>
      </w:r>
      <w:r w:rsidRPr="00CC77A7">
        <w:t>, embora continue a representar um rácio extremamente elevado;</w:t>
      </w:r>
    </w:p>
    <w:p w14:paraId="4F893AF5" w14:textId="55AAA848" w:rsidR="00FA7CC6" w:rsidRPr="00CC77A7" w:rsidRDefault="00FA7CC6" w:rsidP="00FA7CC6">
      <w:pPr>
        <w:pStyle w:val="NormalHanging12a"/>
      </w:pPr>
      <w:r w:rsidRPr="00CC77A7">
        <w:t>E.</w:t>
      </w:r>
      <w:r w:rsidRPr="00CC77A7">
        <w:tab/>
        <w:t>Considerando que, segundo as estimativas, as receitas fiscais não cobradas pelos Estados a nível mundial deverão ascender a 500 mil milhões de EUR e que, dessas receitas, aproximadamente 100 mil milhões de EUR constituem receitas não cobradas no espaço da UE</w:t>
      </w:r>
      <w:r w:rsidR="003A3ECB" w:rsidRPr="00CC77A7">
        <w:t>; considerando que</w:t>
      </w:r>
      <w:r w:rsidRPr="00CC77A7">
        <w:t>, além disso, outras receitas são afetadas por casos de incumprimento fiscal e por estratégias de planeamento fiscal agressivo</w:t>
      </w:r>
      <w:r w:rsidR="003A3ECB" w:rsidRPr="00CC77A7">
        <w:t xml:space="preserve">; considerando </w:t>
      </w:r>
      <w:r w:rsidR="003A3ECB" w:rsidRPr="00CC77A7">
        <w:lastRenderedPageBreak/>
        <w:t>que</w:t>
      </w:r>
      <w:r w:rsidRPr="00CC77A7">
        <w:t xml:space="preserve"> as perdas assim registadas privam os Estados</w:t>
      </w:r>
      <w:r w:rsidRPr="00CC77A7">
        <w:noBreakHyphen/>
        <w:t>Membros de financiamento público vital;</w:t>
      </w:r>
    </w:p>
    <w:p w14:paraId="5EA7AC6F" w14:textId="77777777" w:rsidR="00FA7CC6" w:rsidRPr="00CC77A7" w:rsidRDefault="00FA7CC6" w:rsidP="00FA7CC6">
      <w:pPr>
        <w:pStyle w:val="NormalHanging12a"/>
      </w:pPr>
      <w:r w:rsidRPr="00CC77A7">
        <w:t>F.</w:t>
      </w:r>
      <w:r w:rsidRPr="00CC77A7">
        <w:tab/>
        <w:t>Considerando que, em 2023, o rácio receitas do IVA/PIB representou 7,1 % do PIB da UE e 18,3 % do total das receitas públicas</w:t>
      </w:r>
      <w:r w:rsidRPr="00CC77A7">
        <w:rPr>
          <w:rStyle w:val="FootnoteReference"/>
        </w:rPr>
        <w:footnoteReference w:id="21"/>
      </w:r>
      <w:r w:rsidRPr="00CC77A7">
        <w:t>;</w:t>
      </w:r>
    </w:p>
    <w:p w14:paraId="618EF996" w14:textId="0F06B12B" w:rsidR="00FA7CC6" w:rsidRPr="00CC77A7" w:rsidRDefault="00FA7CC6" w:rsidP="00FA7CC6">
      <w:pPr>
        <w:pStyle w:val="NormalHanging12a"/>
      </w:pPr>
      <w:r w:rsidRPr="00CC77A7">
        <w:t>G.</w:t>
      </w:r>
      <w:r w:rsidRPr="00CC77A7">
        <w:tab/>
        <w:t>Considerando que, de acordo com a Comissão</w:t>
      </w:r>
      <w:r w:rsidRPr="00CC77A7">
        <w:rPr>
          <w:rStyle w:val="FootnoteReference"/>
        </w:rPr>
        <w:footnoteReference w:id="22"/>
      </w:r>
      <w:r w:rsidRPr="00CC77A7">
        <w:t>, só o desvio do IVA ascendeu a 89,3 mil milhões de EUR, o que representa cerca de 7 % do total das receitas esperadas do IVA</w:t>
      </w:r>
      <w:r w:rsidR="003A3ECB" w:rsidRPr="00CC77A7">
        <w:t>; considerando que</w:t>
      </w:r>
      <w:r w:rsidRPr="00CC77A7">
        <w:t>, de acordo com as estimativas, um quarto dos desvios do IVA está diretamente relacionado com fraude criminosa ao IVA</w:t>
      </w:r>
      <w:r w:rsidRPr="00CC77A7">
        <w:rPr>
          <w:rStyle w:val="FootnoteReference"/>
        </w:rPr>
        <w:footnoteReference w:id="23"/>
      </w:r>
      <w:r w:rsidRPr="00CC77A7">
        <w:t>;</w:t>
      </w:r>
    </w:p>
    <w:p w14:paraId="4509D279" w14:textId="77777777" w:rsidR="00FA7CC6" w:rsidRPr="00CC77A7" w:rsidRDefault="00FA7CC6" w:rsidP="00FA7CC6">
      <w:pPr>
        <w:pStyle w:val="NormalHanging12a"/>
      </w:pPr>
      <w:r w:rsidRPr="00CC77A7">
        <w:t>H.</w:t>
      </w:r>
      <w:r w:rsidRPr="00CC77A7">
        <w:tab/>
        <w:t>Considerando que os Estados</w:t>
      </w:r>
      <w:r w:rsidRPr="00CC77A7">
        <w:noBreakHyphen/>
        <w:t>Membros diferem quanto à sua dependência da tributação, aos impostos que cobram para obter as receitas em causa e à forma como, ao longo da última década, têm alterado o seu modelo fiscal</w:t>
      </w:r>
      <w:r w:rsidRPr="00CC77A7">
        <w:rPr>
          <w:rStyle w:val="FootnoteReference"/>
        </w:rPr>
        <w:footnoteReference w:id="24"/>
      </w:r>
      <w:r w:rsidRPr="00CC77A7">
        <w:t>;</w:t>
      </w:r>
    </w:p>
    <w:p w14:paraId="24DC43C6" w14:textId="77777777" w:rsidR="00FA7CC6" w:rsidRPr="00CC77A7" w:rsidRDefault="00FA7CC6" w:rsidP="00FA7CC6">
      <w:pPr>
        <w:pStyle w:val="NormalHanging12a"/>
      </w:pPr>
      <w:r w:rsidRPr="00CC77A7">
        <w:t>I.</w:t>
      </w:r>
      <w:r w:rsidRPr="00CC77A7">
        <w:tab/>
        <w:t>Considerando que, para as empresas, os custos associados à conformidade fiscal representam mais um encargo financeiro que se vem juntar à própria dívida fiscal, tirando tempo e recursos que poderiam ser dedicados a outras oportunidades de investimento;</w:t>
      </w:r>
    </w:p>
    <w:p w14:paraId="3120D846" w14:textId="0EC77E63" w:rsidR="00FA7CC6" w:rsidRPr="00CC77A7" w:rsidRDefault="00FA7CC6" w:rsidP="00FA7CC6">
      <w:pPr>
        <w:pStyle w:val="NormalHanging12a"/>
      </w:pPr>
      <w:r w:rsidRPr="00CC77A7">
        <w:t>J.</w:t>
      </w:r>
      <w:r w:rsidRPr="00CC77A7">
        <w:tab/>
        <w:t>Considerando que, segundo as estimativas, os custos totais de conformidade fiscal nos 27 Estados</w:t>
      </w:r>
      <w:r w:rsidRPr="00CC77A7">
        <w:noBreakHyphen/>
        <w:t>Membros da UE e no Reino Unido ascendem a 204 mil milhões de EUR, o que equivale a 1,3 % do seu PIB combinado</w:t>
      </w:r>
      <w:r w:rsidR="003A3ECB" w:rsidRPr="00CC77A7">
        <w:t>; considerando que</w:t>
      </w:r>
      <w:r w:rsidRPr="00CC77A7">
        <w:t xml:space="preserve"> a esmagadora maioria destes custos (87 %) é suportada pelas microempresas e, logo a seguir, pelas pequenas empresas (10 %), o que coloca um fardo administrativo desproporcionado sobre as empresas de menor dimensão</w:t>
      </w:r>
      <w:r w:rsidRPr="00CC77A7">
        <w:rPr>
          <w:rStyle w:val="FootnoteReference"/>
        </w:rPr>
        <w:footnoteReference w:id="25"/>
      </w:r>
      <w:r w:rsidRPr="00CC77A7">
        <w:t>;</w:t>
      </w:r>
    </w:p>
    <w:p w14:paraId="5415CAFF" w14:textId="77777777" w:rsidR="00FA7CC6" w:rsidRPr="00CC77A7" w:rsidRDefault="00FA7CC6" w:rsidP="00FA7CC6">
      <w:pPr>
        <w:pStyle w:val="NormalHanging12a"/>
      </w:pPr>
      <w:r w:rsidRPr="00CC77A7">
        <w:lastRenderedPageBreak/>
        <w:t>K.</w:t>
      </w:r>
      <w:r w:rsidRPr="00CC77A7">
        <w:tab/>
        <w:t>Considerando que os Estados</w:t>
      </w:r>
      <w:r w:rsidRPr="00CC77A7">
        <w:noBreakHyphen/>
        <w:t>Membros enfrentam desafios importantes — tais como alterações demográficas significativas, a crise climática, a digitalização e a automatização — que poderão repercutir</w:t>
      </w:r>
      <w:r w:rsidRPr="00CC77A7">
        <w:noBreakHyphen/>
        <w:t>se nas respetivas receitas e modelos fiscais;</w:t>
      </w:r>
    </w:p>
    <w:p w14:paraId="6319831C" w14:textId="77777777" w:rsidR="00FA7CC6" w:rsidRPr="00CC77A7" w:rsidRDefault="00FA7CC6" w:rsidP="00FA7CC6">
      <w:pPr>
        <w:pStyle w:val="NormalHanging12a"/>
      </w:pPr>
      <w:r w:rsidRPr="00CC77A7">
        <w:t>L.</w:t>
      </w:r>
      <w:r w:rsidRPr="00CC77A7">
        <w:tab/>
        <w:t>Considerando que, nos termos dos Tratados, a fiscalidade é essencialmente uma competência nacional de cada Estado</w:t>
      </w:r>
      <w:r w:rsidRPr="00CC77A7">
        <w:noBreakHyphen/>
        <w:t>Membro;</w:t>
      </w:r>
    </w:p>
    <w:p w14:paraId="64C7A748" w14:textId="77777777" w:rsidR="00FA7CC6" w:rsidRPr="00CC77A7" w:rsidRDefault="00FA7CC6" w:rsidP="00FA7CC6">
      <w:pPr>
        <w:pStyle w:val="NormalHanging12a"/>
      </w:pPr>
      <w:r w:rsidRPr="00CC77A7">
        <w:t>M.</w:t>
      </w:r>
      <w:r w:rsidRPr="00CC77A7">
        <w:tab/>
        <w:t>Considerando que o aumento da mobilidade do capital ao longo das últimas décadas, a par das tendências mais vastas da globalização e da digitalização, tem involuntariamente levado a uma diminuição progressiva da capacidade de cada país para assegurar a eficácia das suas políticas fiscais;</w:t>
      </w:r>
    </w:p>
    <w:p w14:paraId="5A695464" w14:textId="1648658C" w:rsidR="00FA7CC6" w:rsidRPr="00CC77A7" w:rsidRDefault="00FA7CC6" w:rsidP="00FA7CC6">
      <w:pPr>
        <w:pStyle w:val="NormalHanging12a"/>
      </w:pPr>
      <w:r w:rsidRPr="00CC77A7">
        <w:t>N.</w:t>
      </w:r>
      <w:r w:rsidRPr="00CC77A7">
        <w:tab/>
        <w:t>Considerando que segundo as estimativas de um estudo da Comissão Europeia realizado 2022, em 2019, as empresas da UE</w:t>
      </w:r>
      <w:r w:rsidRPr="00CC77A7">
        <w:noBreakHyphen/>
        <w:t>28 incorreram, em média, num custo anual de conformidade fiscal equivalente a 1,9 % do seu volume de negócios</w:t>
      </w:r>
      <w:r w:rsidR="003A3ECB" w:rsidRPr="00CC77A7">
        <w:t>; considerando que</w:t>
      </w:r>
      <w:r w:rsidRPr="00CC77A7">
        <w:t>, no entender das empresas, o IVA e o imposto sobre as sociedades são os impostos que dão origem a uma carga regulamentar mais elevada;</w:t>
      </w:r>
    </w:p>
    <w:p w14:paraId="15D75500" w14:textId="726C6D92" w:rsidR="00FA7CC6" w:rsidRPr="00CC77A7" w:rsidRDefault="00FA7CC6" w:rsidP="00FA7CC6">
      <w:pPr>
        <w:pStyle w:val="NormalHanging12a"/>
      </w:pPr>
      <w:r w:rsidRPr="00CC77A7">
        <w:t>O.</w:t>
      </w:r>
      <w:r w:rsidRPr="00CC77A7">
        <w:tab/>
        <w:t xml:space="preserve">Considerando que o relatório exaustivo de </w:t>
      </w:r>
      <w:proofErr w:type="spellStart"/>
      <w:r w:rsidRPr="00CC77A7">
        <w:t>Mario</w:t>
      </w:r>
      <w:proofErr w:type="spellEnd"/>
      <w:r w:rsidRPr="00CC77A7">
        <w:t xml:space="preserve"> </w:t>
      </w:r>
      <w:proofErr w:type="spellStart"/>
      <w:r w:rsidRPr="00CC77A7">
        <w:t>Draghi</w:t>
      </w:r>
      <w:proofErr w:type="spellEnd"/>
      <w:r w:rsidRPr="00CC77A7">
        <w:t xml:space="preserve"> sobre a situação económica da União Europeia alerta para o declínio da produtividade e da competitividade da UE e que, na ausência de medidas firmes, a UE ver</w:t>
      </w:r>
      <w:r w:rsidRPr="00CC77A7">
        <w:noBreakHyphen/>
        <w:t>se</w:t>
      </w:r>
      <w:r w:rsidRPr="00CC77A7">
        <w:noBreakHyphen/>
        <w:t>á perante um «declínio lento e angustiante»</w:t>
      </w:r>
      <w:r w:rsidR="003A3ECB" w:rsidRPr="00CC77A7">
        <w:t>; considerando que</w:t>
      </w:r>
      <w:r w:rsidRPr="00CC77A7">
        <w:t xml:space="preserve"> o referido relatório sublinha igualmente a necessidade de políticas coordenadas, nomeadamente a eliminação de barreiras desnecessárias e a redução dos entraves burocráticos relacionados com a fiscalidade;</w:t>
      </w:r>
    </w:p>
    <w:p w14:paraId="00E49E38" w14:textId="56BA7C9F" w:rsidR="00FA7CC6" w:rsidRPr="00CC77A7" w:rsidRDefault="00FA7CC6" w:rsidP="00FA7CC6">
      <w:pPr>
        <w:pStyle w:val="NormalHanging12a"/>
      </w:pPr>
      <w:r w:rsidRPr="00CC77A7">
        <w:t>P.</w:t>
      </w:r>
      <w:r w:rsidRPr="00CC77A7">
        <w:tab/>
        <w:t>Considerando que a fragmentação da política fiscal e a conceção excessivamente complexa da política fiscal colocam vários obstáculos às empresas e aos cidadãos no mercado único, como a insegurança jurídica, a burocracia, o risco de dupla tributação e as dificuldades em solicitar o reembolso dos impostos</w:t>
      </w:r>
      <w:r w:rsidR="003A3ECB" w:rsidRPr="00CC77A7">
        <w:t>; considerando que</w:t>
      </w:r>
      <w:r w:rsidRPr="00CC77A7">
        <w:t xml:space="preserve"> tais obstáculos desencorajam a atividade económica transfronteiras no mercado único e criam riscos para as autoridades fiscais, como a dupla não tributação e oportunidades de arbitragem fiscal</w:t>
      </w:r>
      <w:r w:rsidR="003A3ECB" w:rsidRPr="00CC77A7">
        <w:t>; considerando que</w:t>
      </w:r>
      <w:r w:rsidRPr="00CC77A7">
        <w:t xml:space="preserve"> o relatório exaustivo de </w:t>
      </w:r>
      <w:proofErr w:type="spellStart"/>
      <w:r w:rsidRPr="00CC77A7">
        <w:t>Mario</w:t>
      </w:r>
      <w:proofErr w:type="spellEnd"/>
      <w:r w:rsidRPr="00CC77A7">
        <w:t xml:space="preserve"> </w:t>
      </w:r>
      <w:proofErr w:type="spellStart"/>
      <w:r w:rsidRPr="00CC77A7">
        <w:t>Draghi</w:t>
      </w:r>
      <w:proofErr w:type="spellEnd"/>
      <w:r w:rsidRPr="00CC77A7">
        <w:t xml:space="preserve"> sublinha igualmente a necessidade de eliminar todo e qualquer obstáculo fiscal ao investimento transfronteiras na UE para reduzir a fragmentação do mercado de capitais, e realça que os cidadãos da UE deveriam poder investir noutros Estados</w:t>
      </w:r>
      <w:r w:rsidRPr="00CC77A7">
        <w:noBreakHyphen/>
        <w:t>Membros sem terem de se submeter a um complexo procedimento tributário que acaba por resultar em dupla tributação;</w:t>
      </w:r>
    </w:p>
    <w:p w14:paraId="5D968D2E" w14:textId="4B4BCECE" w:rsidR="00FA7CC6" w:rsidRPr="00CC77A7" w:rsidRDefault="00FA7CC6" w:rsidP="00FA7CC6">
      <w:pPr>
        <w:pStyle w:val="NormalHanging12a"/>
      </w:pPr>
      <w:r w:rsidRPr="00CC77A7">
        <w:t>Q.</w:t>
      </w:r>
      <w:r w:rsidRPr="00CC77A7">
        <w:tab/>
        <w:t xml:space="preserve">Considerando que o relatório </w:t>
      </w:r>
      <w:proofErr w:type="spellStart"/>
      <w:r w:rsidRPr="00CC77A7">
        <w:t>Letta</w:t>
      </w:r>
      <w:proofErr w:type="spellEnd"/>
      <w:r w:rsidRPr="00CC77A7">
        <w:t xml:space="preserve"> salienta que a fragmentação fiscal continua a representar um obstáculo importante ao qual as empresas da UE — e, em particular, as pequenas e médias empresas (PME) — têm de fazer face, e que uma maior harmonização através de um quadro fiscal da UE mais coordenado é fundamental para facilitar a livre circulação dos trabalhadores, bens e serviços e apoiar o crescimento e o investimento privado</w:t>
      </w:r>
      <w:r w:rsidRPr="00CC77A7">
        <w:rPr>
          <w:rStyle w:val="FootnoteReference"/>
        </w:rPr>
        <w:footnoteReference w:id="26"/>
      </w:r>
      <w:r w:rsidR="003A3ECB" w:rsidRPr="00CC77A7">
        <w:t>; considerando que</w:t>
      </w:r>
      <w:r w:rsidRPr="00CC77A7">
        <w:t xml:space="preserve"> uma tributação sólida e justa representa um </w:t>
      </w:r>
      <w:r w:rsidRPr="00CC77A7">
        <w:lastRenderedPageBreak/>
        <w:t>instrumento fundamental para gerar as receitas indispensáveis à realização de investimento e à salvaguarda dos serviços de interesse geral em todas as regiões da UE;</w:t>
      </w:r>
    </w:p>
    <w:p w14:paraId="73B2F873" w14:textId="77777777" w:rsidR="00FA7CC6" w:rsidRPr="00CC77A7" w:rsidRDefault="00FA7CC6" w:rsidP="00FA7CC6">
      <w:pPr>
        <w:pStyle w:val="Normal12a24b"/>
      </w:pPr>
      <w:r w:rsidRPr="00CC77A7">
        <w:rPr>
          <w:rStyle w:val="BoldItalic"/>
        </w:rPr>
        <w:t>Tributação e ambiente empresarial</w:t>
      </w:r>
    </w:p>
    <w:p w14:paraId="33F237CF" w14:textId="77777777" w:rsidR="00FA7CC6" w:rsidRPr="00CC77A7" w:rsidRDefault="00FA7CC6" w:rsidP="00FA7CC6">
      <w:pPr>
        <w:pStyle w:val="NormalHanging12a"/>
      </w:pPr>
      <w:r w:rsidRPr="00CC77A7">
        <w:t>1.</w:t>
      </w:r>
      <w:r w:rsidRPr="00CC77A7">
        <w:tab/>
        <w:t>Destaca que a existência de regras fiscais simples e previsíveis deverá facilitar o pagamento dos impostos devidos pelos contribuintes e a gestão e cobrança das receitas pelas administrações públicas; sublinha a necessidade de criar uma União que favoreça a observância das regras e assegure um clima propício às empresas, em que os setores produtivos possam competir e prosperar e os trabalhadores possam auferir bons rendimentos, fomentando, simultaneamente, a dupla transição; salienta que uma complexidade exagerada em matéria de regras de tributação pode ter um efeito dissuasivo sobre o investimento e observa, ao mesmo tempo, que a política fiscal deve ser concebida de tal modo que evite distorcer a tomada de decisões por parte dos agentes económicos;</w:t>
      </w:r>
    </w:p>
    <w:p w14:paraId="6E53C68E" w14:textId="77777777" w:rsidR="00FA7CC6" w:rsidRPr="00CC77A7" w:rsidRDefault="00FA7CC6" w:rsidP="00FA7CC6">
      <w:pPr>
        <w:pStyle w:val="NormalHanging12a"/>
      </w:pPr>
      <w:r w:rsidRPr="00CC77A7">
        <w:t>2.</w:t>
      </w:r>
      <w:r w:rsidRPr="00CC77A7">
        <w:tab/>
        <w:t>Manifesta a sua profunda preocupação face à ameaça à soberania fiscal da UE proferida pelo presidente dos EUA nas declarações que fez em 2 de abril de 2025 a respeito do IVA nos Estados</w:t>
      </w:r>
      <w:r w:rsidRPr="00CC77A7">
        <w:noBreakHyphen/>
        <w:t>Membros da UE como parte dos motivos adiantados para justificar a imposição de pautas aduaneiras às importações dos EUA provenientes da UE; realça que as guerras comerciais põem em perigo as empresas e insta a Comissão e os Estados</w:t>
      </w:r>
      <w:r w:rsidRPr="00CC77A7">
        <w:noBreakHyphen/>
        <w:t>Membros a limitarem a agitação no domínio das trocas comerciais que essas guerras provocam, bem como a consultarem as partes interessadas europeias aquando da tomada de decisões em resposta aos referidos direitos aduaneiros;</w:t>
      </w:r>
    </w:p>
    <w:p w14:paraId="1EF524EF" w14:textId="77777777" w:rsidR="00FA7CC6" w:rsidRPr="00CC77A7" w:rsidRDefault="00FA7CC6" w:rsidP="00FA7CC6">
      <w:pPr>
        <w:pStyle w:val="NormalHanging12a"/>
      </w:pPr>
      <w:r w:rsidRPr="00CC77A7">
        <w:t>3.</w:t>
      </w:r>
      <w:r w:rsidRPr="00CC77A7">
        <w:tab/>
        <w:t xml:space="preserve">Realça, conforme referido no relatório </w:t>
      </w:r>
      <w:proofErr w:type="spellStart"/>
      <w:r w:rsidRPr="00CC77A7">
        <w:t>Draghi</w:t>
      </w:r>
      <w:proofErr w:type="spellEnd"/>
      <w:r w:rsidRPr="00CC77A7">
        <w:t>, que a existência de regras fiscais divergentes na UE constitui um obstáculo significativo à realização de um verdadeiro mercado único; reconhece que o quadro fiscal da UE deve respeitar escrupulosamente os princípios da subsidiariedade, da proporcionalidade e da cooperação, a fim de reduzir os custos de conformidade para as empresas; frisa que os Estados</w:t>
      </w:r>
      <w:r w:rsidRPr="00CC77A7">
        <w:noBreakHyphen/>
        <w:t>Membros têm o direito de adaptar a fiscalidade às suas necessidades nacionais específicas, sem deixar de observar as normas comuns e de envidar esforços coordenados para combater a fraude e a evasão fiscais, assegurar o intercâmbio atempado de informações e promover condições de concorrência equitativas; considera que estas realizações podem, nomeadamente, ser alcançadas através do justo equilíbrio entre o respeito pelas competências nacionais e a garantia de uma interpretação coerente;</w:t>
      </w:r>
    </w:p>
    <w:p w14:paraId="3D96954E" w14:textId="77777777" w:rsidR="00FA7CC6" w:rsidRPr="00CC77A7" w:rsidRDefault="00FA7CC6" w:rsidP="00FA7CC6">
      <w:pPr>
        <w:pStyle w:val="NormalHanging12a"/>
      </w:pPr>
      <w:r w:rsidRPr="00CC77A7">
        <w:t>4.</w:t>
      </w:r>
      <w:r w:rsidRPr="00CC77A7">
        <w:tab/>
        <w:t>Salienta que, independentemente dos esforços no sentido de uma harmonização, é possível registar progressos consideráveis na simplificação em matéria de cumprimento fiscal e na eliminação dos obstáculos administrativos no mercado interno através de instrumentos comuns de aplicação, como, por exemplo, modelos normalizados de recolha e prestação de informação, orientações emitidas pela Comissão, bem como o diálogo e o intercâmbio de boas práticas entre os Estados</w:t>
      </w:r>
      <w:r w:rsidRPr="00CC77A7">
        <w:noBreakHyphen/>
        <w:t>Membros;</w:t>
      </w:r>
    </w:p>
    <w:p w14:paraId="54EA98D1" w14:textId="36499605" w:rsidR="00FA7CC6" w:rsidRPr="00CC77A7" w:rsidRDefault="00FA7CC6" w:rsidP="00FA7CC6">
      <w:pPr>
        <w:pStyle w:val="NormalHanging12a"/>
      </w:pPr>
      <w:r w:rsidRPr="00CC77A7">
        <w:t>5.</w:t>
      </w:r>
      <w:r w:rsidRPr="00CC77A7">
        <w:tab/>
        <w:t>Observa que as empresas da UE, em particular as PME, são forças motrizes do crescimento económico e da criação de emprego em todo o continente; recorda que as PME enfrentam dificuldades orçamentais consideráveis em razão da complexidade da regulamentação fiscal e da fragmentação dos sistemas de tributação, que impõem encargos administrativos e custos de conformidade elevados</w:t>
      </w:r>
      <w:r w:rsidR="003A3ECB" w:rsidRPr="00CC77A7">
        <w:t>; considerando que</w:t>
      </w:r>
      <w:r w:rsidRPr="00CC77A7">
        <w:t xml:space="preserve">, segundo as estimativas, os custos de conformidade para as PME rondam os 30 % dos impostos pagos (face a 2 % para as grandes empresas), o que impede que cresçam e </w:t>
      </w:r>
      <w:r w:rsidRPr="00CC77A7">
        <w:lastRenderedPageBreak/>
        <w:t>inovem; insta a Comissão a avaliar o impacto das atuais e futuras propostas nas PME e a estudar soluções que simplifiquem os procedimentos fiscais e reduzam os custos de conformidade, em estreita cooperação com as autoridades fiscais nacionais; insta, além disso, a Comissão a avaliar por que razão a proposta de diretiva que estabelece um sistema de tributação da sede social para as PME não ganhou força no Conselho e apela para que sejam realizados progressos concretos e encontradas soluções viáveis para avançar nesta matéria; apela ao desenvolvimento de um conjunto abrangente de ferramentas de fácil utilização para as PME e as empresas em fase de arranque que inclua orientações, modelos e opções de declaração fiscal automatizada — disponíveis gratuitamente e atualizados periodicamente — aplicáveis ao IVA, ao imposto sobre as sociedades, às folhas de pagamento e a outras obrigações;</w:t>
      </w:r>
    </w:p>
    <w:p w14:paraId="46F56EB4" w14:textId="77777777" w:rsidR="00FA7CC6" w:rsidRPr="00CC77A7" w:rsidRDefault="00FA7CC6" w:rsidP="00FA7CC6">
      <w:pPr>
        <w:pStyle w:val="NormalHanging12a"/>
      </w:pPr>
      <w:r w:rsidRPr="00CC77A7">
        <w:t>6.</w:t>
      </w:r>
      <w:r w:rsidRPr="00CC77A7">
        <w:tab/>
        <w:t xml:space="preserve">Observa o teor do relatório </w:t>
      </w:r>
      <w:proofErr w:type="spellStart"/>
      <w:r w:rsidRPr="00CC77A7">
        <w:t>Draghi</w:t>
      </w:r>
      <w:proofErr w:type="spellEnd"/>
      <w:r w:rsidRPr="00CC77A7">
        <w:t xml:space="preserve"> quanto às propostas fiscais setoriais específicas, nomeadamente as recomendações no sentido de reduzir os custos do consumo de eletricidade sem comprometer a competitividade da UE nem dissuadir o investimento, prejudicar a criação de emprego ou enfraquecer a confiança das empresas; chama, neste contexto, a atenção para a reflexão informal levada a cabo pelos ministros das Finanças da UE, em janeiro de 2025, sobre os elevados preços da energia e das prioridades que definiram; regista o trabalho em curso sobre a revisão da Diretiva Tributação da Energia</w:t>
      </w:r>
      <w:r w:rsidRPr="00CC77A7">
        <w:rPr>
          <w:rStyle w:val="FootnoteReference"/>
        </w:rPr>
        <w:footnoteReference w:id="27"/>
      </w:r>
      <w:r w:rsidRPr="00CC77A7">
        <w:t xml:space="preserve"> e salienta a importância de estabelecer um equilíbrio entre as aspirações em matéria climática, por um lado, e as realidades económicas, os atuais níveis elevados dos preços da energia e as necessidades em matéria de conectividade, por outro;</w:t>
      </w:r>
    </w:p>
    <w:p w14:paraId="50A4D4FE" w14:textId="77777777" w:rsidR="00FA7CC6" w:rsidRPr="00CC77A7" w:rsidRDefault="00FA7CC6" w:rsidP="00FA7CC6">
      <w:pPr>
        <w:pStyle w:val="Normal12a24b"/>
      </w:pPr>
      <w:r w:rsidRPr="00CC77A7">
        <w:rPr>
          <w:rStyle w:val="BoldItalic"/>
        </w:rPr>
        <w:t>Competitividade e crescimento económico</w:t>
      </w:r>
    </w:p>
    <w:p w14:paraId="5E8BF9CD" w14:textId="77777777" w:rsidR="00FA7CC6" w:rsidRPr="00CC77A7" w:rsidRDefault="00FA7CC6" w:rsidP="00FA7CC6">
      <w:pPr>
        <w:pStyle w:val="NormalHanging12a"/>
      </w:pPr>
      <w:r w:rsidRPr="00CC77A7">
        <w:t>7.</w:t>
      </w:r>
      <w:r w:rsidRPr="00CC77A7">
        <w:tab/>
        <w:t>Sublinha que a competitividade tem um sentido lato, referindo</w:t>
      </w:r>
      <w:r w:rsidRPr="00CC77A7">
        <w:noBreakHyphen/>
        <w:t>se a uma taxa de produtividade capaz de impulsionar o crescimento sustentável e, por conseguinte, rendimentos e bem</w:t>
      </w:r>
      <w:r w:rsidRPr="00CC77A7">
        <w:noBreakHyphen/>
        <w:t>estar para todos; destaca que a competitividade de uma economia não traz apenas vantagens para as empresas, mas permite sobretudo gerar elevados níveis de emprego e bem</w:t>
      </w:r>
      <w:r w:rsidRPr="00CC77A7">
        <w:noBreakHyphen/>
        <w:t>estar social, cria espaço para a inovação, oportunidades e infraestruturas de ensino adequadas e instituições e normas sólidas em matéria de Estado de direito; reconhece que uma tributação eficiente, eficaz e equitativa — incluindo medidas para travar a concorrência fiscal prejudicial e um «nivelamento por baixo» das taxas de tributação — é fundamental para gerar os recursos públicos indispensáveis ao investimento público e privado sustentado que reforce a competitividade, a coesão social e económica e o crescimento da UE;</w:t>
      </w:r>
    </w:p>
    <w:p w14:paraId="3AFB0C08" w14:textId="77777777" w:rsidR="00FA7CC6" w:rsidRPr="00CC77A7" w:rsidRDefault="00FA7CC6" w:rsidP="00FA7CC6">
      <w:pPr>
        <w:pStyle w:val="NormalHanging12a"/>
      </w:pPr>
      <w:r w:rsidRPr="00CC77A7">
        <w:t>8.</w:t>
      </w:r>
      <w:r w:rsidRPr="00CC77A7">
        <w:tab/>
        <w:t>Saúda as Conclusões do Conselho Europeu sobre o novo pacto para a competitividade europeia; lamenta, neste contexto, que o papel da fiscalidade na melhoria da competitividade da Europa não tenha sido mencionado; apela a uma maior cooperação fiscal na UE, através da redução da fragmentação e da complexidade e, simultaneamente, do fomento de uma maior cooperação e confiança entre os Estados</w:t>
      </w:r>
      <w:r w:rsidRPr="00CC77A7">
        <w:noBreakHyphen/>
        <w:t>Membros, uma vez que tal se reveste de importância fulcral para reforçar a competitividade da economia europeia;</w:t>
      </w:r>
    </w:p>
    <w:p w14:paraId="4C097196" w14:textId="77777777" w:rsidR="00FA7CC6" w:rsidRPr="00CC77A7" w:rsidRDefault="00FA7CC6" w:rsidP="00FA7CC6">
      <w:pPr>
        <w:pStyle w:val="NormalHanging12a"/>
      </w:pPr>
      <w:r w:rsidRPr="00CC77A7">
        <w:t>9.</w:t>
      </w:r>
      <w:r w:rsidRPr="00CC77A7">
        <w:tab/>
        <w:t>Insta a Comissão e os Estados</w:t>
      </w:r>
      <w:r w:rsidRPr="00CC77A7">
        <w:noBreakHyphen/>
        <w:t xml:space="preserve">Membros a chegarem a acordo quanto a uma abordagem coordenada que vise promover uma maior transparência relativamente à despesa pública </w:t>
      </w:r>
      <w:r w:rsidRPr="00CC77A7">
        <w:lastRenderedPageBreak/>
        <w:t>das receitas fiscais, a fim de assegurar que essa despesa esteja — de uma forma eficaz no que toca aos custos, e sem criar externalidades imprevistas ou nocivas para o mercado interno, nem abrir oportunidades para a evasão fiscal ou planeamento fiscal agressivo — a contribuir para os objetivos políticos desejados;</w:t>
      </w:r>
    </w:p>
    <w:p w14:paraId="215769CD" w14:textId="77777777" w:rsidR="00FA7CC6" w:rsidRPr="00CC77A7" w:rsidRDefault="00FA7CC6" w:rsidP="00FA7CC6">
      <w:pPr>
        <w:pStyle w:val="NormalHanging12a"/>
      </w:pPr>
      <w:r w:rsidRPr="00CC77A7">
        <w:t>10.</w:t>
      </w:r>
      <w:r w:rsidRPr="00CC77A7">
        <w:tab/>
        <w:t>Congratula</w:t>
      </w:r>
      <w:r w:rsidRPr="00CC77A7">
        <w:noBreakHyphen/>
        <w:t>se com as Conclusões do Conselho Europeu sobre a racionalização e simplificação fiscais; frisa que as futuras iniciativas da UE em matéria de fiscalidade devem centrar</w:t>
      </w:r>
      <w:r w:rsidRPr="00CC77A7">
        <w:noBreakHyphen/>
        <w:t>se prioritariamente na simplificação administrativa, na eliminação (quando ela existe) da sobreposição de regras fiscais, no aumento da clareza e na racionalização da aplicação das regras fiscais, eliminando as divergências ou ineficiências identificadas que possam afetar o funcionamento do mercado único; salienta que a Comissão deveria facilitar e encorajar uma cooperação mais sólida entre os Estados</w:t>
      </w:r>
      <w:r w:rsidRPr="00CC77A7">
        <w:noBreakHyphen/>
        <w:t>Membros e as administrações fiscais nacionais, a fim de permitir uma interpretação mais coerente da legislação em matéria de tributação direta e indireta;</w:t>
      </w:r>
    </w:p>
    <w:p w14:paraId="31829CF0" w14:textId="77777777" w:rsidR="00FA7CC6" w:rsidRPr="00CC77A7" w:rsidRDefault="00FA7CC6" w:rsidP="00FA7CC6">
      <w:pPr>
        <w:pStyle w:val="NormalHanging12a"/>
      </w:pPr>
      <w:r w:rsidRPr="00CC77A7">
        <w:t>11.</w:t>
      </w:r>
      <w:r w:rsidRPr="00CC77A7">
        <w:tab/>
        <w:t>Regista a investigação realizada, em 2022, pelo Centro Comum de Investigação, que conclui que as receitas provenientes dos impostos sobre as atividades económicas locais que revertem a favor dos orçamentos municipais podem servir de incentivo para que os municípios tomem medidas e impulsionem as atividades económicas a nível local; insta a Comissão a, neste contexto, realizar mais investigação a este respeito e a participar, juntamente com os Estados</w:t>
      </w:r>
      <w:r w:rsidRPr="00CC77A7">
        <w:noBreakHyphen/>
        <w:t>Membros, em iniciativas de aprendizagem mútua, a fim de incentivar os municípios a prestarem atenção às suas empresas, libertando assim um potencial inexplorado de crescimento económico em toda a UE;</w:t>
      </w:r>
    </w:p>
    <w:p w14:paraId="7ACB7741" w14:textId="77777777" w:rsidR="00FA7CC6" w:rsidRPr="00CC77A7" w:rsidRDefault="00FA7CC6" w:rsidP="00FA7CC6">
      <w:pPr>
        <w:pStyle w:val="NormalHanging12a"/>
      </w:pPr>
      <w:r w:rsidRPr="00CC77A7">
        <w:t>12.</w:t>
      </w:r>
      <w:r w:rsidRPr="00CC77A7">
        <w:tab/>
        <w:t>Salienta que benefícios fiscais devidamente delineados e justificados, que tenham substância do ponto de vista económico e tragam benefícios socioeconómicos, podem favorecer as atividades económicas que contribuam para alcançar os objetivos públicos, nomeadamente nas zonas periféricas e noutras regiões geograficamente desfavorecidas na UE; observa que os incentivos fiscais devem não só respeitar os Tratados e as restrições relacionadas com a folga orçamental, como também evitar a fragmentação do mercado interno, e apela à criação de um conjunto de instrumentos para assegurar o diálogo, a transparência e a coordenação entre os Estados</w:t>
      </w:r>
      <w:r w:rsidRPr="00CC77A7">
        <w:noBreakHyphen/>
        <w:t>Membros em matéria de incentivos fiscais; congratula</w:t>
      </w:r>
      <w:r w:rsidRPr="00CC77A7">
        <w:noBreakHyphen/>
        <w:t>se com a intenção da Comissão de emitir orientações não vinculativas em matéria de incentivos fiscais e apela à elaboração de um estudo mais aprofundado sobre o efeito da aplicação das regras do Pilar Dois da OCDE em matéria de incentivos fiscais e à formulação de recomendações para assegurar a sua eficácia no âmbito do segundo pilar; sublinha a importância de assegurar que os incentivos fiscais continuem a estar plenamente consentâneos com o quadro da UE em matéria de auxílios estatais; recorda os compromissos da UE em matéria de alterações climáticas e o apoio incansável do Parlamento a estes objetivos e insta a Comissão e os Estados</w:t>
      </w:r>
      <w:r w:rsidRPr="00CC77A7">
        <w:noBreakHyphen/>
        <w:t>Membros a coordenarem esforços e a ponderarem os potenciais benefícios dos incentivos fiscais para investimentos ecológicos;</w:t>
      </w:r>
    </w:p>
    <w:p w14:paraId="6AAAF12C" w14:textId="77777777" w:rsidR="00FA7CC6" w:rsidRPr="00CC77A7" w:rsidRDefault="00FA7CC6" w:rsidP="00FA7CC6">
      <w:pPr>
        <w:pStyle w:val="NormalHanging12a"/>
      </w:pPr>
      <w:r w:rsidRPr="00CC77A7">
        <w:t>13.</w:t>
      </w:r>
      <w:r w:rsidRPr="00CC77A7">
        <w:tab/>
        <w:t>Recorda que não se têm registado progressos relativamente a várias iniciativas legislativas no domínio da fiscalidade; sublinha, a este respeito, a necessidade de proporcionar segurança jurídica e previsibilidade às empresas na UE; toma nota dos esclarecimentos prestados pela Comissão a respeito das iniciativas que, no domínio da fiscalidade, deverão ser retiradas;</w:t>
      </w:r>
    </w:p>
    <w:p w14:paraId="3AF308DD" w14:textId="77777777" w:rsidR="00FA7CC6" w:rsidRPr="00CC77A7" w:rsidRDefault="00FA7CC6" w:rsidP="00FA7CC6">
      <w:pPr>
        <w:pStyle w:val="Normal12a24b"/>
      </w:pPr>
      <w:r w:rsidRPr="00CC77A7">
        <w:rPr>
          <w:rStyle w:val="BoldItalic"/>
        </w:rPr>
        <w:t>Simplificação fiscal e digitalização</w:t>
      </w:r>
    </w:p>
    <w:p w14:paraId="18A7E4FF" w14:textId="77777777" w:rsidR="00FA7CC6" w:rsidRPr="00CC77A7" w:rsidRDefault="00FA7CC6" w:rsidP="00FA7CC6">
      <w:pPr>
        <w:pStyle w:val="NormalHanging12a"/>
      </w:pPr>
      <w:r w:rsidRPr="00CC77A7">
        <w:lastRenderedPageBreak/>
        <w:t>14.</w:t>
      </w:r>
      <w:r w:rsidRPr="00CC77A7">
        <w:tab/>
        <w:t>Recorda a prioridade da Comissão no sentido de garantir, em todas as políticas, uma simplificação em prol das empresas — designadamente no domínio da fiscalidade que se insere no âmbito das suas competências —, com o objetivo de reduzir os requisitos em matéria de comunicação de informações em, pelo menos, 25 % (e para as PME em, pelo menos, 35 %); insta, a este respeito, a Comissão a realizar, em estreito e permanente diálogo com os Estados</w:t>
      </w:r>
      <w:r w:rsidRPr="00CC77A7">
        <w:noBreakHyphen/>
        <w:t xml:space="preserve">Membros, avaliações de impacto </w:t>
      </w:r>
      <w:proofErr w:type="spellStart"/>
      <w:r w:rsidRPr="00CC77A7">
        <w:rPr>
          <w:i/>
          <w:iCs/>
        </w:rPr>
        <w:t>ex</w:t>
      </w:r>
      <w:proofErr w:type="spellEnd"/>
      <w:r w:rsidRPr="00CC77A7">
        <w:rPr>
          <w:i/>
          <w:iCs/>
        </w:rPr>
        <w:t xml:space="preserve"> ante</w:t>
      </w:r>
      <w:r w:rsidRPr="00CC77A7">
        <w:t xml:space="preserve"> de todas as novas propostas legislativas relacionadas com a fiscalidade, bem como controlos da competitividade das medidas em vigor, a fim de quantificar a redução esperada dos encargos administrativos e de assegurar a coerência das novas regras com os objetivos de crescimento económico e em matéria de transição ecológica e digital;</w:t>
      </w:r>
    </w:p>
    <w:p w14:paraId="7C08D4E3" w14:textId="77777777" w:rsidR="00FA7CC6" w:rsidRPr="00CC77A7" w:rsidRDefault="00FA7CC6" w:rsidP="00FA7CC6">
      <w:pPr>
        <w:pStyle w:val="NormalHanging12a"/>
      </w:pPr>
      <w:r w:rsidRPr="00CC77A7">
        <w:t>15.</w:t>
      </w:r>
      <w:r w:rsidRPr="00CC77A7">
        <w:tab/>
        <w:t>Insta a Comissão a identificar e a eliminar todos os casos de duplicação de pedidos de comunicação de informações e a criar um sistema eficiente de partilha de dados entre as administrações fiscais, isentando assim os contribuintes de duplas obrigações de notificação; assinala que, neste contexto, poderia facilmente obter</w:t>
      </w:r>
      <w:r w:rsidRPr="00CC77A7">
        <w:noBreakHyphen/>
        <w:t>se mais benefícios, nomeadamente através da alteração da Diretiva (UE) 2021/2101</w:t>
      </w:r>
      <w:r w:rsidRPr="00CC77A7">
        <w:rPr>
          <w:rStyle w:val="FootnoteReference"/>
        </w:rPr>
        <w:footnoteReference w:id="28"/>
      </w:r>
      <w:r w:rsidRPr="00CC77A7">
        <w:t xml:space="preserve"> relativa à divulgação de informações discriminadas por país, a fim de garantir a equivalência das regras da UE com a norma comum de notificação 207 da Iniciativa Global </w:t>
      </w:r>
      <w:proofErr w:type="spellStart"/>
      <w:r w:rsidRPr="00CC77A7">
        <w:t>Reporting</w:t>
      </w:r>
      <w:proofErr w:type="spellEnd"/>
      <w:r w:rsidRPr="00CC77A7">
        <w:t>; insta a Comissão a avaliar os méritos de uma tal equivalência;</w:t>
      </w:r>
    </w:p>
    <w:p w14:paraId="79DC08E4" w14:textId="77777777" w:rsidR="00FA7CC6" w:rsidRPr="00CC77A7" w:rsidRDefault="00FA7CC6" w:rsidP="00FA7CC6">
      <w:pPr>
        <w:pStyle w:val="NormalHanging12a"/>
      </w:pPr>
      <w:r w:rsidRPr="00CC77A7">
        <w:t>16.</w:t>
      </w:r>
      <w:r w:rsidRPr="00CC77A7">
        <w:tab/>
        <w:t>Insta a Comissão e os Estados</w:t>
      </w:r>
      <w:r w:rsidRPr="00CC77A7">
        <w:noBreakHyphen/>
        <w:t>Membros a simplificarem as obrigações fiscais que impendem sobre o setor da defesa, alargando e simplificando as isenções do IVA aplicáveis aos contratos públicos adjudicados no âmbito das iniciativas conjuntas da UE no domínio da defesa;</w:t>
      </w:r>
    </w:p>
    <w:p w14:paraId="094DF98F" w14:textId="77777777" w:rsidR="00FA7CC6" w:rsidRPr="00CC77A7" w:rsidRDefault="00FA7CC6" w:rsidP="00FA7CC6">
      <w:pPr>
        <w:pStyle w:val="NormalHanging12a"/>
      </w:pPr>
      <w:r w:rsidRPr="00CC77A7">
        <w:t>17.</w:t>
      </w:r>
      <w:r w:rsidRPr="00CC77A7">
        <w:tab/>
        <w:t>Apela à criação de uma plataforma de dados fiscais da UE para melhorar a troca automática de informações fiscais e reduzir os encargos administrativos; incentiva a Comissão e os Estados</w:t>
      </w:r>
      <w:r w:rsidRPr="00CC77A7">
        <w:noBreakHyphen/>
        <w:t>Membros a tirarem partido dos instrumentos existentes, como o Sistema de Intercâmbio de Informações sobre o IVA (VIES) e o Sistema de Controlo da Circulação dos Produtos Sujeitos a Impostos Especiais de Consumo (CIEC), e a estudarem a possibilidade de alargar o seu âmbito de aplicação a domínios como a fiscalidade direta; realça que uma tal plataforma deveria permitir uma análise conjunta das informações pertinentes para o processo de controlo da tributação com uma componente transfronteiriça, evitar duplicações e servir de ponto de acesso único para as administrações fiscais em toda a UE;</w:t>
      </w:r>
    </w:p>
    <w:p w14:paraId="0F6B97A1" w14:textId="77777777" w:rsidR="00FA7CC6" w:rsidRPr="00CC77A7" w:rsidRDefault="00FA7CC6" w:rsidP="00FA7CC6">
      <w:pPr>
        <w:pStyle w:val="NormalHanging12a"/>
      </w:pPr>
      <w:r w:rsidRPr="00CC77A7">
        <w:t>18.</w:t>
      </w:r>
      <w:r w:rsidRPr="00CC77A7">
        <w:tab/>
        <w:t>Destaca o papel fundamental que a faturação eletrónica poderá desempenhar para reforçar a transparência, reduzir os encargos administrativos e permitir a utilização prática e eficiente dos dados comunicados;</w:t>
      </w:r>
    </w:p>
    <w:p w14:paraId="2DA4A334" w14:textId="77777777" w:rsidR="00FA7CC6" w:rsidRPr="00CC77A7" w:rsidRDefault="00FA7CC6" w:rsidP="00FA7CC6">
      <w:pPr>
        <w:pStyle w:val="NormalHanging12a"/>
      </w:pPr>
      <w:r w:rsidRPr="00CC77A7">
        <w:t>19.</w:t>
      </w:r>
      <w:r w:rsidRPr="00CC77A7">
        <w:tab/>
        <w:t>Recorda que, sem um relato de informações consistente, as administrações fiscais não disporiam das informações elementares necessárias para detetar, investigar e prevenir práticas fiscais abusivas; sublinha que o acesso a dados fiscais atempados e abrangentes é essencial para salvaguardar a equidade dos sistemas fiscais e salvaguardar as receitas públicas;</w:t>
      </w:r>
    </w:p>
    <w:p w14:paraId="2015BFB5" w14:textId="77777777" w:rsidR="00FA7CC6" w:rsidRPr="00CC77A7" w:rsidRDefault="00FA7CC6" w:rsidP="00FA7CC6">
      <w:pPr>
        <w:pStyle w:val="NormalHanging12a"/>
      </w:pPr>
      <w:r w:rsidRPr="00CC77A7">
        <w:lastRenderedPageBreak/>
        <w:t>20.</w:t>
      </w:r>
      <w:r w:rsidRPr="00CC77A7">
        <w:tab/>
        <w:t>Reconhece que, para justificar os custos de conformidade com base nos requisitos em matéria de relato de informações, é necessário dispor de administrações fiscais eficientes e dotadas de recursos suficientes, de pessoal devidamente formado e de infraestruturas digitais modernas; frisa que, para realizar todo o potencial inerente às obrigações de comunicação de informações existentes, importa investir na capacidade das autoridades fiscais;</w:t>
      </w:r>
    </w:p>
    <w:p w14:paraId="7D6856F8" w14:textId="77777777" w:rsidR="00FA7CC6" w:rsidRPr="00CC77A7" w:rsidRDefault="00FA7CC6" w:rsidP="00FA7CC6">
      <w:pPr>
        <w:pStyle w:val="NormalHanging12a"/>
      </w:pPr>
      <w:r w:rsidRPr="00CC77A7">
        <w:t>21.</w:t>
      </w:r>
      <w:r w:rsidRPr="00CC77A7">
        <w:tab/>
        <w:t>Recorda que regras fiscais simples, estáveis e previsíveis se revestem de importância fundamental para garantir a competitividade da economia e contribuirão para a criação de emprego e para o crescimento económico; insta a Comissão a emitir recomendações tendo em vista um sistema fiscal simplificado e competitivo, a fim de reduzir os encargos administrativos para as empresas e os cidadãos, sempre que tal se afigure adequado, por exemplo, simplificando a utilização do número de identificação fiscal em todos os Estados</w:t>
      </w:r>
      <w:r w:rsidRPr="00CC77A7">
        <w:noBreakHyphen/>
        <w:t>Membros, bem como no domínio dos incentivos fiscais; reconhece que a segurança fiscal, a simplificação dos procedimentos de reembolso e as deduções constituem as soluções essenciais para reduzir os encargos administrativos, em especial para as PME;</w:t>
      </w:r>
    </w:p>
    <w:p w14:paraId="26DD6E98" w14:textId="77777777" w:rsidR="00FA7CC6" w:rsidRPr="00CC77A7" w:rsidRDefault="00FA7CC6" w:rsidP="00FA7CC6">
      <w:pPr>
        <w:pStyle w:val="NormalHanging12a"/>
      </w:pPr>
      <w:r w:rsidRPr="00CC77A7">
        <w:t>22.</w:t>
      </w:r>
      <w:r w:rsidRPr="00CC77A7">
        <w:tab/>
        <w:t>Assinala a importância de proceder, a todos os níveis, a uma simplificação fiscal; realça a necessidade de aumentar a participação do setor retalhista nos mercados de capitais, simplificando os procedimentos de declaração fiscal das contas de poupança e de investimento, em particular quando estas contas estão associadas a incentivos fiscais; toma ainda conhecimento dos projetos</w:t>
      </w:r>
      <w:r w:rsidRPr="00CC77A7">
        <w:noBreakHyphen/>
        <w:t>piloto da Comissão em matéria de conformidade cooperativa destinados às empresas, tendo como objetivo reduzir as auditorias e melhorar a resolução de litígios para as empresas que cumprem elevados padrões de conformidade;</w:t>
      </w:r>
    </w:p>
    <w:p w14:paraId="17E8727F" w14:textId="77777777" w:rsidR="00FA7CC6" w:rsidRPr="00CC77A7" w:rsidRDefault="00FA7CC6" w:rsidP="00FA7CC6">
      <w:pPr>
        <w:pStyle w:val="NormalHanging12a"/>
      </w:pPr>
      <w:r w:rsidRPr="00CC77A7">
        <w:t>23.</w:t>
      </w:r>
      <w:r w:rsidRPr="00CC77A7">
        <w:tab/>
        <w:t>Sublinha o potencial da digitalização, especialmente da inteligência artificial (IA), enquanto ferramenta que permite reduzir os encargos administrativos e os custos de conformidade a suportar pelas empresas, em particular as PME, e contribuir para a deteção da fraude ao IVA; insiste, no entanto, na necessidade de manter um elemento humano tendo em vista os controlos de qualidade e para assegurar salvaguardas contra os riscos de discriminação; observa que a digitalização pode também melhorar a administração pública fiscal, contanto que haja transparência e um controlo suficiente das decisões em matéria fiscal tomadas de forma automatizada; insta a Comissão e os Estados</w:t>
      </w:r>
      <w:r w:rsidRPr="00CC77A7">
        <w:noBreakHyphen/>
        <w:t>Membros a fazerem avançar a digitalização e a simplificação da administração fiscal e, ao mesmo tempo, a reforçarem a cooperação, coordenação e o intercâmbio de boas práticas e de conhecimentos especializados entre as autoridades nacionais, atribuindo à Comissão o papel de facilitadora;</w:t>
      </w:r>
    </w:p>
    <w:p w14:paraId="4B7D2B3B" w14:textId="77777777" w:rsidR="00FA7CC6" w:rsidRPr="00CC77A7" w:rsidRDefault="00FA7CC6" w:rsidP="00FA7CC6">
      <w:pPr>
        <w:pStyle w:val="NormalHanging12a"/>
      </w:pPr>
      <w:r w:rsidRPr="00CC77A7">
        <w:t>24.</w:t>
      </w:r>
      <w:r w:rsidRPr="00CC77A7">
        <w:tab/>
        <w:t>Realça a necessidade de os Estados</w:t>
      </w:r>
      <w:r w:rsidRPr="00CC77A7">
        <w:noBreakHyphen/>
        <w:t xml:space="preserve">Membros afetarem recursos humanos e financeiros adequados à aplicação da nova legislação fiscal e à modernização das administrações fiscais, nomeadamente através de investimento em pessoal, formação, sistemas informáticos integrados e interoperáveis e consultas com o setor privado; insta a Comissão a reforçar o seu apoio através do programa </w:t>
      </w:r>
      <w:proofErr w:type="spellStart"/>
      <w:r w:rsidRPr="00CC77A7">
        <w:t>Fiscalis</w:t>
      </w:r>
      <w:proofErr w:type="spellEnd"/>
      <w:r w:rsidRPr="00CC77A7">
        <w:t xml:space="preserve"> e a estudar a possibilidade de estabelecer um programa de financiamento específico da UE para prestar mais apoio a esses investimentos;</w:t>
      </w:r>
    </w:p>
    <w:p w14:paraId="1BF06003" w14:textId="77777777" w:rsidR="00FA7CC6" w:rsidRPr="00CC77A7" w:rsidRDefault="00FA7CC6" w:rsidP="00FA7CC6">
      <w:pPr>
        <w:pStyle w:val="NormalHanging12a"/>
      </w:pPr>
      <w:r w:rsidRPr="00CC77A7">
        <w:t>25.</w:t>
      </w:r>
      <w:r w:rsidRPr="00CC77A7">
        <w:tab/>
        <w:t>Solicita à Comissão que avalie e a simplifique o atual quadro do IVA — dentro dos limites das suas competências e em diálogo permanente com os Estados</w:t>
      </w:r>
      <w:r w:rsidRPr="00CC77A7">
        <w:noBreakHyphen/>
        <w:t xml:space="preserve">Membros — com vista a diminuir os encargos administrativos, nomeadamente para as empresas e as </w:t>
      </w:r>
      <w:r w:rsidRPr="00CC77A7">
        <w:lastRenderedPageBreak/>
        <w:t>organizações comunitárias, reforçar a competitividade e reduzir o fosso entre as receitas esperadas e o montante efetivamente cobrado (desvio do IVA); reitera o seu apelo à introdução de um sistema de IVA simplificado e modernizado, que preveja limites em matéria de isenções e taxas não normalizadas, vise promover uma concorrência leal, reduzir os custos de conformidade e melhorar o cumprimento voluntário; regista o pacote IVA na Era Digital (pacote VED) e insta a Comissão a emitir orientações ou notas explicativas para assegurar uma aplicação harmoniosa da Diretiva (UE) 2025/516</w:t>
      </w:r>
      <w:r w:rsidRPr="00CC77A7">
        <w:rPr>
          <w:rStyle w:val="FootnoteReference"/>
        </w:rPr>
        <w:footnoteReference w:id="29"/>
      </w:r>
      <w:r w:rsidRPr="00CC77A7">
        <w:t>, designadamente no que diz respeito aos requisitos de comunicação digital da UE; salienta que o desvio do IVA varia significativamente entre os Estados</w:t>
      </w:r>
      <w:r w:rsidRPr="00CC77A7">
        <w:noBreakHyphen/>
        <w:t>Membros e congratula</w:t>
      </w:r>
      <w:r w:rsidRPr="00CC77A7">
        <w:noBreakHyphen/>
        <w:t>se com o pacote VED enquanto instrumento para reforçar a transparência e reduzir a fraude; apela a uma aplicação coordenada a nível nacional, a fim de assegurar a coerência, bem como a eficiência e a convivialidade do modelo de balcão único do IVA, em particular para as PME; apela à realização de novas reformas destinadas a facilitar o registo eletrónico do IVA das pequenas empresas e aumentar a digitalização da cobrança do IVA; insta a Comissão a consolidar e a ampliar ainda mais o balcão único do IVA no domínio do comércio eletrónico transfronteiras entre empresas e consumidores, a fim de reduzir os encargos administrativos e os custos de conformidade em matéria de IVA;</w:t>
      </w:r>
    </w:p>
    <w:p w14:paraId="6FA003F1" w14:textId="77777777" w:rsidR="00FA7CC6" w:rsidRPr="00CC77A7" w:rsidRDefault="00FA7CC6" w:rsidP="00FA7CC6">
      <w:pPr>
        <w:pStyle w:val="NormalHanging12a"/>
      </w:pPr>
      <w:r w:rsidRPr="00CC77A7">
        <w:t>26.</w:t>
      </w:r>
      <w:r w:rsidRPr="00CC77A7">
        <w:tab/>
        <w:t>Chama a atenção para a evidente viragem que o comportamento de compra fez na última década, que se caracterizou pelo aumento do comércio eletrónico durante a pandemia de COVID</w:t>
      </w:r>
      <w:r w:rsidRPr="00CC77A7">
        <w:noBreakHyphen/>
        <w:t>19, um aumento que ainda persiste; reconhece que as compras em linha deveriam, em virtude da pista de auditoria eletrónica que deixam, contribuir para um maior cumprimento em matéria de IVA, e que, no entanto, o relatório da Comissão sobre os desvios do IVA sublinha que devido à complexidade decorrente das vendas em linha, essa correlação não é assim tão evidente; insta a Comissão a avaliar se o acervo em matéria de IVA se presta à sua finalidade, tendo em conta a crescente popularidade do comércio eletrónico;</w:t>
      </w:r>
    </w:p>
    <w:p w14:paraId="68C41EDF" w14:textId="77777777" w:rsidR="00FA7CC6" w:rsidRPr="00CC77A7" w:rsidRDefault="00FA7CC6" w:rsidP="00FA7CC6">
      <w:pPr>
        <w:pStyle w:val="NormalHanging12a"/>
      </w:pPr>
      <w:r w:rsidRPr="00CC77A7">
        <w:t>27.</w:t>
      </w:r>
      <w:r w:rsidRPr="00CC77A7">
        <w:tab/>
        <w:t>Solicita que a Diretiva 2008/9/CE</w:t>
      </w:r>
      <w:r w:rsidRPr="00CC77A7">
        <w:rPr>
          <w:rStyle w:val="FootnoteReference"/>
        </w:rPr>
        <w:footnoteReference w:id="30"/>
      </w:r>
      <w:r w:rsidRPr="00CC77A7">
        <w:t xml:space="preserve"> do Conselho seja aprimorada; sublinha a importância de explorar a integração dos reembolsos transfronteiriços do IVA no modelo de balcão único, a fim de facilitar o cumprimento das obrigações em matéria de IVA ainda mais simples pelas empresas envolvidas no comércio transfronteiriço, sem deixar de assegurar o alinhamento com as obrigações em vigor em matéria de IVA nos diferentes Estados</w:t>
      </w:r>
      <w:r w:rsidRPr="00CC77A7">
        <w:noBreakHyphen/>
        <w:t>Membros;</w:t>
      </w:r>
    </w:p>
    <w:p w14:paraId="46E147A0" w14:textId="77777777" w:rsidR="00FA7CC6" w:rsidRPr="00CC77A7" w:rsidRDefault="00FA7CC6" w:rsidP="00FA7CC6">
      <w:pPr>
        <w:pStyle w:val="NormalHanging12a"/>
      </w:pPr>
      <w:r w:rsidRPr="00CC77A7">
        <w:t>28.</w:t>
      </w:r>
      <w:r w:rsidRPr="00CC77A7">
        <w:tab/>
        <w:t xml:space="preserve">Apela a uma aplicação coerente dos conceitos fundamentais e à racionalização das definições, a fim de aumentar a eficácia do sistema de IVA, nomeadamente a aplicação de interpretações comuns de «bens instalados e montados», tal como previsto no artigo </w:t>
      </w:r>
      <w:r w:rsidRPr="00CC77A7">
        <w:lastRenderedPageBreak/>
        <w:t>36.º da Diretiva IVA</w:t>
      </w:r>
      <w:r w:rsidRPr="00CC77A7">
        <w:rPr>
          <w:rStyle w:val="FootnoteReference"/>
        </w:rPr>
        <w:footnoteReference w:id="31"/>
      </w:r>
      <w:r w:rsidRPr="00CC77A7">
        <w:t>, e a uma aplicação coerente das definições de «estabelecimento estável» e «fixo» ou de outros estabelecimentos;</w:t>
      </w:r>
    </w:p>
    <w:p w14:paraId="5D86FA0D" w14:textId="77777777" w:rsidR="00FA7CC6" w:rsidRPr="00CC77A7" w:rsidRDefault="00FA7CC6" w:rsidP="00FA7CC6">
      <w:pPr>
        <w:pStyle w:val="NormalHanging12a"/>
      </w:pPr>
      <w:r w:rsidRPr="00CC77A7">
        <w:t>29.</w:t>
      </w:r>
      <w:r w:rsidRPr="00CC77A7">
        <w:tab/>
        <w:t>Salienta a necessidade de estabelecer um sistema de IVA mais sustentável e equitativo, prevendo uma análise mais aprofundada da forma como as taxas de IVA podem ser utilizadas para alcançar os objetivos de sustentabilidade; propõe que a Comissão avalie a possibilidade de eliminar a aplicação do IVA aos bens fornecidos gratuitamente para benefício social e ambiental;</w:t>
      </w:r>
    </w:p>
    <w:p w14:paraId="1E33AFB9" w14:textId="77777777" w:rsidR="00FA7CC6" w:rsidRPr="00CC77A7" w:rsidRDefault="00FA7CC6" w:rsidP="00FA7CC6">
      <w:pPr>
        <w:pStyle w:val="NormalHanging12a"/>
      </w:pPr>
      <w:r w:rsidRPr="00CC77A7">
        <w:t>30.</w:t>
      </w:r>
      <w:r w:rsidRPr="00CC77A7">
        <w:tab/>
        <w:t>Observa que, embora as taxas reduzidas de IVA tenham como finalidade legítima contribuir para os objetivos sociais e económicos mais amplos dos Estados</w:t>
      </w:r>
      <w:r w:rsidRPr="00CC77A7">
        <w:noBreakHyphen/>
        <w:t>Membros, nomeadamente dar apoio aos membros da sociedade mais vulneráveis e às crianças, a sua aplicação generalizada aumenta a insegurança jurídica e a complexidade do sistema fiscal; frisa que, se bem que as taxas reduzidas de IVA possam conduzir a uma diminuição do preço para o consumidor, uma tal redução depende também de outros fatores; entende, que, por isso, no âmbito da tarefa de simplificação, será conveniente proceder a uma revisão das taxas reduzidas de IVA e determinar quais delas continuam a ser necessárias e eficazes para concretizar os objetivos políticos que os Estados</w:t>
      </w:r>
      <w:r w:rsidRPr="00CC77A7">
        <w:noBreakHyphen/>
        <w:t>Membros pretendem alcançar;</w:t>
      </w:r>
    </w:p>
    <w:p w14:paraId="3FE90E5E" w14:textId="77777777" w:rsidR="00FA7CC6" w:rsidRPr="00CC77A7" w:rsidRDefault="00FA7CC6" w:rsidP="00FA7CC6">
      <w:pPr>
        <w:pStyle w:val="NormalHanging12a"/>
      </w:pPr>
      <w:r w:rsidRPr="00CC77A7">
        <w:t>31.</w:t>
      </w:r>
      <w:r w:rsidRPr="00CC77A7">
        <w:tab/>
        <w:t>Reitera a posição do Parlamento sobre a proposta de sistema de tributação da sede social para as PME, a proposta de diretiva «</w:t>
      </w:r>
      <w:proofErr w:type="spellStart"/>
      <w:r w:rsidRPr="00CC77A7">
        <w:t>Unshell</w:t>
      </w:r>
      <w:proofErr w:type="spellEnd"/>
      <w:r w:rsidRPr="00CC77A7">
        <w:t>» e a proposta de dedução para reduzir a distorção dívida</w:t>
      </w:r>
      <w:r w:rsidRPr="00CC77A7">
        <w:noBreakHyphen/>
        <w:t>capitais próprios (DEBRA);</w:t>
      </w:r>
    </w:p>
    <w:p w14:paraId="6AD914E5" w14:textId="77777777" w:rsidR="00FA7CC6" w:rsidRPr="00CC77A7" w:rsidRDefault="00FA7CC6" w:rsidP="00FA7CC6">
      <w:pPr>
        <w:pStyle w:val="NormalHanging12a"/>
      </w:pPr>
      <w:r w:rsidRPr="00CC77A7">
        <w:t>32.</w:t>
      </w:r>
      <w:r w:rsidRPr="00CC77A7">
        <w:tab/>
        <w:t>Salienta que a complexidade, as discrepâncias e as interações entre os diferentes sistemas fiscais nacionais podem criar condições de concorrência desiguais e ter um efeito adverso no funcionamento do mercado interno; destaca que esta situação é suscetível de desincentivar o investimento transfronteiriço, o que pode ser particularmente nefasto para as PME e as empresas exclusivamente nacionais que não dispõem de recursos para participar em esquemas de planeamento fiscal complexos e, por conseguinte, enfrentam um ambiente concorrencial desleal que não é propenso a uma expansão;</w:t>
      </w:r>
    </w:p>
    <w:p w14:paraId="250392D9" w14:textId="77777777" w:rsidR="00FA7CC6" w:rsidRPr="00CC77A7" w:rsidRDefault="00FA7CC6" w:rsidP="00FA7CC6">
      <w:pPr>
        <w:pStyle w:val="NormalHanging12a"/>
      </w:pPr>
      <w:r w:rsidRPr="00CC77A7">
        <w:t>33.</w:t>
      </w:r>
      <w:r w:rsidRPr="00CC77A7">
        <w:tab/>
        <w:t>Assinala o trabalho realizado relativamente à proposta sobre o Quadro de Tributação dos Rendimentos Empresariais na Europa (BEFIT); recorda que, com a apresentação da proposta BEFIT, a Comissão tinha como objetivo reduzir a complexidade das regras fiscais e os custos de conformidade para as empresas da UE envolvidas em operações transfronteiras; regista o potencial que a referida proposta encerra para reduzir a fragmentação e criar condições de concorrência equitativas para as empresas no mercado interno; destaca que qualquer iniciativa da UE deve proporcionar valor acrescentado, tanto no sentido jurídico como económico, e apela a uma abordagem eficaz e equilibrada que traga vantagens para todos os Estados</w:t>
      </w:r>
      <w:r w:rsidRPr="00CC77A7">
        <w:noBreakHyphen/>
        <w:t>Membros, respeite o princípio da subsidiariedade e se alinhe de forma coerente com a aplicação das regras do Pilar Dois da OCDE;</w:t>
      </w:r>
    </w:p>
    <w:p w14:paraId="152559D7" w14:textId="77777777" w:rsidR="00FA7CC6" w:rsidRPr="00CC77A7" w:rsidRDefault="00FA7CC6" w:rsidP="00FA7CC6">
      <w:pPr>
        <w:pStyle w:val="Normal12a24b"/>
      </w:pPr>
      <w:r w:rsidRPr="00CC77A7">
        <w:rPr>
          <w:rStyle w:val="BoldItalic"/>
        </w:rPr>
        <w:t>Pilares Um e Dois da OCDE e tributação internacional</w:t>
      </w:r>
    </w:p>
    <w:p w14:paraId="54F439C3" w14:textId="77777777" w:rsidR="00FA7CC6" w:rsidRPr="00CC77A7" w:rsidRDefault="00FA7CC6" w:rsidP="00FA7CC6">
      <w:pPr>
        <w:pStyle w:val="NormalHanging12a"/>
      </w:pPr>
      <w:r w:rsidRPr="00CC77A7">
        <w:lastRenderedPageBreak/>
        <w:t>34.</w:t>
      </w:r>
      <w:r w:rsidRPr="00CC77A7">
        <w:tab/>
        <w:t>Reitera o forte empenho da UE na aplicação da abordagem de dois pilares do Quadro Inclusivo da OCDE/G20, tendo nomeadamente em conta a situação atual no que diz respeito às regras do Pilar Dois, nomeadamente o recente decreto presidencial emitido pelo Presidente dos EUA, em 20 de janeiro de 2025, segundo o qual o Pacto Fiscal Global da OCDE não se aplica nem produz efeitos nos Estados Unidos; insta a Comissão a dar prioridade aos trabalhos que mantenham e protejam o acordo, a fim de evitar que se caia novamente numa situação de concorrência fiscal prejudicial, em detrimento das receitas públicas e dos interesses da UE; exorta a Comissão a informar o Parlamento sobre os planos de contingência e a tomar medidas céleres e direcionadas a fim de salvaguardar a integridade e a eficácia da Diretiva Pilar Dois</w:t>
      </w:r>
      <w:r w:rsidRPr="00CC77A7">
        <w:rPr>
          <w:rStyle w:val="FootnoteReference"/>
        </w:rPr>
        <w:footnoteReference w:id="32"/>
      </w:r>
      <w:r w:rsidRPr="00CC77A7">
        <w:t>, de proteger os interesses da UE e de evitar medidas de retaliação; observa que, no âmbito da aplicação da Diretiva Pilar Dois, é possível proceder a uma simplificação administrativa;</w:t>
      </w:r>
    </w:p>
    <w:p w14:paraId="3858D192" w14:textId="77777777" w:rsidR="00FA7CC6" w:rsidRPr="00CC77A7" w:rsidRDefault="00FA7CC6" w:rsidP="00FA7CC6">
      <w:pPr>
        <w:pStyle w:val="NormalHanging12a"/>
      </w:pPr>
      <w:r w:rsidRPr="00CC77A7">
        <w:t>35.</w:t>
      </w:r>
      <w:r w:rsidRPr="00CC77A7">
        <w:tab/>
        <w:t>Salienta que o Pilar Dois deverá garantir o estabelecimento de um nível mínimo mundial de tributação dos grupos de empresas multinacionais e dos grandes grupos nacionais na UE; congratula</w:t>
      </w:r>
      <w:r w:rsidRPr="00CC77A7">
        <w:noBreakHyphen/>
        <w:t>se com a sua transposição para o direito nacional; apela à clareza jurídica, tendo em conta as diferenças entre as regras do Pilar Dois da OCDE e a sua aplicação pelos Estados</w:t>
      </w:r>
      <w:r w:rsidRPr="00CC77A7">
        <w:noBreakHyphen/>
        <w:t>Membros, em especial no que diz respeito às atividades de transporte marítimo, a fim de evitar a criação de regimes fiscais contraditórios suscetíveis de gerar confusão; espera que, a breve trecho, o processo de negociação e publicação das orientações administrativas fique concluído e proporcione a segurança necessária às empresas abrangidas pelo âmbito de aplicação do Pilar Dois; espera ainda que as regras de salvaguarda em vigor evoluam no sentido de facilitar o cumprimento, nomeadamente através de uma regra de salvaguarda permanente;</w:t>
      </w:r>
    </w:p>
    <w:p w14:paraId="426C9ED0" w14:textId="77777777" w:rsidR="00FA7CC6" w:rsidRPr="00CC77A7" w:rsidRDefault="00FA7CC6" w:rsidP="00FA7CC6">
      <w:pPr>
        <w:pStyle w:val="NormalHanging12a"/>
      </w:pPr>
      <w:r w:rsidRPr="00CC77A7">
        <w:t>36.</w:t>
      </w:r>
      <w:r w:rsidRPr="00CC77A7">
        <w:tab/>
        <w:t>Destaca o papel decisivo que a Procuradoria Europeia e o Organismo Europeu de Luta Antifraude (OLAF) têm desempenhado na identificação e investigação da fraude fiscal e da evasão fiscal e salienta a necessidade de uma colaboração eficaz entre estes organismos, bem como com as autoridades fiscais nacionais;</w:t>
      </w:r>
    </w:p>
    <w:p w14:paraId="5C15640F" w14:textId="77777777" w:rsidR="00FA7CC6" w:rsidRPr="00CC77A7" w:rsidRDefault="00FA7CC6" w:rsidP="00FA7CC6">
      <w:pPr>
        <w:pStyle w:val="NormalHanging12a"/>
      </w:pPr>
      <w:r w:rsidRPr="00CC77A7">
        <w:t>37.</w:t>
      </w:r>
      <w:r w:rsidRPr="00CC77A7">
        <w:tab/>
        <w:t>Regista o facto de a OCDE ter publicado, em outubro de 2023, a Convenção Multilateral, que estabelece as regras técnicas de aplicação do montante A do Pilar Um, bem como das negociações em curso; insta a Comissão a avaliar os efeitos que um imposto sobre os serviços digitais possa vir a ter;</w:t>
      </w:r>
    </w:p>
    <w:p w14:paraId="3BAC6CC4" w14:textId="77777777" w:rsidR="00FA7CC6" w:rsidRPr="00CC77A7" w:rsidRDefault="00FA7CC6" w:rsidP="00FA7CC6">
      <w:pPr>
        <w:pStyle w:val="Normal12a24b"/>
      </w:pPr>
      <w:r w:rsidRPr="00CC77A7">
        <w:rPr>
          <w:rStyle w:val="BoldItalic"/>
        </w:rPr>
        <w:t>Barreiras fiscais no mercado único</w:t>
      </w:r>
    </w:p>
    <w:p w14:paraId="60D56275" w14:textId="77777777" w:rsidR="00FA7CC6" w:rsidRPr="00CC77A7" w:rsidRDefault="00FA7CC6" w:rsidP="00FA7CC6">
      <w:pPr>
        <w:pStyle w:val="NormalHanging12a"/>
      </w:pPr>
      <w:r w:rsidRPr="00CC77A7">
        <w:t>38.</w:t>
      </w:r>
      <w:r w:rsidRPr="00CC77A7">
        <w:tab/>
        <w:t>Congratula</w:t>
      </w:r>
      <w:r w:rsidRPr="00CC77A7">
        <w:noBreakHyphen/>
        <w:t xml:space="preserve">se com o relatório </w:t>
      </w:r>
      <w:proofErr w:type="spellStart"/>
      <w:r w:rsidRPr="00CC77A7">
        <w:t>Letta</w:t>
      </w:r>
      <w:proofErr w:type="spellEnd"/>
      <w:r w:rsidRPr="00CC77A7">
        <w:t xml:space="preserve"> e com a referência a um 28.º regime voluntário que visa atrair e reter empresas inovadoras em fase de arranque na União Europeia; observa que a fragmentação do panorama fiscal da UE cria complexidade, incerteza e elevados custos de conformidade para as empresas da UE, mormente as PME, e insta a Comissão a ter em conta estes custos na sua proposta relativa ao 28.º regime; sublinha que é necessário eliminar as barreiras fiscais ao investimento transfronteiras, reduzir a dependência excessiva do endividamento, e aumentar o capital próprio no âmbito do financiamento das empresas; recorda, neste contexto, o relatório </w:t>
      </w:r>
      <w:proofErr w:type="spellStart"/>
      <w:r w:rsidRPr="00CC77A7">
        <w:t>Draghi</w:t>
      </w:r>
      <w:proofErr w:type="spellEnd"/>
      <w:r w:rsidRPr="00CC77A7">
        <w:t>, que sublinha que os cidadãos da UE devem poder investir noutros Estados</w:t>
      </w:r>
      <w:r w:rsidRPr="00CC77A7">
        <w:noBreakHyphen/>
        <w:t xml:space="preserve">Membros sem terem de </w:t>
      </w:r>
      <w:r w:rsidRPr="00CC77A7">
        <w:lastRenderedPageBreak/>
        <w:t>seguir procedimentos fiscais complexos que, na prática, levam à dupla tributação; realça que a adesão a estes princípios é fundamental para tornar a UE um polo de investimento competitivo e orientado para a inovação; sublinha a importância de explorar vias que permitam simplificar e normalizar as regras em matéria de documentação dos preços de transferência em toda a UE, nomeadamente uma avaliação cuidadosa e equilibrada dos limiares e critérios de materialidade existentes, tendo simultaneamente em conta as especificidades dos Estados</w:t>
      </w:r>
      <w:r w:rsidRPr="00CC77A7">
        <w:noBreakHyphen/>
        <w:t>Membros, com o objetivo de reduzir os custos de conformidade das transações, sem comprometer as normas de transparência nem facilitar o planeamento fiscal agressivo ou a evasão fiscal;</w:t>
      </w:r>
    </w:p>
    <w:p w14:paraId="752F18BD" w14:textId="77777777" w:rsidR="00FA7CC6" w:rsidRPr="00CC77A7" w:rsidRDefault="00FA7CC6" w:rsidP="00FA7CC6">
      <w:pPr>
        <w:pStyle w:val="NormalHanging12a"/>
      </w:pPr>
      <w:r w:rsidRPr="00CC77A7">
        <w:t>39.</w:t>
      </w:r>
      <w:r w:rsidRPr="00CC77A7">
        <w:tab/>
        <w:t>Lamenta que a Bússola para a Competitividade da Comissão careça de orientações concretas sobre a eliminação dos obstáculos fiscais aos investimentos transfronteiras; insta a Comissão a realizar estudos específicos que avaliem os efeitos económicos e em matéria de concorrência que decorrem desta fragmentação, centrando</w:t>
      </w:r>
      <w:r w:rsidRPr="00CC77A7">
        <w:noBreakHyphen/>
        <w:t>se na identificação dos setores mais afetados e propondo medidas concretas para simplificar os sistemas fiscais e reforçar a confiança mútua entre os Estados</w:t>
      </w:r>
      <w:r w:rsidRPr="00CC77A7">
        <w:noBreakHyphen/>
        <w:t>Membros, em especial em apoio das PME;</w:t>
      </w:r>
    </w:p>
    <w:p w14:paraId="2AD4FCA1" w14:textId="77777777" w:rsidR="00FA7CC6" w:rsidRPr="00CC77A7" w:rsidRDefault="00FA7CC6" w:rsidP="00FA7CC6">
      <w:pPr>
        <w:pStyle w:val="NormalHanging12a"/>
      </w:pPr>
      <w:r w:rsidRPr="00CC77A7">
        <w:t>40.</w:t>
      </w:r>
      <w:r w:rsidRPr="00CC77A7">
        <w:tab/>
        <w:t>Congratula</w:t>
      </w:r>
      <w:r w:rsidRPr="00CC77A7">
        <w:noBreakHyphen/>
        <w:t>se com a recente entrada em vigor da Diretiva FASTER</w:t>
      </w:r>
      <w:r w:rsidRPr="00CC77A7">
        <w:rPr>
          <w:rStyle w:val="FootnoteReference"/>
        </w:rPr>
        <w:footnoteReference w:id="33"/>
      </w:r>
      <w:r w:rsidRPr="00CC77A7">
        <w:t xml:space="preserve">, relativa à retenção na fonte, enquanto primeiro passo importante rumo à modernização e racionalização dos procedimentos fiscais transfronteiras na UE; toma nota das recomendações do relatório </w:t>
      </w:r>
      <w:proofErr w:type="spellStart"/>
      <w:r w:rsidRPr="00CC77A7">
        <w:t>Draghi</w:t>
      </w:r>
      <w:proofErr w:type="spellEnd"/>
      <w:r w:rsidRPr="00CC77A7">
        <w:t xml:space="preserve"> e recorda as recomendações formuladas pelo Parlamento na sua resolução sobre um quadro de retenção na fonte</w:t>
      </w:r>
      <w:r w:rsidRPr="00CC77A7">
        <w:rPr>
          <w:rStyle w:val="FootnoteReference"/>
        </w:rPr>
        <w:footnoteReference w:id="34"/>
      </w:r>
      <w:r w:rsidRPr="00CC77A7">
        <w:t>, cujo estabelecimento é essencial para reduzir a complexidade, aumentar a segurança jurídica para os investidores e travar o recurso abusivo aos tratados internacionais («</w:t>
      </w:r>
      <w:proofErr w:type="spellStart"/>
      <w:r w:rsidRPr="00CC77A7">
        <w:t>treaty</w:t>
      </w:r>
      <w:proofErr w:type="spellEnd"/>
      <w:r w:rsidRPr="00CC77A7">
        <w:t xml:space="preserve"> shopping»); salienta que a reforma da política fiscal poderia também facilitar uma maior integração dos mercados de capitais europeus no contexto da União da Poupança e dos Investimentos;</w:t>
      </w:r>
    </w:p>
    <w:p w14:paraId="47EC6A9B" w14:textId="77777777" w:rsidR="00FA7CC6" w:rsidRPr="00CC77A7" w:rsidRDefault="00FA7CC6" w:rsidP="00FA7CC6">
      <w:pPr>
        <w:pStyle w:val="NormalHanging12a"/>
      </w:pPr>
      <w:r w:rsidRPr="00CC77A7">
        <w:t>41.</w:t>
      </w:r>
      <w:r w:rsidRPr="00CC77A7">
        <w:tab/>
        <w:t>Exorta a Comissão a proceder a um levantamento dos obstáculos existentes que assentam na tributação e que impedem a integração do mercado único, bem como a apresentar um plano de ação para os eliminar;</w:t>
      </w:r>
    </w:p>
    <w:p w14:paraId="53C2860A" w14:textId="77777777" w:rsidR="00FA7CC6" w:rsidRPr="00CC77A7" w:rsidRDefault="00FA7CC6" w:rsidP="00FA7CC6">
      <w:pPr>
        <w:pStyle w:val="NormalHanging12a"/>
      </w:pPr>
      <w:r w:rsidRPr="00CC77A7">
        <w:t>42.</w:t>
      </w:r>
      <w:r w:rsidRPr="00CC77A7">
        <w:tab/>
        <w:t>Apela ao estabelecimento de princípios orientadores sobre os direitos dos contribuintes para identificar barreiras fiscais persistentes no mercado único e recomendar boas práticas recolhidas em toda a UE a fim de melhorar as experiências dos contribuintes, assegurando, simultaneamente, que esses princípios orientadores não limitem a capacidade dos Estados</w:t>
      </w:r>
      <w:r w:rsidRPr="00CC77A7">
        <w:noBreakHyphen/>
        <w:t>Membros para tomar medidas de luta contra as práticas abusivas, de molde a assegurar a correta aplicação da respetiva legislação fiscal; está ciente da relutância da Comissão em apresentar a comunicação prevista sobre os direitos dos cidadãos enquanto contribuintes, anunciada no seu plano de ação para 2021;</w:t>
      </w:r>
    </w:p>
    <w:p w14:paraId="689CFD48" w14:textId="77777777" w:rsidR="00FA7CC6" w:rsidRPr="00CC77A7" w:rsidRDefault="00FA7CC6" w:rsidP="00FA7CC6">
      <w:pPr>
        <w:pStyle w:val="NormalHanging12a"/>
      </w:pPr>
      <w:r w:rsidRPr="00CC77A7">
        <w:t>43.</w:t>
      </w:r>
      <w:r w:rsidRPr="00CC77A7">
        <w:tab/>
        <w:t>Congratula</w:t>
      </w:r>
      <w:r w:rsidRPr="00CC77A7">
        <w:noBreakHyphen/>
        <w:t xml:space="preserve">se com a Comunicação da Comissão sobre a União da Poupança e dos Investimentos e, em particular, com a vontade de eliminar as diferenças entre os procedimentos fiscais nacionais — que criam encargos administrativos e obstáculos ao </w:t>
      </w:r>
      <w:r w:rsidRPr="00CC77A7">
        <w:lastRenderedPageBreak/>
        <w:t>investimento transfronteiras — e de apoiar as ações dos Estados</w:t>
      </w:r>
      <w:r w:rsidRPr="00CC77A7">
        <w:noBreakHyphen/>
        <w:t>Membros para este efeito;</w:t>
      </w:r>
    </w:p>
    <w:p w14:paraId="69AD9037" w14:textId="77777777" w:rsidR="00FA7CC6" w:rsidRPr="00CC77A7" w:rsidRDefault="00FA7CC6" w:rsidP="00FA7CC6">
      <w:pPr>
        <w:pStyle w:val="NormalHanging12a"/>
      </w:pPr>
      <w:r w:rsidRPr="00CC77A7">
        <w:t>44.</w:t>
      </w:r>
      <w:r w:rsidRPr="00CC77A7">
        <w:tab/>
        <w:t xml:space="preserve">Observa que as disparidades no tratamento tributário dos rendimentos de capitais podem criar complexidade e insegurança jurídica para os investidores transfronteiras; destaca o facto de o relatório exaustivo de </w:t>
      </w:r>
      <w:proofErr w:type="spellStart"/>
      <w:r w:rsidRPr="00CC77A7">
        <w:t>Mario</w:t>
      </w:r>
      <w:proofErr w:type="spellEnd"/>
      <w:r w:rsidRPr="00CC77A7">
        <w:t xml:space="preserve"> </w:t>
      </w:r>
      <w:proofErr w:type="spellStart"/>
      <w:r w:rsidRPr="00CC77A7">
        <w:t>Draghi</w:t>
      </w:r>
      <w:proofErr w:type="spellEnd"/>
      <w:r w:rsidRPr="00CC77A7">
        <w:t xml:space="preserve"> reconhecer que, para reduzir a fragmentação e aprofundar a União dos Mercados de Capitais, importa eliminar todo e qualquer obstáculo fiscal ao investimento transfronteiras na UE; sublinha a importância de um modelo fiscal mais equilibrado para garantir a resiliência económica e convida a Comissão e os Estados</w:t>
      </w:r>
      <w:r w:rsidRPr="00CC77A7">
        <w:noBreakHyphen/>
        <w:t>Membros a avaliarem os méritos de uma maior coordenação e simplificação neste domínio, a fim de promover o investimento transfronteiras;</w:t>
      </w:r>
    </w:p>
    <w:p w14:paraId="42827EBF" w14:textId="77777777" w:rsidR="00FA7CC6" w:rsidRPr="00CC77A7" w:rsidRDefault="00FA7CC6" w:rsidP="00FA7CC6">
      <w:pPr>
        <w:pStyle w:val="Normal12a24b"/>
      </w:pPr>
      <w:r w:rsidRPr="00CC77A7">
        <w:rPr>
          <w:rStyle w:val="BoldItalic"/>
        </w:rPr>
        <w:t>Combater a evasão fiscal, a elisão fiscal e o planeamento fiscal agressivo</w:t>
      </w:r>
    </w:p>
    <w:p w14:paraId="23454D64" w14:textId="77777777" w:rsidR="00FA7CC6" w:rsidRPr="00CC77A7" w:rsidRDefault="00FA7CC6" w:rsidP="00FA7CC6">
      <w:pPr>
        <w:pStyle w:val="NormalHanging12a"/>
      </w:pPr>
      <w:r w:rsidRPr="00CC77A7">
        <w:t>45.</w:t>
      </w:r>
      <w:r w:rsidRPr="00CC77A7">
        <w:tab/>
        <w:t>Recorda que, à medida que as regras do Pilar Dois forem sendo aplicadas, é importante acompanhar as novas formas de concorrência fiscal prejudicial que possam surgir;</w:t>
      </w:r>
    </w:p>
    <w:p w14:paraId="34B6AD4D" w14:textId="77777777" w:rsidR="00FA7CC6" w:rsidRPr="00CC77A7" w:rsidRDefault="00FA7CC6" w:rsidP="00FA7CC6">
      <w:pPr>
        <w:pStyle w:val="NormalHanging12a"/>
      </w:pPr>
      <w:r w:rsidRPr="00CC77A7">
        <w:t>46.</w:t>
      </w:r>
      <w:r w:rsidRPr="00CC77A7">
        <w:tab/>
        <w:t>Está empenhado em combater o planeamento fiscal agressivo, tanto por parte das empresas como dos particulares, em prol de uma economia europeia justa, tomando em consideração a situação concreta em que se encontram as PME e os agregados familiares da classe média baixa, bem como os seus interesses específicos; está ciente das repercussões substanciais que o planeamento fiscal agressivo tem nas receitas, o que distorce as condições de concorrência entre os agentes económicos, ameaça comprometer a moral fiscal e corrói a matéria coletável dos Estados</w:t>
      </w:r>
      <w:r w:rsidRPr="00CC77A7">
        <w:noBreakHyphen/>
        <w:t>Membros; insta a Comissão e os Estados</w:t>
      </w:r>
      <w:r w:rsidRPr="00CC77A7">
        <w:noBreakHyphen/>
        <w:t>Membros a melhorarem a cooperação entre os Estados</w:t>
      </w:r>
      <w:r w:rsidRPr="00CC77A7">
        <w:noBreakHyphen/>
        <w:t>Membros na luta contra o planeamento fiscal agressivo, nomeadamente através do reforço do intercâmbio de informações, de auditorias coordenadas e de uma melhor aplicação da legislação; recorda as suas resoluções sobre a aplicação dos requisitos da UE em matéria de troca de informações fiscais</w:t>
      </w:r>
      <w:r w:rsidRPr="00CC77A7">
        <w:rPr>
          <w:rStyle w:val="FootnoteReference"/>
        </w:rPr>
        <w:footnoteReference w:id="35"/>
      </w:r>
      <w:r w:rsidRPr="00CC77A7">
        <w:t>, sobre a revisão da lista da UE de paraísos fiscais</w:t>
      </w:r>
      <w:r w:rsidRPr="00CC77A7">
        <w:rPr>
          <w:rStyle w:val="FootnoteReference"/>
        </w:rPr>
        <w:footnoteReference w:id="36"/>
      </w:r>
      <w:r w:rsidRPr="00CC77A7">
        <w:t xml:space="preserve"> e sobre a reforma da política da UE em matéria de práticas fiscais prejudiciais; destaca que o aumento da complexidade dos regimes fiscais pode ter efeitos perversos no planeamento fiscal agressivo e na evasão fiscal, que podem ser opacos; insta os Estados</w:t>
      </w:r>
      <w:r w:rsidRPr="00CC77A7">
        <w:noBreakHyphen/>
        <w:t>Membros e a Comissão a seguirem uma abordagem baseada no risco e proporcionada para combater a fraude fiscal e o planeamento fiscal agressivo;</w:t>
      </w:r>
    </w:p>
    <w:p w14:paraId="5F2330BF" w14:textId="77777777" w:rsidR="00FA7CC6" w:rsidRPr="00CC77A7" w:rsidRDefault="00FA7CC6" w:rsidP="00FA7CC6">
      <w:pPr>
        <w:pStyle w:val="NormalHanging12a"/>
      </w:pPr>
      <w:r w:rsidRPr="00CC77A7">
        <w:t>47.</w:t>
      </w:r>
      <w:r w:rsidRPr="00CC77A7">
        <w:tab/>
        <w:t>Salienta a importância dos mecanismos em vigor ao abrigo da Diretiva Cooperação Administrativa</w:t>
      </w:r>
      <w:r w:rsidRPr="00CC77A7">
        <w:rPr>
          <w:rStyle w:val="FootnoteReference"/>
        </w:rPr>
        <w:footnoteReference w:id="37"/>
      </w:r>
      <w:r w:rsidRPr="00CC77A7">
        <w:t xml:space="preserve"> (DCA), da Diretiva </w:t>
      </w:r>
      <w:proofErr w:type="spellStart"/>
      <w:r w:rsidRPr="00CC77A7">
        <w:t>Antielisão</w:t>
      </w:r>
      <w:proofErr w:type="spellEnd"/>
      <w:r w:rsidRPr="00CC77A7">
        <w:t xml:space="preserve"> Fiscal</w:t>
      </w:r>
      <w:r w:rsidRPr="00CC77A7">
        <w:rPr>
          <w:rStyle w:val="FootnoteReference"/>
        </w:rPr>
        <w:footnoteReference w:id="38"/>
      </w:r>
      <w:r w:rsidRPr="00CC77A7">
        <w:t xml:space="preserve"> (DAF) e do sistema MCAA, que melhoraram significativamente a transparência e a cooperação transfronteiras entre as </w:t>
      </w:r>
      <w:r w:rsidRPr="00CC77A7">
        <w:lastRenderedPageBreak/>
        <w:t>autoridades fiscais, permitindo uma resposta mais eficaz às práticas de planeamento fiscal agressivo; chama a atenção para o acréscimo dos encargos administrativos e dos custos de conformidade a suportar pelas administrações fiscais e pelos contribuintes em consequência da DCA e da DAF, e congratula</w:t>
      </w:r>
      <w:r w:rsidRPr="00CC77A7">
        <w:noBreakHyphen/>
        <w:t>se com a sua revisão e simplificação, sem alterar os padrões já estabelecidos;</w:t>
      </w:r>
    </w:p>
    <w:p w14:paraId="6411FE0E" w14:textId="77777777" w:rsidR="00FA7CC6" w:rsidRPr="00CC77A7" w:rsidRDefault="00FA7CC6" w:rsidP="00FA7CC6">
      <w:pPr>
        <w:pStyle w:val="NormalHanging12a"/>
      </w:pPr>
      <w:r w:rsidRPr="00CC77A7">
        <w:t>48.</w:t>
      </w:r>
      <w:r w:rsidRPr="00CC77A7">
        <w:tab/>
        <w:t xml:space="preserve">Salienta que é necessário resolver as incoerências entre a Diretiva </w:t>
      </w:r>
      <w:proofErr w:type="spellStart"/>
      <w:r w:rsidRPr="00CC77A7">
        <w:t>Antielisão</w:t>
      </w:r>
      <w:proofErr w:type="spellEnd"/>
      <w:r w:rsidRPr="00CC77A7">
        <w:t xml:space="preserve"> Fiscal e a abordagem subjacente ao Pilar Dois da OCDE, a fim de assegurar a coerência e a segurança jurídicas em toda a UE, e, inclusive, ponderar a racionalização das opções e exceções concedidas aos Estados</w:t>
      </w:r>
      <w:r w:rsidRPr="00CC77A7">
        <w:noBreakHyphen/>
        <w:t xml:space="preserve">Membros; regista o anúncio feito pela Comissão de que avaliará a Diretiva </w:t>
      </w:r>
      <w:proofErr w:type="spellStart"/>
      <w:r w:rsidRPr="00CC77A7">
        <w:t>Antielisão</w:t>
      </w:r>
      <w:proofErr w:type="spellEnd"/>
      <w:r w:rsidRPr="00CC77A7">
        <w:t xml:space="preserve"> Fiscal à luz do Pilar Dois e apresentará um relatório exaustivo sobre as medidas no terceiro trimestre de 2025, em conformidade com o acordo relativo ao Pilar Dois; insta a Comissão a fornecer orientações aos Estados</w:t>
      </w:r>
      <w:r w:rsidRPr="00CC77A7">
        <w:noBreakHyphen/>
        <w:t xml:space="preserve">Membros sobre a interpretação da regra geral </w:t>
      </w:r>
      <w:proofErr w:type="spellStart"/>
      <w:r w:rsidRPr="00CC77A7">
        <w:t>antiabuso</w:t>
      </w:r>
      <w:proofErr w:type="spellEnd"/>
      <w:r w:rsidRPr="00CC77A7">
        <w:t xml:space="preserve"> estabelecida na DAF e solicita uma revisão que vise simplificar a DAF e aumentar a sua eficácia;</w:t>
      </w:r>
    </w:p>
    <w:p w14:paraId="214C43CB" w14:textId="77777777" w:rsidR="00FA7CC6" w:rsidRPr="00CC77A7" w:rsidRDefault="00FA7CC6" w:rsidP="00FA7CC6">
      <w:pPr>
        <w:pStyle w:val="NormalHanging12a"/>
      </w:pPr>
      <w:r w:rsidRPr="00CC77A7">
        <w:t>49.</w:t>
      </w:r>
      <w:r w:rsidRPr="00CC77A7">
        <w:tab/>
        <w:t>Regista o papel da Diretiva Cooperação Administrativa (DCA) na redução da evasão fiscal, da elisão fiscal e do planeamento fiscal agressivo, bem como no aumento da transparência, sem deixar de salientar a sua complexidade e os encargos administrativos que acarreta, especialmente por força da DCA 6</w:t>
      </w:r>
      <w:r w:rsidRPr="00CC77A7">
        <w:rPr>
          <w:rStyle w:val="FootnoteReference"/>
        </w:rPr>
        <w:footnoteReference w:id="39"/>
      </w:r>
      <w:r w:rsidRPr="00CC77A7">
        <w:t>; salienta a necessidade de rever a DCA 6 e insta a Comissão a realizar uma avaliação dos custos de conformidade ao abrigo da referida diretiva, bem como a reforçar as orientações, a melhorar a análise de risco e a aproveitar a tecnologia para uma melhor recolha de dados, a fim de assegurar a promoção eficaz da transparência fiscal e evitar custos e encargos administrativos desproporcionados; frisa que esta reavaliação deve ponderar a possibilidade de proteger as PME de obrigações desnecessárias em matéria de relato de informação e proporcionar maior clareza quanto aos índices de referência para os mecanismos transfronteiriços a comunicar; propõe que se avalie a eventual realização de uma revisão da DCA 7</w:t>
      </w:r>
      <w:r w:rsidRPr="00CC77A7">
        <w:rPr>
          <w:rStyle w:val="FootnoteReference"/>
        </w:rPr>
        <w:footnoteReference w:id="40"/>
      </w:r>
      <w:r w:rsidRPr="00CC77A7">
        <w:t>, a fim de ponderar a possibilidade de reduzir o intercâmbio de informações em consequência da introdução de relatórios em tempo real no âmbito do pacote IVA na Era Digital;</w:t>
      </w:r>
    </w:p>
    <w:p w14:paraId="05D17B05" w14:textId="77777777" w:rsidR="00FA7CC6" w:rsidRPr="00CC77A7" w:rsidRDefault="00FA7CC6" w:rsidP="00FA7CC6">
      <w:pPr>
        <w:pStyle w:val="NormalHanging12a"/>
      </w:pPr>
      <w:r w:rsidRPr="00CC77A7">
        <w:t>50.</w:t>
      </w:r>
      <w:r w:rsidRPr="00CC77A7">
        <w:tab/>
        <w:t>Observa, em especial, a necessidade de tirar partido do processo de revisão para eliminar a atual sobreposição de regras e racionalizar e simplificar a aplicação de regras e conceitos comuns; chama a atenção para a importância fundamental de que se reveste a normalização dos termos e conceitos tendo em vista a simplificação da conformidade, uma vez que a diversidade de interpretações nacionais pode levar à fragmentação e criar complexidade;</w:t>
      </w:r>
    </w:p>
    <w:p w14:paraId="5069321A" w14:textId="77777777" w:rsidR="00FA7CC6" w:rsidRPr="00CC77A7" w:rsidRDefault="00FA7CC6" w:rsidP="00FA7CC6">
      <w:pPr>
        <w:pStyle w:val="NormalHanging12a"/>
      </w:pPr>
      <w:r w:rsidRPr="00CC77A7">
        <w:t>51.</w:t>
      </w:r>
      <w:r w:rsidRPr="00CC77A7">
        <w:tab/>
        <w:t xml:space="preserve">Apela ao reforço da colaboração entre a Procuradoria Europeia e a </w:t>
      </w:r>
      <w:proofErr w:type="spellStart"/>
      <w:r w:rsidRPr="00CC77A7">
        <w:t>Eurofisc</w:t>
      </w:r>
      <w:proofErr w:type="spellEnd"/>
      <w:r w:rsidRPr="00CC77A7">
        <w:t xml:space="preserve"> com vista a melhorar a partilha de informações, envidar mais esforços coordenados em matéria de execução e intensificar as investigações transfronteiras na luta contra a fraude ao IVA e outras formas de evasão e elisão fiscais; salienta a necessidade de um mecanismo de </w:t>
      </w:r>
      <w:r w:rsidRPr="00CC77A7">
        <w:lastRenderedPageBreak/>
        <w:t>cooperação simplificado entre estes organismos, a fim de assegurar uma resposta mais eficaz e unificada da UE à fraude fiscal transfronteiras, tirando partido dos respetivos mandatos e conhecimentos especializados; insta a Comissão e os Estados</w:t>
      </w:r>
      <w:r w:rsidRPr="00CC77A7">
        <w:noBreakHyphen/>
        <w:t>Membros a facilitarem esta cooperação através da melhoria dos mecanismos de intercâmbio de dados, da garantia de recursos adequados e do fomento de esforços de investigação conjuntos; destaca a necessidade de uma maior coordenação fiscal entre os Estados</w:t>
      </w:r>
      <w:r w:rsidRPr="00CC77A7">
        <w:noBreakHyphen/>
        <w:t>Membros no combate à evasão e elisão fiscais, a fim de facilitar a atividade económica transfronteiras; observa a necessidade imperiosa de a UE assegurar que todos os produtos importados estejam devidamente sujeitos a direitos aduaneiros adequados;</w:t>
      </w:r>
    </w:p>
    <w:p w14:paraId="6EB3EDA1" w14:textId="77777777" w:rsidR="00FA7CC6" w:rsidRPr="00CC77A7" w:rsidRDefault="00FA7CC6" w:rsidP="00FA7CC6">
      <w:pPr>
        <w:pStyle w:val="Normal12a24b"/>
      </w:pPr>
      <w:r w:rsidRPr="00CC77A7">
        <w:rPr>
          <w:rStyle w:val="BoldItalic"/>
        </w:rPr>
        <w:t>Tributação transfronteiras e mobilidade laboral</w:t>
      </w:r>
    </w:p>
    <w:p w14:paraId="07B01FB2" w14:textId="77777777" w:rsidR="00FA7CC6" w:rsidRPr="00CC77A7" w:rsidRDefault="00FA7CC6" w:rsidP="00FA7CC6">
      <w:pPr>
        <w:pStyle w:val="NormalHanging12a"/>
      </w:pPr>
      <w:r w:rsidRPr="00CC77A7">
        <w:t>52.</w:t>
      </w:r>
      <w:r w:rsidRPr="00CC77A7">
        <w:tab/>
        <w:t>Insta a Comissão a apresentar um estudo e, se for caso disso, um pacote de medidas sobre como simplificar as regras fiscais e combater a fragmentação fiscal com que os trabalhadores transfronteiriços e os trabalhadores por conta própria se veem confrontados, a fim de impulsionar a competitividade através do aprofundamento do mercado interno e de proteger as receitas fiscais através da criação de condições de concorrência equitativas; observa que as discrepâncias entre os sistemas de tributação nacionais estão na origem de importantes obstáculos, encargos administrativos, insegurança jurídica e dupla tributação, o que entrava a mobilidade laboral e o empreendedorismo transfronteiriço;</w:t>
      </w:r>
    </w:p>
    <w:p w14:paraId="0ABC99DA" w14:textId="77777777" w:rsidR="00FA7CC6" w:rsidRPr="00CC77A7" w:rsidRDefault="00FA7CC6" w:rsidP="00FA7CC6">
      <w:pPr>
        <w:pStyle w:val="NormalHanging12a"/>
      </w:pPr>
      <w:r w:rsidRPr="00CC77A7">
        <w:t>53.</w:t>
      </w:r>
      <w:r w:rsidRPr="00CC77A7">
        <w:tab/>
        <w:t>Observa que a mobilidade transfronteiras das pessoas está a aumentar a um ritmo sem precedentes e que esse elevado nível de mobilidade mundial tem um impacto considerável nos regimes fiscais; salienta que a referida mobilidade e o seu impacto nos regimes fiscais devem ser cuidadosamente tidos em conta na elaboração de políticas, sem desincentivar a mobilidade e as oportunidades de emprego na UE; assinala, neste contexto, que os Estados</w:t>
      </w:r>
      <w:r w:rsidRPr="00CC77A7">
        <w:noBreakHyphen/>
        <w:t>Membros recorrem a incentivos fiscais para promover a mobilidade laboral e o empreendedorismo transfronteiriço; realça, no entanto, que os Estados</w:t>
      </w:r>
      <w:r w:rsidRPr="00CC77A7">
        <w:noBreakHyphen/>
        <w:t>Membros devem igualmente recorrer a restrições e salvaguardas claras para evitar práticas fiscais prejudiciais que atraiam contribuintes individuais e levem à distorção da concorrência;</w:t>
      </w:r>
    </w:p>
    <w:p w14:paraId="0066FDCA" w14:textId="77777777" w:rsidR="00FA7CC6" w:rsidRPr="00CC77A7" w:rsidRDefault="00FA7CC6" w:rsidP="00FA7CC6">
      <w:pPr>
        <w:pStyle w:val="NormalHanging12a"/>
      </w:pPr>
      <w:r w:rsidRPr="00CC77A7">
        <w:t>54.</w:t>
      </w:r>
      <w:r w:rsidRPr="00CC77A7">
        <w:tab/>
        <w:t>Reconhece a crescente mobilidade transfronteiras de trabalhadores altamente qualificados e de outras pessoas, impulsionada pela liberdade de circulação e pelos regimes fiscais preferenciais vigentes em alguns Estados</w:t>
      </w:r>
      <w:r w:rsidRPr="00CC77A7">
        <w:noBreakHyphen/>
        <w:t>Membros; sublinha a importância de assegurar que, em toda a UE, a política fiscal no mercado interno continue a ser justa, transparente e compatível com a sustentabilidade das finanças públicas; reitera o seu apelo ao Conselho para que reveja o mandato do Grupo do Código de Conduta (Fiscalidade das Empresas);</w:t>
      </w:r>
    </w:p>
    <w:p w14:paraId="0A22EDB3" w14:textId="77777777" w:rsidR="00FA7CC6" w:rsidRPr="00CC77A7" w:rsidRDefault="00FA7CC6" w:rsidP="00FA7CC6">
      <w:pPr>
        <w:pStyle w:val="NormalHanging12a"/>
      </w:pPr>
      <w:r w:rsidRPr="00CC77A7">
        <w:t>55.</w:t>
      </w:r>
      <w:r w:rsidRPr="00CC77A7">
        <w:tab/>
        <w:t>Recorda que, quando os trabalhadores transfronteiriços desenvolvem atividades como viagens de negócios ou teletrabalho, as implicações fiscais decorrem do risco de uma presença tributável ou de um estabelecimento permanente; observa que a aplicação coordenada entre todos os Estados</w:t>
      </w:r>
      <w:r w:rsidRPr="00CC77A7">
        <w:noBreakHyphen/>
        <w:t>Membros de uma regra de salvaguarda para o teletrabalho poderia proporcionar segurança fiscal aos empregadores e reduzir os encargos administrativos, simplificando a tributação individual;</w:t>
      </w:r>
    </w:p>
    <w:p w14:paraId="7905B229" w14:textId="77777777" w:rsidR="00FA7CC6" w:rsidRPr="00CC77A7" w:rsidRDefault="00FA7CC6" w:rsidP="00FA7CC6">
      <w:pPr>
        <w:pStyle w:val="Normal12a24b"/>
      </w:pPr>
      <w:r w:rsidRPr="00CC77A7">
        <w:rPr>
          <w:rStyle w:val="BoldItalic"/>
        </w:rPr>
        <w:t>Tributação e inovação</w:t>
      </w:r>
    </w:p>
    <w:p w14:paraId="6A90B7B5" w14:textId="77777777" w:rsidR="00FA7CC6" w:rsidRPr="00CC77A7" w:rsidRDefault="00FA7CC6" w:rsidP="00FA7CC6">
      <w:pPr>
        <w:pStyle w:val="NormalHanging12a"/>
      </w:pPr>
      <w:r w:rsidRPr="00CC77A7">
        <w:lastRenderedPageBreak/>
        <w:t>56.</w:t>
      </w:r>
      <w:r w:rsidRPr="00CC77A7">
        <w:tab/>
        <w:t>Salienta que a inovação é um motor essencial do crescimento económico, da competitividade global e do bem</w:t>
      </w:r>
      <w:r w:rsidRPr="00CC77A7">
        <w:noBreakHyphen/>
        <w:t>estar e que, de acordo com a OCDE, os incentivos fiscais são um instrumento político de apoio à inovação amplamente utilizado e significativo do ponto de vista económico; considera que os governos devem assegurar que os regimes de incentivos fiscais à investigação e desenvolvimento (I &amp;D) proporcionem uma boa relação custo</w:t>
      </w:r>
      <w:r w:rsidRPr="00CC77A7">
        <w:noBreakHyphen/>
        <w:t xml:space="preserve">benefício, através de uma avaliação regular e da adoção de incentivos específicos que impulsionem o investimento e o crescimento e reforcem a competitividade da UE na cena mundial, em conformidade com as propostas avançadas no relatório </w:t>
      </w:r>
      <w:proofErr w:type="spellStart"/>
      <w:r w:rsidRPr="00CC77A7">
        <w:t>Draghi</w:t>
      </w:r>
      <w:proofErr w:type="spellEnd"/>
      <w:r w:rsidRPr="00CC77A7">
        <w:t>;</w:t>
      </w:r>
    </w:p>
    <w:p w14:paraId="4CE4902B" w14:textId="77777777" w:rsidR="00FA7CC6" w:rsidRPr="00CC77A7" w:rsidRDefault="00FA7CC6" w:rsidP="00FA7CC6">
      <w:pPr>
        <w:pStyle w:val="NormalHanging12a"/>
      </w:pPr>
      <w:r w:rsidRPr="00CC77A7">
        <w:t>57.</w:t>
      </w:r>
      <w:r w:rsidRPr="00CC77A7">
        <w:tab/>
        <w:t>Insta a Comissão a realizar mais estudos sobre a relação custo</w:t>
      </w:r>
      <w:r w:rsidRPr="00CC77A7">
        <w:noBreakHyphen/>
        <w:t xml:space="preserve">eficácia dos diferentes tipos de incentivos fiscais à I &amp;D e à inovação, que reforcem a competitividade da UE na cena mundial, em conformidade com as propostas avançadas no relatório </w:t>
      </w:r>
      <w:proofErr w:type="spellStart"/>
      <w:r w:rsidRPr="00CC77A7">
        <w:t>Draghi</w:t>
      </w:r>
      <w:proofErr w:type="spellEnd"/>
      <w:r w:rsidRPr="00CC77A7">
        <w:t>, e que zele por que estes incentivos sejam bem concebidos, permitindo alcançar os objetivos políticos estabelecidos sem provocar a erosão das receitas fiscais nem alimentar o risco de elisão fiscal; convida a Comissão a explorar diferentes soluções e mecanismos de apoio à I &amp;D em prol das empresas em fase de arranque — incluindo, nomeadamente, créditos fiscais transferíveis — que se insiram numa abordagem coordenada com os Estados</w:t>
      </w:r>
      <w:r w:rsidRPr="00CC77A7">
        <w:noBreakHyphen/>
        <w:t>Membros e assentem em critérios comuns, a fim de melhorar a acessibilidade e a eficácia dessas medidas; insta a Comissão a continuar a avaliar as repercussões transfronteiras desses incentivos noutros Estados</w:t>
      </w:r>
      <w:r w:rsidRPr="00CC77A7">
        <w:noBreakHyphen/>
        <w:t xml:space="preserve">Membros, nomeadamente os riscos de elisão fiscal; frisa a necessidade de prever mais incentivos fiscais, nomeadamente desagravamentos fiscais, créditos, amortização decrescente e </w:t>
      </w:r>
      <w:proofErr w:type="spellStart"/>
      <w:r w:rsidRPr="00CC77A7">
        <w:t>superdeduções</w:t>
      </w:r>
      <w:proofErr w:type="spellEnd"/>
      <w:r w:rsidRPr="00CC77A7">
        <w:t>; insta, neste contexto, a Comissão a emitir recomendações e a integrar devidamente os incentivos fiscais, mormente, se for caso disso, os relacionados com a I &amp;D, sem exacerbar as assimetrias económicas na UE; salienta que seria prudente alinhar os incentivos à inovação e à I &amp;D com incentivos específicos ao investimento; apela ao reforço da cooperação e da confiança entre os Estados</w:t>
      </w:r>
      <w:r w:rsidRPr="00CC77A7">
        <w:noBreakHyphen/>
        <w:t>Membros através do fomento de condições de concorrência equitativas no domínio do comércio eletrónico, dos serviços digitais e noutros setores em rápido crescimento;</w:t>
      </w:r>
    </w:p>
    <w:p w14:paraId="777B8D4C" w14:textId="77777777" w:rsidR="00FA7CC6" w:rsidRPr="00CC77A7" w:rsidRDefault="00FA7CC6" w:rsidP="00FA7CC6">
      <w:pPr>
        <w:pStyle w:val="NormalHanging12a"/>
      </w:pPr>
      <w:r w:rsidRPr="00CC77A7">
        <w:t>58.</w:t>
      </w:r>
      <w:r w:rsidRPr="00CC77A7">
        <w:tab/>
        <w:t>Realça a importância de assegurar que os incentivos fiscais continuem a ser plenamente coerentes com o atual quadro da UE em matéria de auxílios estatais; sublinha o valor do quadro da UE em matéria de auxílios estatais na preservação da concorrência leal no seio do mercado interno e na garantia da segurança jurídica e de condições de concorrência equitativas para todos os Estados</w:t>
      </w:r>
      <w:r w:rsidRPr="00CC77A7">
        <w:noBreakHyphen/>
        <w:t>Membros;</w:t>
      </w:r>
    </w:p>
    <w:p w14:paraId="4FEFF208" w14:textId="43250BCD" w:rsidR="00996568" w:rsidRPr="00CC77A7" w:rsidRDefault="00996568" w:rsidP="00996568">
      <w:pPr>
        <w:pStyle w:val="NormalHanging12a"/>
        <w:ind w:left="0" w:firstLine="0"/>
        <w:jc w:val="center"/>
      </w:pPr>
      <w:r w:rsidRPr="00CC77A7">
        <w:t>°</w:t>
      </w:r>
    </w:p>
    <w:p w14:paraId="36D0871E" w14:textId="78DC4E74" w:rsidR="00996568" w:rsidRPr="00CC77A7" w:rsidRDefault="00996568" w:rsidP="00996568">
      <w:pPr>
        <w:pStyle w:val="NormalHanging12a"/>
        <w:ind w:left="0" w:firstLine="0"/>
        <w:jc w:val="center"/>
      </w:pPr>
      <w:r w:rsidRPr="00CC77A7">
        <w:t>°     °</w:t>
      </w:r>
    </w:p>
    <w:p w14:paraId="033FD1DB" w14:textId="41F7B3FF" w:rsidR="00E365E1" w:rsidRPr="00CC77A7" w:rsidRDefault="00FA7CC6" w:rsidP="00CC77A7">
      <w:pPr>
        <w:ind w:left="567" w:hanging="567"/>
      </w:pPr>
      <w:r w:rsidRPr="00CC77A7">
        <w:t>59.</w:t>
      </w:r>
      <w:r w:rsidRPr="00CC77A7">
        <w:tab/>
        <w:t>Encarrega a sua Presidente de transmitir a presente resolução ao Conselho e à Comissão.</w:t>
      </w:r>
    </w:p>
    <w:sectPr w:rsidR="00E365E1" w:rsidRPr="00CC77A7" w:rsidSect="00390B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E5A95" w14:textId="77777777" w:rsidR="00B961B6" w:rsidRPr="00390BBD" w:rsidRDefault="00B961B6">
      <w:r w:rsidRPr="00390BBD">
        <w:separator/>
      </w:r>
    </w:p>
  </w:endnote>
  <w:endnote w:type="continuationSeparator" w:id="0">
    <w:p w14:paraId="063E6031" w14:textId="77777777" w:rsidR="00B961B6" w:rsidRPr="00390BBD" w:rsidRDefault="00B961B6">
      <w:r w:rsidRPr="00390BB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CA6BF" w14:textId="77777777" w:rsidR="00064002" w:rsidRPr="00390BB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AFB53" w14:textId="77777777" w:rsidR="00064002" w:rsidRPr="00390BB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E8C86" w14:textId="77777777" w:rsidR="00064002" w:rsidRPr="00390BB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CE8DA" w14:textId="77777777" w:rsidR="00B961B6" w:rsidRPr="00390BBD" w:rsidRDefault="00B961B6">
      <w:r w:rsidRPr="00390BBD">
        <w:separator/>
      </w:r>
    </w:p>
  </w:footnote>
  <w:footnote w:type="continuationSeparator" w:id="0">
    <w:p w14:paraId="0B56A910" w14:textId="77777777" w:rsidR="00B961B6" w:rsidRPr="00390BBD" w:rsidRDefault="00B961B6">
      <w:r w:rsidRPr="00390BBD">
        <w:continuationSeparator/>
      </w:r>
    </w:p>
  </w:footnote>
  <w:footnote w:id="1">
    <w:p w14:paraId="70F67434" w14:textId="74F84274" w:rsidR="00FA7CC6" w:rsidRPr="00CC77A7" w:rsidRDefault="00FA7CC6" w:rsidP="00390BBD">
      <w:pPr>
        <w:pStyle w:val="FootnoteText"/>
        <w:ind w:left="567" w:hanging="567"/>
        <w:rPr>
          <w:sz w:val="24"/>
          <w:lang w:val="fi-FI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CC77A7">
        <w:rPr>
          <w:sz w:val="24"/>
          <w:lang w:val="fi-FI"/>
        </w:rPr>
        <w:t xml:space="preserve"> </w:t>
      </w:r>
      <w:r w:rsidR="00390BBD" w:rsidRPr="00CC77A7">
        <w:rPr>
          <w:sz w:val="24"/>
          <w:lang w:val="fi-FI"/>
        </w:rPr>
        <w:tab/>
      </w:r>
      <w:r w:rsidRPr="00CC77A7">
        <w:rPr>
          <w:sz w:val="24"/>
          <w:lang w:val="fi-FI"/>
        </w:rPr>
        <w:t xml:space="preserve">JO L 157 de 26.6.2003, p. 49, ELI: </w:t>
      </w:r>
      <w:hyperlink r:id="rId1" w:history="1">
        <w:r w:rsidRPr="00CC77A7">
          <w:rPr>
            <w:rStyle w:val="Hyperlink"/>
            <w:sz w:val="24"/>
            <w:lang w:val="fi-FI"/>
          </w:rPr>
          <w:t>http://data.europa.eu/eli/dir/2003/49/oj</w:t>
        </w:r>
      </w:hyperlink>
      <w:r w:rsidRPr="00CC77A7">
        <w:rPr>
          <w:sz w:val="24"/>
          <w:lang w:val="fi-FI"/>
        </w:rPr>
        <w:t>.</w:t>
      </w:r>
    </w:p>
  </w:footnote>
  <w:footnote w:id="2">
    <w:p w14:paraId="39D4F0D1" w14:textId="5341A5B7" w:rsidR="00FA7CC6" w:rsidRPr="00CC77A7" w:rsidRDefault="00FA7CC6" w:rsidP="00390BBD">
      <w:pPr>
        <w:pStyle w:val="FootnoteText"/>
        <w:ind w:left="567" w:hanging="567"/>
        <w:rPr>
          <w:sz w:val="24"/>
          <w:lang w:val="fi-FI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CC77A7">
        <w:rPr>
          <w:sz w:val="24"/>
          <w:lang w:val="fi-FI"/>
        </w:rPr>
        <w:t xml:space="preserve"> </w:t>
      </w:r>
      <w:r w:rsidR="00390BBD" w:rsidRPr="00CC77A7">
        <w:rPr>
          <w:sz w:val="24"/>
          <w:lang w:val="fi-FI"/>
        </w:rPr>
        <w:tab/>
      </w:r>
      <w:r w:rsidRPr="00CC77A7">
        <w:rPr>
          <w:sz w:val="24"/>
          <w:lang w:val="fi-FI"/>
        </w:rPr>
        <w:t xml:space="preserve">JO L 345 de 29.12.2011, p. 8, ELI: </w:t>
      </w:r>
      <w:hyperlink r:id="rId2" w:history="1">
        <w:r w:rsidRPr="00CC77A7">
          <w:rPr>
            <w:rStyle w:val="Hyperlink"/>
            <w:sz w:val="24"/>
            <w:lang w:val="fi-FI"/>
          </w:rPr>
          <w:t>http://data.europa.eu/eli/dir/2011/96/oj</w:t>
        </w:r>
      </w:hyperlink>
      <w:r w:rsidRPr="00CC77A7">
        <w:rPr>
          <w:sz w:val="24"/>
          <w:lang w:val="fi-FI"/>
        </w:rPr>
        <w:t>.</w:t>
      </w:r>
    </w:p>
  </w:footnote>
  <w:footnote w:id="3">
    <w:p w14:paraId="39275A91" w14:textId="64C78775" w:rsidR="00FA7CC6" w:rsidRPr="00390BBD" w:rsidRDefault="00FA7CC6" w:rsidP="00390BBD">
      <w:pPr>
        <w:pStyle w:val="FootnoteText"/>
        <w:ind w:left="567" w:hanging="567"/>
        <w:rPr>
          <w:sz w:val="24"/>
          <w:lang w:val="pt-PT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390BBD">
        <w:rPr>
          <w:sz w:val="24"/>
          <w:lang w:val="pt-PT"/>
        </w:rPr>
        <w:t xml:space="preserve"> </w:t>
      </w:r>
      <w:r w:rsidR="00390BBD" w:rsidRPr="00390BBD">
        <w:rPr>
          <w:sz w:val="24"/>
          <w:lang w:val="pt-PT"/>
        </w:rPr>
        <w:tab/>
      </w:r>
      <w:r w:rsidRPr="00390BBD">
        <w:rPr>
          <w:sz w:val="24"/>
          <w:lang w:val="pt-PT"/>
        </w:rPr>
        <w:t xml:space="preserve">JO L 328 de 22.12.2022, p. 1, ELI: </w:t>
      </w:r>
      <w:hyperlink r:id="rId3" w:history="1">
        <w:r w:rsidRPr="00390BBD">
          <w:rPr>
            <w:rStyle w:val="Hyperlink"/>
            <w:sz w:val="24"/>
            <w:lang w:val="pt-PT"/>
          </w:rPr>
          <w:t>http://data.europa.eu/eli/dir/2022/2523/oj</w:t>
        </w:r>
      </w:hyperlink>
      <w:r w:rsidRPr="00390BBD">
        <w:rPr>
          <w:sz w:val="24"/>
          <w:lang w:val="pt-PT"/>
        </w:rPr>
        <w:t>.</w:t>
      </w:r>
    </w:p>
  </w:footnote>
  <w:footnote w:id="4">
    <w:p w14:paraId="35CA41F2" w14:textId="230BB7BA" w:rsidR="00FA7CC6" w:rsidRPr="00390BBD" w:rsidRDefault="00FA7CC6" w:rsidP="00390BBD">
      <w:pPr>
        <w:pStyle w:val="FootnoteText"/>
        <w:ind w:left="567" w:hanging="567"/>
        <w:rPr>
          <w:sz w:val="24"/>
          <w:lang w:val="pt-PT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390BBD">
        <w:rPr>
          <w:sz w:val="24"/>
          <w:lang w:val="pt-PT"/>
        </w:rPr>
        <w:t xml:space="preserve"> </w:t>
      </w:r>
      <w:r w:rsidR="00390BBD" w:rsidRPr="00390BBD">
        <w:rPr>
          <w:sz w:val="24"/>
          <w:lang w:val="pt-PT"/>
        </w:rPr>
        <w:tab/>
      </w:r>
      <w:r w:rsidRPr="00390BBD">
        <w:rPr>
          <w:sz w:val="24"/>
          <w:lang w:val="pt-PT"/>
        </w:rPr>
        <w:t>JO C 479 de 16.12.2022, p. 89.</w:t>
      </w:r>
    </w:p>
  </w:footnote>
  <w:footnote w:id="5">
    <w:p w14:paraId="2B50AF84" w14:textId="31D4B511" w:rsidR="00FA7CC6" w:rsidRPr="00390BBD" w:rsidRDefault="00FA7CC6" w:rsidP="00390BBD">
      <w:pPr>
        <w:pStyle w:val="FootnoteText"/>
        <w:ind w:left="567" w:hanging="567"/>
        <w:rPr>
          <w:sz w:val="24"/>
          <w:lang w:val="pt-PT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390BBD">
        <w:rPr>
          <w:sz w:val="24"/>
          <w:lang w:val="pt-PT"/>
        </w:rPr>
        <w:t xml:space="preserve"> </w:t>
      </w:r>
      <w:r w:rsidR="00390BBD" w:rsidRPr="00390BBD">
        <w:rPr>
          <w:sz w:val="24"/>
          <w:lang w:val="pt-PT"/>
        </w:rPr>
        <w:tab/>
      </w:r>
      <w:r w:rsidRPr="00390BBD">
        <w:rPr>
          <w:sz w:val="24"/>
          <w:lang w:val="pt-PT"/>
        </w:rPr>
        <w:t>Comissão Europeia, Agência de Execução do Conselho Europeu da Inovação e das PM, Direção</w:t>
      </w:r>
      <w:r w:rsidRPr="00390BBD">
        <w:rPr>
          <w:sz w:val="24"/>
          <w:lang w:val="pt-PT"/>
        </w:rPr>
        <w:noBreakHyphen/>
        <w:t xml:space="preserve">Geral do Mercado Interno, da Indústria, do Empreendedorismo e das PME, KPMG, VVA, </w:t>
      </w:r>
      <w:proofErr w:type="spellStart"/>
      <w:r w:rsidRPr="00390BBD">
        <w:rPr>
          <w:sz w:val="24"/>
          <w:lang w:val="pt-PT"/>
        </w:rPr>
        <w:t>Di</w:t>
      </w:r>
      <w:proofErr w:type="spellEnd"/>
      <w:r w:rsidRPr="00390BBD">
        <w:rPr>
          <w:sz w:val="24"/>
          <w:lang w:val="pt-PT"/>
        </w:rPr>
        <w:t xml:space="preserve"> </w:t>
      </w:r>
      <w:proofErr w:type="spellStart"/>
      <w:r w:rsidRPr="00390BBD">
        <w:rPr>
          <w:sz w:val="24"/>
          <w:lang w:val="pt-PT"/>
        </w:rPr>
        <w:t>Legge</w:t>
      </w:r>
      <w:proofErr w:type="spellEnd"/>
      <w:r w:rsidRPr="00390BBD">
        <w:rPr>
          <w:sz w:val="24"/>
          <w:lang w:val="pt-PT"/>
        </w:rPr>
        <w:t xml:space="preserve">, A, </w:t>
      </w:r>
      <w:proofErr w:type="spellStart"/>
      <w:r w:rsidRPr="00390BBD">
        <w:rPr>
          <w:i/>
          <w:iCs/>
          <w:sz w:val="24"/>
          <w:lang w:val="pt-PT"/>
        </w:rPr>
        <w:t>et</w:t>
      </w:r>
      <w:proofErr w:type="spellEnd"/>
      <w:r w:rsidRPr="00390BBD">
        <w:rPr>
          <w:i/>
          <w:iCs/>
          <w:sz w:val="24"/>
          <w:lang w:val="pt-PT"/>
        </w:rPr>
        <w:t xml:space="preserve"> al</w:t>
      </w:r>
      <w:r w:rsidRPr="00390BBD">
        <w:rPr>
          <w:sz w:val="24"/>
          <w:lang w:val="pt-PT"/>
        </w:rPr>
        <w:t>., «</w:t>
      </w:r>
      <w:proofErr w:type="spellStart"/>
      <w:r w:rsidRPr="00390BBD">
        <w:rPr>
          <w:i/>
          <w:sz w:val="24"/>
          <w:lang w:val="pt-PT"/>
        </w:rPr>
        <w:t>Tax</w:t>
      </w:r>
      <w:proofErr w:type="spellEnd"/>
      <w:r w:rsidRPr="00390BBD">
        <w:rPr>
          <w:i/>
          <w:sz w:val="24"/>
          <w:lang w:val="pt-PT"/>
        </w:rPr>
        <w:t xml:space="preserve"> </w:t>
      </w:r>
      <w:proofErr w:type="spellStart"/>
      <w:r w:rsidRPr="00390BBD">
        <w:rPr>
          <w:i/>
          <w:sz w:val="24"/>
          <w:lang w:val="pt-PT"/>
        </w:rPr>
        <w:t>compliance</w:t>
      </w:r>
      <w:proofErr w:type="spellEnd"/>
      <w:r w:rsidRPr="00390BBD">
        <w:rPr>
          <w:i/>
          <w:sz w:val="24"/>
          <w:lang w:val="pt-PT"/>
        </w:rPr>
        <w:t xml:space="preserve"> </w:t>
      </w:r>
      <w:proofErr w:type="spellStart"/>
      <w:r w:rsidRPr="00390BBD">
        <w:rPr>
          <w:i/>
          <w:sz w:val="24"/>
          <w:lang w:val="pt-PT"/>
        </w:rPr>
        <w:t>costs</w:t>
      </w:r>
      <w:proofErr w:type="spellEnd"/>
      <w:r w:rsidRPr="00390BBD">
        <w:rPr>
          <w:i/>
          <w:sz w:val="24"/>
          <w:lang w:val="pt-PT"/>
        </w:rPr>
        <w:t xml:space="preserve"> for </w:t>
      </w:r>
      <w:proofErr w:type="spellStart"/>
      <w:r w:rsidRPr="00390BBD">
        <w:rPr>
          <w:i/>
          <w:sz w:val="24"/>
          <w:lang w:val="pt-PT"/>
        </w:rPr>
        <w:t>SMEs</w:t>
      </w:r>
      <w:proofErr w:type="spellEnd"/>
      <w:r w:rsidRPr="00390BBD">
        <w:rPr>
          <w:i/>
          <w:sz w:val="24"/>
          <w:lang w:val="pt-PT"/>
        </w:rPr>
        <w:t xml:space="preserve"> — </w:t>
      </w:r>
      <w:proofErr w:type="spellStart"/>
      <w:r w:rsidRPr="00390BBD">
        <w:rPr>
          <w:i/>
          <w:sz w:val="24"/>
          <w:lang w:val="pt-PT"/>
        </w:rPr>
        <w:t>An</w:t>
      </w:r>
      <w:proofErr w:type="spellEnd"/>
      <w:r w:rsidRPr="00390BBD">
        <w:rPr>
          <w:i/>
          <w:sz w:val="24"/>
          <w:lang w:val="pt-PT"/>
        </w:rPr>
        <w:t xml:space="preserve"> </w:t>
      </w:r>
      <w:proofErr w:type="spellStart"/>
      <w:r w:rsidRPr="00390BBD">
        <w:rPr>
          <w:i/>
          <w:sz w:val="24"/>
          <w:lang w:val="pt-PT"/>
        </w:rPr>
        <w:t>update</w:t>
      </w:r>
      <w:proofErr w:type="spellEnd"/>
      <w:r w:rsidRPr="00390BBD">
        <w:rPr>
          <w:i/>
          <w:sz w:val="24"/>
          <w:lang w:val="pt-PT"/>
        </w:rPr>
        <w:t xml:space="preserve"> </w:t>
      </w:r>
      <w:proofErr w:type="spellStart"/>
      <w:r w:rsidRPr="00390BBD">
        <w:rPr>
          <w:i/>
          <w:sz w:val="24"/>
          <w:lang w:val="pt-PT"/>
        </w:rPr>
        <w:t>and</w:t>
      </w:r>
      <w:proofErr w:type="spellEnd"/>
      <w:r w:rsidRPr="00390BBD">
        <w:rPr>
          <w:i/>
          <w:sz w:val="24"/>
          <w:lang w:val="pt-PT"/>
        </w:rPr>
        <w:t xml:space="preserve"> a </w:t>
      </w:r>
      <w:proofErr w:type="spellStart"/>
      <w:r w:rsidRPr="00390BBD">
        <w:rPr>
          <w:i/>
          <w:sz w:val="24"/>
          <w:lang w:val="pt-PT"/>
        </w:rPr>
        <w:t>complement</w:t>
      </w:r>
      <w:proofErr w:type="spellEnd"/>
      <w:r w:rsidRPr="00390BBD">
        <w:rPr>
          <w:i/>
          <w:sz w:val="24"/>
          <w:lang w:val="pt-PT"/>
        </w:rPr>
        <w:t xml:space="preserve"> — Final </w:t>
      </w:r>
      <w:proofErr w:type="spellStart"/>
      <w:r w:rsidRPr="00390BBD">
        <w:rPr>
          <w:i/>
          <w:sz w:val="24"/>
          <w:lang w:val="pt-PT"/>
        </w:rPr>
        <w:t>report</w:t>
      </w:r>
      <w:proofErr w:type="spellEnd"/>
      <w:r w:rsidRPr="00390BBD">
        <w:rPr>
          <w:sz w:val="24"/>
          <w:lang w:val="pt-PT"/>
        </w:rPr>
        <w:t xml:space="preserve">» [Custos de conformidade fiscal para as PME: atualização e complemento — relatório final], Serviço das Publicações da União Europeia, 2022, </w:t>
      </w:r>
      <w:hyperlink r:id="rId4" w:history="1">
        <w:r w:rsidRPr="00390BBD">
          <w:rPr>
            <w:rStyle w:val="Hyperlink"/>
            <w:sz w:val="24"/>
            <w:lang w:val="pt-PT"/>
          </w:rPr>
          <w:t>https://data.europa.eu/doi/10.2873/180570</w:t>
        </w:r>
      </w:hyperlink>
      <w:r w:rsidRPr="00390BBD">
        <w:rPr>
          <w:sz w:val="24"/>
          <w:lang w:val="pt-PT"/>
        </w:rPr>
        <w:t>.</w:t>
      </w:r>
    </w:p>
  </w:footnote>
  <w:footnote w:id="6">
    <w:p w14:paraId="516A232F" w14:textId="6C8C6036" w:rsidR="00FA7CC6" w:rsidRPr="00CC77A7" w:rsidRDefault="00FA7CC6" w:rsidP="00390BBD">
      <w:pPr>
        <w:pStyle w:val="FootnoteText"/>
        <w:ind w:left="567" w:hanging="567"/>
        <w:rPr>
          <w:sz w:val="24"/>
          <w:lang w:val="fi-FI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CC77A7">
        <w:rPr>
          <w:sz w:val="24"/>
          <w:lang w:val="fi-FI"/>
        </w:rPr>
        <w:t xml:space="preserve"> </w:t>
      </w:r>
      <w:r w:rsidR="00390BBD" w:rsidRPr="00CC77A7">
        <w:rPr>
          <w:sz w:val="24"/>
          <w:lang w:val="fi-FI"/>
        </w:rPr>
        <w:tab/>
      </w:r>
      <w:r w:rsidRPr="00CC77A7">
        <w:rPr>
          <w:sz w:val="24"/>
          <w:lang w:val="fi-FI"/>
        </w:rPr>
        <w:t xml:space="preserve">JO L, 2025/50, 10.1.2025, ELI: </w:t>
      </w:r>
      <w:hyperlink r:id="rId5" w:history="1">
        <w:r w:rsidRPr="00CC77A7">
          <w:rPr>
            <w:rStyle w:val="Hyperlink"/>
            <w:sz w:val="24"/>
            <w:lang w:val="fi-FI"/>
          </w:rPr>
          <w:t>http://data.europa.eu/eli/dir/2025/50/oj</w:t>
        </w:r>
      </w:hyperlink>
      <w:r w:rsidRPr="00CC77A7">
        <w:rPr>
          <w:sz w:val="24"/>
          <w:lang w:val="fi-FI"/>
        </w:rPr>
        <w:t>.</w:t>
      </w:r>
    </w:p>
  </w:footnote>
  <w:footnote w:id="7">
    <w:p w14:paraId="6FD49FCF" w14:textId="0CB3AEF1" w:rsidR="00FA7CC6" w:rsidRPr="00CC77A7" w:rsidRDefault="00FA7CC6" w:rsidP="00390BBD">
      <w:pPr>
        <w:pStyle w:val="FootnoteText"/>
        <w:ind w:left="567" w:hanging="567"/>
        <w:rPr>
          <w:sz w:val="24"/>
          <w:lang w:val="da-DK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CC77A7">
        <w:rPr>
          <w:sz w:val="24"/>
          <w:lang w:val="da-DK"/>
        </w:rPr>
        <w:t xml:space="preserve"> </w:t>
      </w:r>
      <w:r w:rsidR="00390BBD" w:rsidRPr="00CC77A7">
        <w:rPr>
          <w:sz w:val="24"/>
          <w:lang w:val="da-DK"/>
        </w:rPr>
        <w:tab/>
      </w:r>
      <w:r w:rsidRPr="00CC77A7">
        <w:rPr>
          <w:sz w:val="24"/>
          <w:lang w:val="da-DK"/>
        </w:rPr>
        <w:t>JO C 342 de 6.9.2022, p. 88.</w:t>
      </w:r>
    </w:p>
  </w:footnote>
  <w:footnote w:id="8">
    <w:p w14:paraId="4B03AAF4" w14:textId="2D340AE6" w:rsidR="00FA7CC6" w:rsidRPr="00CC77A7" w:rsidRDefault="00FA7CC6" w:rsidP="00390BBD">
      <w:pPr>
        <w:pStyle w:val="FootnoteText"/>
        <w:ind w:left="567" w:hanging="567"/>
        <w:rPr>
          <w:sz w:val="24"/>
          <w:lang w:val="da-DK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CC77A7">
        <w:rPr>
          <w:sz w:val="24"/>
          <w:lang w:val="da-DK"/>
        </w:rPr>
        <w:t xml:space="preserve"> </w:t>
      </w:r>
      <w:r w:rsidR="00390BBD" w:rsidRPr="00CC77A7">
        <w:rPr>
          <w:sz w:val="24"/>
          <w:lang w:val="da-DK"/>
        </w:rPr>
        <w:tab/>
      </w:r>
      <w:r w:rsidRPr="00CC77A7">
        <w:rPr>
          <w:sz w:val="24"/>
          <w:lang w:val="da-DK"/>
        </w:rPr>
        <w:t>JO C 132 de 24.3.2022, p. 167.</w:t>
      </w:r>
    </w:p>
  </w:footnote>
  <w:footnote w:id="9">
    <w:p w14:paraId="66C23C10" w14:textId="5D06C419" w:rsidR="00FA7CC6" w:rsidRPr="00CC77A7" w:rsidRDefault="00FA7CC6" w:rsidP="00390BBD">
      <w:pPr>
        <w:pStyle w:val="FootnoteText"/>
        <w:ind w:left="567" w:hanging="567"/>
        <w:rPr>
          <w:sz w:val="24"/>
          <w:lang w:val="da-DK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CC77A7">
        <w:rPr>
          <w:sz w:val="24"/>
          <w:lang w:val="da-DK"/>
        </w:rPr>
        <w:t xml:space="preserve"> </w:t>
      </w:r>
      <w:r w:rsidR="00390BBD" w:rsidRPr="00CC77A7">
        <w:rPr>
          <w:sz w:val="24"/>
          <w:lang w:val="da-DK"/>
        </w:rPr>
        <w:tab/>
      </w:r>
      <w:r w:rsidRPr="00CC77A7">
        <w:rPr>
          <w:sz w:val="24"/>
          <w:lang w:val="da-DK"/>
        </w:rPr>
        <w:t>JO C 342 de 6.9.2022, p. 14.</w:t>
      </w:r>
    </w:p>
  </w:footnote>
  <w:footnote w:id="10">
    <w:p w14:paraId="44872175" w14:textId="308B34B4" w:rsidR="00FA7CC6" w:rsidRPr="00CC77A7" w:rsidRDefault="00FA7CC6" w:rsidP="00390BBD">
      <w:pPr>
        <w:pStyle w:val="FootnoteText"/>
        <w:ind w:left="567" w:hanging="567"/>
        <w:rPr>
          <w:sz w:val="24"/>
          <w:lang w:val="da-DK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CC77A7">
        <w:rPr>
          <w:sz w:val="24"/>
          <w:lang w:val="da-DK"/>
        </w:rPr>
        <w:t xml:space="preserve"> </w:t>
      </w:r>
      <w:r w:rsidR="00390BBD" w:rsidRPr="00CC77A7">
        <w:rPr>
          <w:sz w:val="24"/>
          <w:lang w:val="da-DK"/>
        </w:rPr>
        <w:tab/>
      </w:r>
      <w:r w:rsidRPr="00CC77A7">
        <w:rPr>
          <w:sz w:val="24"/>
          <w:lang w:val="da-DK"/>
        </w:rPr>
        <w:t>JO C 347 de 9.9.2022, p. 172.</w:t>
      </w:r>
    </w:p>
  </w:footnote>
  <w:footnote w:id="11">
    <w:p w14:paraId="0F1B51B6" w14:textId="0DF721FC" w:rsidR="00FA7CC6" w:rsidRPr="00CC77A7" w:rsidRDefault="00FA7CC6" w:rsidP="00390BBD">
      <w:pPr>
        <w:pStyle w:val="FootnoteText"/>
        <w:ind w:left="567" w:hanging="567"/>
        <w:rPr>
          <w:sz w:val="24"/>
          <w:lang w:val="da-DK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CC77A7">
        <w:rPr>
          <w:sz w:val="24"/>
          <w:lang w:val="da-DK"/>
        </w:rPr>
        <w:t xml:space="preserve"> </w:t>
      </w:r>
      <w:r w:rsidR="00390BBD" w:rsidRPr="00CC77A7">
        <w:rPr>
          <w:sz w:val="24"/>
          <w:lang w:val="da-DK"/>
        </w:rPr>
        <w:tab/>
      </w:r>
      <w:r w:rsidRPr="00CC77A7">
        <w:rPr>
          <w:sz w:val="24"/>
          <w:lang w:val="da-DK"/>
        </w:rPr>
        <w:t>JO C 132 de 14.4.2023, p. 15.</w:t>
      </w:r>
    </w:p>
  </w:footnote>
  <w:footnote w:id="12">
    <w:p w14:paraId="261A5C2E" w14:textId="025088EB" w:rsidR="00FA7CC6" w:rsidRPr="00CC77A7" w:rsidRDefault="00FA7CC6" w:rsidP="00390BBD">
      <w:pPr>
        <w:pStyle w:val="FootnoteText"/>
        <w:ind w:left="567" w:hanging="567"/>
        <w:rPr>
          <w:sz w:val="24"/>
          <w:lang w:val="da-DK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CC77A7">
        <w:rPr>
          <w:sz w:val="24"/>
          <w:lang w:val="da-DK"/>
        </w:rPr>
        <w:t xml:space="preserve"> </w:t>
      </w:r>
      <w:r w:rsidR="00390BBD" w:rsidRPr="00CC77A7">
        <w:rPr>
          <w:sz w:val="24"/>
          <w:lang w:val="da-DK"/>
        </w:rPr>
        <w:tab/>
      </w:r>
      <w:r w:rsidRPr="00CC77A7">
        <w:rPr>
          <w:sz w:val="24"/>
          <w:lang w:val="da-DK"/>
        </w:rPr>
        <w:t>JO C 347 de 9.9.2022, p. 211.</w:t>
      </w:r>
    </w:p>
  </w:footnote>
  <w:footnote w:id="13">
    <w:p w14:paraId="5C4F18DE" w14:textId="55058B3D" w:rsidR="00FA7CC6" w:rsidRPr="00CC77A7" w:rsidRDefault="00FA7CC6" w:rsidP="00390BBD">
      <w:pPr>
        <w:pStyle w:val="FootnoteText"/>
        <w:ind w:left="567" w:hanging="567"/>
        <w:rPr>
          <w:sz w:val="24"/>
          <w:lang w:val="fi-FI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CC77A7">
        <w:rPr>
          <w:sz w:val="24"/>
          <w:lang w:val="fi-FI"/>
        </w:rPr>
        <w:t xml:space="preserve"> </w:t>
      </w:r>
      <w:r w:rsidR="00390BBD" w:rsidRPr="00CC77A7">
        <w:rPr>
          <w:sz w:val="24"/>
          <w:lang w:val="fi-FI"/>
        </w:rPr>
        <w:tab/>
      </w:r>
      <w:r w:rsidRPr="00CC77A7">
        <w:rPr>
          <w:sz w:val="24"/>
          <w:lang w:val="fi-FI"/>
        </w:rPr>
        <w:t>JO C 465 de 6.12.2022, p. 109.</w:t>
      </w:r>
    </w:p>
  </w:footnote>
  <w:footnote w:id="14">
    <w:p w14:paraId="6179D36A" w14:textId="469CD94E" w:rsidR="00FA7CC6" w:rsidRPr="00CC77A7" w:rsidRDefault="00FA7CC6" w:rsidP="00390BBD">
      <w:pPr>
        <w:pStyle w:val="FootnoteText"/>
        <w:ind w:left="567" w:hanging="567"/>
        <w:rPr>
          <w:sz w:val="24"/>
          <w:lang w:val="fi-FI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CC77A7">
        <w:rPr>
          <w:sz w:val="24"/>
          <w:lang w:val="fi-FI"/>
        </w:rPr>
        <w:t xml:space="preserve"> </w:t>
      </w:r>
      <w:r w:rsidR="00390BBD" w:rsidRPr="00CC77A7">
        <w:rPr>
          <w:sz w:val="24"/>
          <w:lang w:val="fi-FI"/>
        </w:rPr>
        <w:tab/>
      </w:r>
      <w:r w:rsidRPr="00CC77A7">
        <w:rPr>
          <w:sz w:val="24"/>
          <w:lang w:val="fi-FI"/>
        </w:rPr>
        <w:t xml:space="preserve">JO C, C/2024/492, 23.1.2024, ELI: </w:t>
      </w:r>
      <w:hyperlink r:id="rId6" w:history="1">
        <w:r w:rsidRPr="00CC77A7">
          <w:rPr>
            <w:rStyle w:val="Hyperlink"/>
            <w:sz w:val="24"/>
            <w:lang w:val="fi-FI"/>
          </w:rPr>
          <w:t>http://data.europa.eu/eli/C/2024/492/oj</w:t>
        </w:r>
      </w:hyperlink>
      <w:r w:rsidRPr="00CC77A7">
        <w:rPr>
          <w:sz w:val="24"/>
          <w:lang w:val="fi-FI"/>
        </w:rPr>
        <w:t>.</w:t>
      </w:r>
    </w:p>
  </w:footnote>
  <w:footnote w:id="15">
    <w:p w14:paraId="19B07063" w14:textId="3D6780EA" w:rsidR="00FA7CC6" w:rsidRPr="00CC77A7" w:rsidRDefault="00FA7CC6" w:rsidP="00390BBD">
      <w:pPr>
        <w:pStyle w:val="FootnoteText"/>
        <w:ind w:left="567" w:hanging="567"/>
        <w:rPr>
          <w:sz w:val="24"/>
          <w:lang w:val="fi-FI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CC77A7">
        <w:rPr>
          <w:sz w:val="24"/>
          <w:lang w:val="fi-FI"/>
        </w:rPr>
        <w:t xml:space="preserve"> </w:t>
      </w:r>
      <w:r w:rsidR="00390BBD" w:rsidRPr="00CC77A7">
        <w:rPr>
          <w:sz w:val="24"/>
          <w:lang w:val="fi-FI"/>
        </w:rPr>
        <w:tab/>
      </w:r>
      <w:r w:rsidRPr="00CC77A7">
        <w:rPr>
          <w:sz w:val="24"/>
          <w:lang w:val="fi-FI"/>
        </w:rPr>
        <w:t xml:space="preserve">JO C, C/2024/4165, 2.8.2024, ELI: </w:t>
      </w:r>
      <w:hyperlink r:id="rId7" w:history="1">
        <w:r w:rsidRPr="00CC77A7">
          <w:rPr>
            <w:rStyle w:val="Hyperlink"/>
            <w:sz w:val="24"/>
            <w:lang w:val="fi-FI"/>
          </w:rPr>
          <w:t>http://data.europa.eu/eli/C/2024/4165/oj</w:t>
        </w:r>
      </w:hyperlink>
      <w:r w:rsidRPr="00CC77A7">
        <w:rPr>
          <w:sz w:val="24"/>
          <w:lang w:val="fi-FI"/>
        </w:rPr>
        <w:t>.</w:t>
      </w:r>
    </w:p>
  </w:footnote>
  <w:footnote w:id="16">
    <w:p w14:paraId="20D44881" w14:textId="37CA1BDE" w:rsidR="00FA7CC6" w:rsidRPr="00390BBD" w:rsidRDefault="00FA7CC6" w:rsidP="00390BBD">
      <w:pPr>
        <w:pStyle w:val="FootnoteText"/>
        <w:ind w:left="567" w:hanging="567"/>
        <w:rPr>
          <w:sz w:val="24"/>
          <w:lang w:val="pt-PT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390BBD">
        <w:rPr>
          <w:sz w:val="24"/>
          <w:lang w:val="pt-PT"/>
        </w:rPr>
        <w:t xml:space="preserve"> </w:t>
      </w:r>
      <w:r w:rsidR="00390BBD" w:rsidRPr="00390BBD">
        <w:rPr>
          <w:sz w:val="24"/>
          <w:lang w:val="pt-PT"/>
        </w:rPr>
        <w:tab/>
      </w:r>
      <w:r w:rsidRPr="00390BBD">
        <w:rPr>
          <w:sz w:val="24"/>
          <w:lang w:val="pt-PT"/>
        </w:rPr>
        <w:t>Conselho da União Europeia: Secretariado</w:t>
      </w:r>
      <w:r w:rsidRPr="00390BBD">
        <w:rPr>
          <w:sz w:val="24"/>
          <w:lang w:val="pt-PT"/>
        </w:rPr>
        <w:noBreakHyphen/>
        <w:t>Geral do Conselho, «</w:t>
      </w:r>
      <w:r w:rsidRPr="00390BBD">
        <w:rPr>
          <w:i/>
          <w:sz w:val="24"/>
          <w:lang w:val="pt-PT"/>
        </w:rPr>
        <w:t xml:space="preserve">Conference </w:t>
      </w:r>
      <w:proofErr w:type="spellStart"/>
      <w:r w:rsidRPr="00390BBD">
        <w:rPr>
          <w:i/>
          <w:sz w:val="24"/>
          <w:lang w:val="pt-PT"/>
        </w:rPr>
        <w:t>on</w:t>
      </w:r>
      <w:proofErr w:type="spellEnd"/>
      <w:r w:rsidRPr="00390BBD">
        <w:rPr>
          <w:i/>
          <w:sz w:val="24"/>
          <w:lang w:val="pt-PT"/>
        </w:rPr>
        <w:t xml:space="preserve"> </w:t>
      </w:r>
      <w:proofErr w:type="spellStart"/>
      <w:r w:rsidRPr="00390BBD">
        <w:rPr>
          <w:i/>
          <w:sz w:val="24"/>
          <w:lang w:val="pt-PT"/>
        </w:rPr>
        <w:t>the</w:t>
      </w:r>
      <w:proofErr w:type="spellEnd"/>
      <w:r w:rsidRPr="00390BBD">
        <w:rPr>
          <w:i/>
          <w:sz w:val="24"/>
          <w:lang w:val="pt-PT"/>
        </w:rPr>
        <w:t xml:space="preserve"> Future </w:t>
      </w:r>
      <w:proofErr w:type="spellStart"/>
      <w:r w:rsidRPr="00390BBD">
        <w:rPr>
          <w:i/>
          <w:sz w:val="24"/>
          <w:lang w:val="pt-PT"/>
        </w:rPr>
        <w:t>of</w:t>
      </w:r>
      <w:proofErr w:type="spellEnd"/>
      <w:r w:rsidRPr="00390BBD">
        <w:rPr>
          <w:i/>
          <w:sz w:val="24"/>
          <w:lang w:val="pt-PT"/>
        </w:rPr>
        <w:t xml:space="preserve"> </w:t>
      </w:r>
      <w:proofErr w:type="spellStart"/>
      <w:r w:rsidRPr="00390BBD">
        <w:rPr>
          <w:i/>
          <w:sz w:val="24"/>
          <w:lang w:val="pt-PT"/>
        </w:rPr>
        <w:t>Europe</w:t>
      </w:r>
      <w:proofErr w:type="spellEnd"/>
      <w:r w:rsidRPr="00390BBD">
        <w:rPr>
          <w:i/>
          <w:sz w:val="24"/>
          <w:lang w:val="pt-PT"/>
        </w:rPr>
        <w:t xml:space="preserve"> — </w:t>
      </w:r>
      <w:proofErr w:type="spellStart"/>
      <w:r w:rsidRPr="00390BBD">
        <w:rPr>
          <w:i/>
          <w:sz w:val="24"/>
          <w:lang w:val="pt-PT"/>
        </w:rPr>
        <w:t>Report</w:t>
      </w:r>
      <w:proofErr w:type="spellEnd"/>
      <w:r w:rsidRPr="00390BBD">
        <w:rPr>
          <w:i/>
          <w:sz w:val="24"/>
          <w:lang w:val="pt-PT"/>
        </w:rPr>
        <w:t xml:space="preserve"> </w:t>
      </w:r>
      <w:proofErr w:type="spellStart"/>
      <w:r w:rsidRPr="00390BBD">
        <w:rPr>
          <w:i/>
          <w:sz w:val="24"/>
          <w:lang w:val="pt-PT"/>
        </w:rPr>
        <w:t>on</w:t>
      </w:r>
      <w:proofErr w:type="spellEnd"/>
      <w:r w:rsidRPr="00390BBD">
        <w:rPr>
          <w:i/>
          <w:sz w:val="24"/>
          <w:lang w:val="pt-PT"/>
        </w:rPr>
        <w:t xml:space="preserve"> </w:t>
      </w:r>
      <w:proofErr w:type="spellStart"/>
      <w:r w:rsidRPr="00390BBD">
        <w:rPr>
          <w:i/>
          <w:sz w:val="24"/>
          <w:lang w:val="pt-PT"/>
        </w:rPr>
        <w:t>the</w:t>
      </w:r>
      <w:proofErr w:type="spellEnd"/>
      <w:r w:rsidRPr="00390BBD">
        <w:rPr>
          <w:i/>
          <w:sz w:val="24"/>
          <w:lang w:val="pt-PT"/>
        </w:rPr>
        <w:t xml:space="preserve"> final </w:t>
      </w:r>
      <w:proofErr w:type="spellStart"/>
      <w:r w:rsidRPr="00390BBD">
        <w:rPr>
          <w:i/>
          <w:sz w:val="24"/>
          <w:lang w:val="pt-PT"/>
        </w:rPr>
        <w:t>outcome</w:t>
      </w:r>
      <w:proofErr w:type="spellEnd"/>
      <w:r w:rsidRPr="00390BBD">
        <w:rPr>
          <w:i/>
          <w:sz w:val="24"/>
          <w:lang w:val="pt-PT"/>
        </w:rPr>
        <w:t xml:space="preserve"> — </w:t>
      </w:r>
      <w:proofErr w:type="spellStart"/>
      <w:r w:rsidRPr="00390BBD">
        <w:rPr>
          <w:i/>
          <w:sz w:val="24"/>
          <w:lang w:val="pt-PT"/>
        </w:rPr>
        <w:t>May</w:t>
      </w:r>
      <w:proofErr w:type="spellEnd"/>
      <w:r w:rsidRPr="00390BBD">
        <w:rPr>
          <w:i/>
          <w:sz w:val="24"/>
          <w:lang w:val="pt-PT"/>
        </w:rPr>
        <w:t xml:space="preserve"> 2022»</w:t>
      </w:r>
      <w:r w:rsidRPr="00390BBD">
        <w:rPr>
          <w:sz w:val="24"/>
          <w:lang w:val="pt-PT"/>
        </w:rPr>
        <w:t xml:space="preserve"> [Conferência sobre o Futuro da Europa — Relatório sobre o </w:t>
      </w:r>
      <w:proofErr w:type="gramStart"/>
      <w:r w:rsidRPr="00390BBD">
        <w:rPr>
          <w:sz w:val="24"/>
          <w:lang w:val="pt-PT"/>
        </w:rPr>
        <w:t>resultado final</w:t>
      </w:r>
      <w:proofErr w:type="gramEnd"/>
      <w:r w:rsidRPr="00390BBD">
        <w:rPr>
          <w:sz w:val="24"/>
          <w:lang w:val="pt-PT"/>
        </w:rPr>
        <w:t xml:space="preserve"> — maio de 2022], Serviço das Publicações da União Europeia, 2022, </w:t>
      </w:r>
      <w:hyperlink r:id="rId8" w:history="1">
        <w:r w:rsidRPr="00390BBD">
          <w:rPr>
            <w:rStyle w:val="Hyperlink"/>
            <w:sz w:val="24"/>
            <w:lang w:val="pt-PT"/>
          </w:rPr>
          <w:t>https://data.europa.eu/doi/10.2860/637445</w:t>
        </w:r>
      </w:hyperlink>
      <w:r w:rsidRPr="00390BBD">
        <w:rPr>
          <w:sz w:val="24"/>
          <w:lang w:val="pt-PT"/>
        </w:rPr>
        <w:t>.</w:t>
      </w:r>
    </w:p>
  </w:footnote>
  <w:footnote w:id="17">
    <w:p w14:paraId="0AEE3BBB" w14:textId="7AB0B490" w:rsidR="00FA7CC6" w:rsidRPr="00390BBD" w:rsidRDefault="00FA7CC6" w:rsidP="00390BBD">
      <w:pPr>
        <w:pStyle w:val="FootnoteText"/>
        <w:ind w:left="567" w:hanging="567"/>
        <w:rPr>
          <w:sz w:val="24"/>
          <w:lang w:val="pt-PT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390BBD">
        <w:rPr>
          <w:sz w:val="24"/>
          <w:lang w:val="pt-PT"/>
        </w:rPr>
        <w:t xml:space="preserve"> </w:t>
      </w:r>
      <w:r w:rsidR="00390BBD" w:rsidRPr="00390BBD">
        <w:rPr>
          <w:sz w:val="24"/>
          <w:lang w:val="pt-PT"/>
        </w:rPr>
        <w:tab/>
      </w:r>
      <w:proofErr w:type="spellStart"/>
      <w:r w:rsidRPr="00390BBD">
        <w:rPr>
          <w:sz w:val="24"/>
          <w:lang w:val="pt-PT"/>
        </w:rPr>
        <w:t>Letta</w:t>
      </w:r>
      <w:proofErr w:type="spellEnd"/>
      <w:r w:rsidRPr="00390BBD">
        <w:rPr>
          <w:sz w:val="24"/>
          <w:lang w:val="pt-PT"/>
        </w:rPr>
        <w:t>, E., «</w:t>
      </w:r>
      <w:proofErr w:type="spellStart"/>
      <w:r w:rsidRPr="00390BBD">
        <w:rPr>
          <w:i/>
          <w:iCs/>
          <w:sz w:val="24"/>
          <w:lang w:val="pt-PT"/>
        </w:rPr>
        <w:t>Much</w:t>
      </w:r>
      <w:proofErr w:type="spellEnd"/>
      <w:r w:rsidRPr="00390BBD">
        <w:rPr>
          <w:i/>
          <w:iCs/>
          <w:sz w:val="24"/>
          <w:lang w:val="pt-PT"/>
        </w:rPr>
        <w:t xml:space="preserve"> more </w:t>
      </w:r>
      <w:proofErr w:type="spellStart"/>
      <w:r w:rsidRPr="00390BBD">
        <w:rPr>
          <w:i/>
          <w:iCs/>
          <w:sz w:val="24"/>
          <w:lang w:val="pt-PT"/>
        </w:rPr>
        <w:t>than</w:t>
      </w:r>
      <w:proofErr w:type="spellEnd"/>
      <w:r w:rsidRPr="00390BBD">
        <w:rPr>
          <w:i/>
          <w:iCs/>
          <w:sz w:val="24"/>
          <w:lang w:val="pt-PT"/>
        </w:rPr>
        <w:t xml:space="preserve"> a </w:t>
      </w:r>
      <w:proofErr w:type="spellStart"/>
      <w:r w:rsidRPr="00390BBD">
        <w:rPr>
          <w:i/>
          <w:iCs/>
          <w:sz w:val="24"/>
          <w:lang w:val="pt-PT"/>
        </w:rPr>
        <w:t>market</w:t>
      </w:r>
      <w:proofErr w:type="spellEnd"/>
      <w:r w:rsidRPr="00390BBD">
        <w:rPr>
          <w:i/>
          <w:iCs/>
          <w:sz w:val="24"/>
          <w:lang w:val="pt-PT"/>
        </w:rPr>
        <w:t xml:space="preserve"> — Speed, </w:t>
      </w:r>
      <w:proofErr w:type="spellStart"/>
      <w:r w:rsidRPr="00390BBD">
        <w:rPr>
          <w:i/>
          <w:iCs/>
          <w:sz w:val="24"/>
          <w:lang w:val="pt-PT"/>
        </w:rPr>
        <w:t>Security</w:t>
      </w:r>
      <w:proofErr w:type="spellEnd"/>
      <w:r w:rsidRPr="00390BBD">
        <w:rPr>
          <w:i/>
          <w:iCs/>
          <w:sz w:val="24"/>
          <w:lang w:val="pt-PT"/>
        </w:rPr>
        <w:t xml:space="preserve">, </w:t>
      </w:r>
      <w:proofErr w:type="spellStart"/>
      <w:r w:rsidRPr="00390BBD">
        <w:rPr>
          <w:i/>
          <w:iCs/>
          <w:sz w:val="24"/>
          <w:lang w:val="pt-PT"/>
        </w:rPr>
        <w:t>Solidarity</w:t>
      </w:r>
      <w:proofErr w:type="spellEnd"/>
      <w:r w:rsidRPr="00390BBD">
        <w:rPr>
          <w:i/>
          <w:iCs/>
          <w:sz w:val="24"/>
          <w:lang w:val="pt-PT"/>
        </w:rPr>
        <w:t xml:space="preserve"> — </w:t>
      </w:r>
      <w:proofErr w:type="spellStart"/>
      <w:r w:rsidRPr="00390BBD">
        <w:rPr>
          <w:i/>
          <w:iCs/>
          <w:sz w:val="24"/>
          <w:lang w:val="pt-PT"/>
        </w:rPr>
        <w:t>Empowering</w:t>
      </w:r>
      <w:proofErr w:type="spellEnd"/>
      <w:r w:rsidRPr="00390BBD">
        <w:rPr>
          <w:i/>
          <w:iCs/>
          <w:sz w:val="24"/>
          <w:lang w:val="pt-PT"/>
        </w:rPr>
        <w:t xml:space="preserve"> </w:t>
      </w:r>
      <w:proofErr w:type="spellStart"/>
      <w:r w:rsidRPr="00390BBD">
        <w:rPr>
          <w:i/>
          <w:iCs/>
          <w:sz w:val="24"/>
          <w:lang w:val="pt-PT"/>
        </w:rPr>
        <w:t>the</w:t>
      </w:r>
      <w:proofErr w:type="spellEnd"/>
      <w:r w:rsidRPr="00390BBD">
        <w:rPr>
          <w:i/>
          <w:iCs/>
          <w:sz w:val="24"/>
          <w:lang w:val="pt-PT"/>
        </w:rPr>
        <w:t xml:space="preserve"> Single </w:t>
      </w:r>
      <w:proofErr w:type="spellStart"/>
      <w:r w:rsidRPr="00390BBD">
        <w:rPr>
          <w:i/>
          <w:iCs/>
          <w:sz w:val="24"/>
          <w:lang w:val="pt-PT"/>
        </w:rPr>
        <w:t>Market</w:t>
      </w:r>
      <w:proofErr w:type="spellEnd"/>
      <w:r w:rsidRPr="00390BBD">
        <w:rPr>
          <w:i/>
          <w:iCs/>
          <w:sz w:val="24"/>
          <w:lang w:val="pt-PT"/>
        </w:rPr>
        <w:t xml:space="preserve"> to </w:t>
      </w:r>
      <w:proofErr w:type="spellStart"/>
      <w:r w:rsidRPr="00390BBD">
        <w:rPr>
          <w:i/>
          <w:iCs/>
          <w:sz w:val="24"/>
          <w:lang w:val="pt-PT"/>
        </w:rPr>
        <w:t>deliver</w:t>
      </w:r>
      <w:proofErr w:type="spellEnd"/>
      <w:r w:rsidRPr="00390BBD">
        <w:rPr>
          <w:i/>
          <w:iCs/>
          <w:sz w:val="24"/>
          <w:lang w:val="pt-PT"/>
        </w:rPr>
        <w:t xml:space="preserve"> a </w:t>
      </w:r>
      <w:proofErr w:type="spellStart"/>
      <w:r w:rsidRPr="00390BBD">
        <w:rPr>
          <w:i/>
          <w:iCs/>
          <w:sz w:val="24"/>
          <w:lang w:val="pt-PT"/>
        </w:rPr>
        <w:t>sustainable</w:t>
      </w:r>
      <w:proofErr w:type="spellEnd"/>
      <w:r w:rsidRPr="00390BBD">
        <w:rPr>
          <w:i/>
          <w:iCs/>
          <w:sz w:val="24"/>
          <w:lang w:val="pt-PT"/>
        </w:rPr>
        <w:t xml:space="preserve"> future </w:t>
      </w:r>
      <w:proofErr w:type="spellStart"/>
      <w:r w:rsidRPr="00390BBD">
        <w:rPr>
          <w:i/>
          <w:iCs/>
          <w:sz w:val="24"/>
          <w:lang w:val="pt-PT"/>
        </w:rPr>
        <w:t>and</w:t>
      </w:r>
      <w:proofErr w:type="spellEnd"/>
      <w:r w:rsidRPr="00390BBD">
        <w:rPr>
          <w:i/>
          <w:iCs/>
          <w:sz w:val="24"/>
          <w:lang w:val="pt-PT"/>
        </w:rPr>
        <w:t xml:space="preserve"> </w:t>
      </w:r>
      <w:proofErr w:type="spellStart"/>
      <w:r w:rsidRPr="00390BBD">
        <w:rPr>
          <w:i/>
          <w:iCs/>
          <w:sz w:val="24"/>
          <w:lang w:val="pt-PT"/>
        </w:rPr>
        <w:t>prosperity</w:t>
      </w:r>
      <w:proofErr w:type="spellEnd"/>
      <w:r w:rsidRPr="00390BBD">
        <w:rPr>
          <w:i/>
          <w:iCs/>
          <w:sz w:val="24"/>
          <w:lang w:val="pt-PT"/>
        </w:rPr>
        <w:t xml:space="preserve"> for </w:t>
      </w:r>
      <w:proofErr w:type="spellStart"/>
      <w:r w:rsidRPr="00390BBD">
        <w:rPr>
          <w:i/>
          <w:iCs/>
          <w:sz w:val="24"/>
          <w:lang w:val="pt-PT"/>
        </w:rPr>
        <w:t>all</w:t>
      </w:r>
      <w:proofErr w:type="spellEnd"/>
      <w:r w:rsidRPr="00390BBD">
        <w:rPr>
          <w:i/>
          <w:iCs/>
          <w:sz w:val="24"/>
          <w:lang w:val="pt-PT"/>
        </w:rPr>
        <w:t xml:space="preserve"> EU </w:t>
      </w:r>
      <w:proofErr w:type="spellStart"/>
      <w:r w:rsidRPr="00390BBD">
        <w:rPr>
          <w:i/>
          <w:iCs/>
          <w:sz w:val="24"/>
          <w:lang w:val="pt-PT"/>
        </w:rPr>
        <w:t>Citizens</w:t>
      </w:r>
      <w:proofErr w:type="spellEnd"/>
      <w:r w:rsidRPr="00390BBD">
        <w:rPr>
          <w:sz w:val="24"/>
          <w:lang w:val="pt-PT"/>
        </w:rPr>
        <w:t>» [Mais do que um mercado — Rapidez, segurança, solidariedade — Capacitar o mercado único para proporcionar um futuro sustentável e próspero para todos os cidadãos da UE], abril de 2024.</w:t>
      </w:r>
    </w:p>
  </w:footnote>
  <w:footnote w:id="18">
    <w:p w14:paraId="7076379E" w14:textId="2E667068" w:rsidR="00FA7CC6" w:rsidRPr="00390BBD" w:rsidRDefault="00FA7CC6" w:rsidP="00390BBD">
      <w:pPr>
        <w:pStyle w:val="FootnoteText"/>
        <w:ind w:left="567" w:hanging="567"/>
        <w:rPr>
          <w:sz w:val="24"/>
          <w:lang w:val="pt-PT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390BBD">
        <w:rPr>
          <w:sz w:val="24"/>
          <w:lang w:val="pt-PT"/>
        </w:rPr>
        <w:t xml:space="preserve"> </w:t>
      </w:r>
      <w:r w:rsidR="00390BBD" w:rsidRPr="00390BBD">
        <w:rPr>
          <w:sz w:val="24"/>
          <w:lang w:val="pt-PT"/>
        </w:rPr>
        <w:tab/>
      </w:r>
      <w:proofErr w:type="spellStart"/>
      <w:r w:rsidRPr="00390BBD">
        <w:rPr>
          <w:sz w:val="24"/>
          <w:lang w:val="pt-PT"/>
        </w:rPr>
        <w:t>Draghi</w:t>
      </w:r>
      <w:proofErr w:type="spellEnd"/>
      <w:r w:rsidRPr="00390BBD">
        <w:rPr>
          <w:sz w:val="24"/>
          <w:lang w:val="pt-PT"/>
        </w:rPr>
        <w:t>, M., «</w:t>
      </w:r>
      <w:proofErr w:type="spellStart"/>
      <w:r w:rsidRPr="00390BBD">
        <w:rPr>
          <w:i/>
          <w:iCs/>
          <w:sz w:val="24"/>
          <w:lang w:val="pt-PT"/>
        </w:rPr>
        <w:t>The</w:t>
      </w:r>
      <w:proofErr w:type="spellEnd"/>
      <w:r w:rsidRPr="00390BBD">
        <w:rPr>
          <w:i/>
          <w:iCs/>
          <w:sz w:val="24"/>
          <w:lang w:val="pt-PT"/>
        </w:rPr>
        <w:t xml:space="preserve"> future </w:t>
      </w:r>
      <w:proofErr w:type="spellStart"/>
      <w:r w:rsidRPr="00390BBD">
        <w:rPr>
          <w:i/>
          <w:iCs/>
          <w:sz w:val="24"/>
          <w:lang w:val="pt-PT"/>
        </w:rPr>
        <w:t>of</w:t>
      </w:r>
      <w:proofErr w:type="spellEnd"/>
      <w:r w:rsidRPr="00390BBD">
        <w:rPr>
          <w:i/>
          <w:iCs/>
          <w:sz w:val="24"/>
          <w:lang w:val="pt-PT"/>
        </w:rPr>
        <w:t xml:space="preserve"> </w:t>
      </w:r>
      <w:proofErr w:type="spellStart"/>
      <w:r w:rsidRPr="00390BBD">
        <w:rPr>
          <w:i/>
          <w:iCs/>
          <w:sz w:val="24"/>
          <w:lang w:val="pt-PT"/>
        </w:rPr>
        <w:t>European</w:t>
      </w:r>
      <w:proofErr w:type="spellEnd"/>
      <w:r w:rsidRPr="00390BBD">
        <w:rPr>
          <w:i/>
          <w:iCs/>
          <w:sz w:val="24"/>
          <w:lang w:val="pt-PT"/>
        </w:rPr>
        <w:t xml:space="preserve"> </w:t>
      </w:r>
      <w:proofErr w:type="spellStart"/>
      <w:r w:rsidRPr="00390BBD">
        <w:rPr>
          <w:i/>
          <w:iCs/>
          <w:sz w:val="24"/>
          <w:lang w:val="pt-PT"/>
        </w:rPr>
        <w:t>competitiveness</w:t>
      </w:r>
      <w:proofErr w:type="spellEnd"/>
      <w:r w:rsidRPr="00390BBD">
        <w:rPr>
          <w:sz w:val="24"/>
          <w:lang w:val="pt-PT"/>
        </w:rPr>
        <w:t>» [O futuro da competitividade europeia], 9 de setembro de 2024.</w:t>
      </w:r>
    </w:p>
  </w:footnote>
  <w:footnote w:id="19">
    <w:p w14:paraId="02409B91" w14:textId="4C9DC219" w:rsidR="00FA7CC6" w:rsidRPr="00390BBD" w:rsidRDefault="00FA7CC6" w:rsidP="00390BBD">
      <w:pPr>
        <w:pStyle w:val="FootnoteText"/>
        <w:ind w:left="567" w:hanging="567"/>
        <w:rPr>
          <w:sz w:val="24"/>
          <w:lang w:val="pt-PT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390BBD">
        <w:rPr>
          <w:sz w:val="24"/>
          <w:lang w:val="pt-PT"/>
        </w:rPr>
        <w:t xml:space="preserve"> </w:t>
      </w:r>
      <w:r w:rsidR="00390BBD" w:rsidRPr="00390BBD">
        <w:rPr>
          <w:sz w:val="24"/>
          <w:lang w:val="pt-PT"/>
        </w:rPr>
        <w:tab/>
      </w:r>
      <w:r w:rsidRPr="00390BBD">
        <w:rPr>
          <w:sz w:val="24"/>
          <w:lang w:val="pt-PT"/>
        </w:rPr>
        <w:t xml:space="preserve">Comissão Europeia, </w:t>
      </w:r>
      <w:r w:rsidRPr="00390BBD">
        <w:rPr>
          <w:i/>
          <w:iCs/>
          <w:sz w:val="24"/>
          <w:lang w:val="pt-PT"/>
        </w:rPr>
        <w:t xml:space="preserve">«Data </w:t>
      </w:r>
      <w:proofErr w:type="spellStart"/>
      <w:r w:rsidRPr="00390BBD">
        <w:rPr>
          <w:i/>
          <w:iCs/>
          <w:sz w:val="24"/>
          <w:lang w:val="pt-PT"/>
        </w:rPr>
        <w:t>on</w:t>
      </w:r>
      <w:proofErr w:type="spellEnd"/>
      <w:r w:rsidRPr="00390BBD">
        <w:rPr>
          <w:i/>
          <w:iCs/>
          <w:sz w:val="24"/>
          <w:lang w:val="pt-PT"/>
        </w:rPr>
        <w:t xml:space="preserve"> </w:t>
      </w:r>
      <w:proofErr w:type="spellStart"/>
      <w:r w:rsidRPr="00390BBD">
        <w:rPr>
          <w:i/>
          <w:iCs/>
          <w:sz w:val="24"/>
          <w:lang w:val="pt-PT"/>
        </w:rPr>
        <w:t>Taxation</w:t>
      </w:r>
      <w:proofErr w:type="spellEnd"/>
      <w:r w:rsidRPr="00390BBD">
        <w:rPr>
          <w:i/>
          <w:iCs/>
          <w:sz w:val="24"/>
          <w:lang w:val="pt-PT"/>
        </w:rPr>
        <w:t xml:space="preserve"> </w:t>
      </w:r>
      <w:proofErr w:type="spellStart"/>
      <w:r w:rsidRPr="00390BBD">
        <w:rPr>
          <w:i/>
          <w:iCs/>
          <w:sz w:val="24"/>
          <w:lang w:val="pt-PT"/>
        </w:rPr>
        <w:t>Trends</w:t>
      </w:r>
      <w:proofErr w:type="spellEnd"/>
      <w:r w:rsidRPr="00390BBD">
        <w:rPr>
          <w:i/>
          <w:iCs/>
          <w:sz w:val="24"/>
          <w:lang w:val="pt-PT"/>
        </w:rPr>
        <w:t>»</w:t>
      </w:r>
      <w:r w:rsidRPr="00390BBD">
        <w:rPr>
          <w:sz w:val="24"/>
          <w:lang w:val="pt-PT"/>
        </w:rPr>
        <w:t xml:space="preserve"> [Dados sobre as tendências em matéria de tributação]; última atualização: 10 de março de 2025.</w:t>
      </w:r>
    </w:p>
  </w:footnote>
  <w:footnote w:id="20">
    <w:p w14:paraId="039CC433" w14:textId="43496BA4" w:rsidR="00FA7CC6" w:rsidRPr="00390BBD" w:rsidRDefault="00FA7CC6" w:rsidP="00390BBD">
      <w:pPr>
        <w:pStyle w:val="FootnoteText"/>
        <w:ind w:left="567" w:hanging="567"/>
        <w:rPr>
          <w:sz w:val="24"/>
          <w:lang w:val="pt-PT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390BBD">
        <w:rPr>
          <w:sz w:val="24"/>
          <w:lang w:val="pt-PT"/>
        </w:rPr>
        <w:t xml:space="preserve"> </w:t>
      </w:r>
      <w:r w:rsidR="00390BBD" w:rsidRPr="00390BBD">
        <w:rPr>
          <w:sz w:val="24"/>
          <w:lang w:val="pt-PT"/>
        </w:rPr>
        <w:tab/>
      </w:r>
      <w:r w:rsidRPr="00390BBD">
        <w:rPr>
          <w:sz w:val="24"/>
          <w:lang w:val="pt-PT"/>
        </w:rPr>
        <w:t>Ibidem.</w:t>
      </w:r>
    </w:p>
  </w:footnote>
  <w:footnote w:id="21">
    <w:p w14:paraId="301F86B0" w14:textId="644DCD9E" w:rsidR="00FA7CC6" w:rsidRPr="00390BBD" w:rsidRDefault="00FA7CC6" w:rsidP="00390BBD">
      <w:pPr>
        <w:pStyle w:val="FootnoteText"/>
        <w:ind w:left="567" w:hanging="567"/>
        <w:rPr>
          <w:sz w:val="24"/>
          <w:lang w:val="pt-PT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390BBD">
        <w:rPr>
          <w:sz w:val="24"/>
          <w:lang w:val="pt-PT"/>
        </w:rPr>
        <w:t xml:space="preserve"> </w:t>
      </w:r>
      <w:r w:rsidR="00390BBD" w:rsidRPr="00390BBD">
        <w:rPr>
          <w:sz w:val="24"/>
          <w:lang w:val="pt-PT"/>
        </w:rPr>
        <w:tab/>
      </w:r>
      <w:r w:rsidRPr="00390BBD">
        <w:rPr>
          <w:sz w:val="24"/>
          <w:lang w:val="pt-PT"/>
        </w:rPr>
        <w:t>Ibidem.</w:t>
      </w:r>
    </w:p>
  </w:footnote>
  <w:footnote w:id="22">
    <w:p w14:paraId="447ED436" w14:textId="0B26CF8E" w:rsidR="00FA7CC6" w:rsidRPr="00390BBD" w:rsidRDefault="00FA7CC6" w:rsidP="00390BBD">
      <w:pPr>
        <w:pStyle w:val="FootnoteText"/>
        <w:ind w:left="567" w:hanging="567"/>
        <w:rPr>
          <w:sz w:val="24"/>
          <w:lang w:val="pt-PT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390BBD">
        <w:rPr>
          <w:sz w:val="24"/>
          <w:lang w:val="pt-PT"/>
        </w:rPr>
        <w:t xml:space="preserve"> </w:t>
      </w:r>
      <w:r w:rsidR="00390BBD" w:rsidRPr="00390BBD">
        <w:rPr>
          <w:sz w:val="24"/>
          <w:lang w:val="pt-PT"/>
        </w:rPr>
        <w:tab/>
      </w:r>
      <w:r w:rsidRPr="00390BBD">
        <w:rPr>
          <w:sz w:val="24"/>
          <w:lang w:val="pt-PT"/>
        </w:rPr>
        <w:t>Comissão Europeia, Direção</w:t>
      </w:r>
      <w:r w:rsidRPr="00390BBD">
        <w:rPr>
          <w:sz w:val="24"/>
          <w:lang w:val="pt-PT"/>
        </w:rPr>
        <w:noBreakHyphen/>
        <w:t xml:space="preserve">Geral da Fiscalidade e da União Aduaneira, Centro de Investigação Social e Económica (CASE), Oxford </w:t>
      </w:r>
      <w:proofErr w:type="spellStart"/>
      <w:r w:rsidRPr="00390BBD">
        <w:rPr>
          <w:sz w:val="24"/>
          <w:lang w:val="pt-PT"/>
        </w:rPr>
        <w:t>Economics</w:t>
      </w:r>
      <w:proofErr w:type="spellEnd"/>
      <w:r w:rsidRPr="00390BBD">
        <w:rPr>
          <w:sz w:val="24"/>
          <w:lang w:val="pt-PT"/>
        </w:rPr>
        <w:t xml:space="preserve">, </w:t>
      </w:r>
      <w:proofErr w:type="spellStart"/>
      <w:r w:rsidRPr="00390BBD">
        <w:rPr>
          <w:sz w:val="24"/>
          <w:lang w:val="pt-PT"/>
        </w:rPr>
        <w:t>Syntesia</w:t>
      </w:r>
      <w:proofErr w:type="spellEnd"/>
      <w:r w:rsidRPr="00390BBD">
        <w:rPr>
          <w:sz w:val="24"/>
          <w:lang w:val="pt-PT"/>
        </w:rPr>
        <w:t xml:space="preserve">, </w:t>
      </w:r>
      <w:proofErr w:type="spellStart"/>
      <w:r w:rsidRPr="00390BBD">
        <w:rPr>
          <w:sz w:val="24"/>
          <w:lang w:val="pt-PT"/>
        </w:rPr>
        <w:t>Bonch</w:t>
      </w:r>
      <w:r w:rsidRPr="00390BBD">
        <w:rPr>
          <w:sz w:val="24"/>
          <w:lang w:val="pt-PT"/>
        </w:rPr>
        <w:noBreakHyphen/>
        <w:t>Osmolovskiy</w:t>
      </w:r>
      <w:proofErr w:type="spellEnd"/>
      <w:r w:rsidRPr="00390BBD">
        <w:rPr>
          <w:sz w:val="24"/>
          <w:lang w:val="pt-PT"/>
        </w:rPr>
        <w:t xml:space="preserve">, M. </w:t>
      </w:r>
      <w:proofErr w:type="spellStart"/>
      <w:r w:rsidRPr="00390BBD">
        <w:rPr>
          <w:i/>
          <w:iCs/>
          <w:sz w:val="24"/>
          <w:lang w:val="pt-PT"/>
        </w:rPr>
        <w:t>et</w:t>
      </w:r>
      <w:proofErr w:type="spellEnd"/>
      <w:r w:rsidRPr="00390BBD">
        <w:rPr>
          <w:i/>
          <w:iCs/>
          <w:sz w:val="24"/>
          <w:lang w:val="pt-PT"/>
        </w:rPr>
        <w:t xml:space="preserve"> al</w:t>
      </w:r>
      <w:r w:rsidRPr="00390BBD">
        <w:rPr>
          <w:sz w:val="24"/>
          <w:lang w:val="pt-PT"/>
        </w:rPr>
        <w:t xml:space="preserve">., </w:t>
      </w:r>
      <w:r w:rsidRPr="00390BBD">
        <w:rPr>
          <w:rStyle w:val="Italic"/>
          <w:sz w:val="24"/>
          <w:lang w:val="pt-PT"/>
        </w:rPr>
        <w:t>«VAT gap in the EU</w:t>
      </w:r>
      <w:r w:rsidRPr="00390BBD">
        <w:rPr>
          <w:sz w:val="24"/>
          <w:lang w:val="pt-PT"/>
        </w:rPr>
        <w:t xml:space="preserve"> —</w:t>
      </w:r>
      <w:r w:rsidRPr="00390BBD">
        <w:rPr>
          <w:rStyle w:val="Italic"/>
          <w:sz w:val="24"/>
          <w:lang w:val="pt-PT"/>
        </w:rPr>
        <w:t xml:space="preserve"> 2024 </w:t>
      </w:r>
      <w:proofErr w:type="spellStart"/>
      <w:r w:rsidRPr="00390BBD">
        <w:rPr>
          <w:rStyle w:val="Italic"/>
          <w:sz w:val="24"/>
          <w:lang w:val="pt-PT"/>
        </w:rPr>
        <w:t>report</w:t>
      </w:r>
      <w:proofErr w:type="spellEnd"/>
      <w:r w:rsidRPr="00390BBD">
        <w:rPr>
          <w:rStyle w:val="Italic"/>
          <w:sz w:val="24"/>
          <w:lang w:val="pt-PT"/>
        </w:rPr>
        <w:t>»</w:t>
      </w:r>
      <w:r w:rsidRPr="00390BBD">
        <w:rPr>
          <w:sz w:val="24"/>
          <w:lang w:val="pt-PT"/>
        </w:rPr>
        <w:t>, [Desvio do IVA na UE</w:t>
      </w:r>
      <w:r w:rsidRPr="00390BBD">
        <w:rPr>
          <w:sz w:val="24"/>
          <w:lang w:val="pt-PT"/>
        </w:rPr>
        <w:noBreakHyphen/>
        <w:t xml:space="preserve"> relatório de 2024], </w:t>
      </w:r>
      <w:proofErr w:type="spellStart"/>
      <w:r w:rsidRPr="00390BBD">
        <w:rPr>
          <w:sz w:val="24"/>
          <w:lang w:val="pt-PT"/>
        </w:rPr>
        <w:t>Poniatowski</w:t>
      </w:r>
      <w:proofErr w:type="spellEnd"/>
      <w:r w:rsidRPr="00390BBD">
        <w:rPr>
          <w:sz w:val="24"/>
          <w:lang w:val="pt-PT"/>
        </w:rPr>
        <w:t xml:space="preserve">, G.(editores), Serviço das Publicações da União Europeia, 2024, </w:t>
      </w:r>
      <w:hyperlink r:id="rId9" w:history="1">
        <w:r w:rsidRPr="00390BBD">
          <w:rPr>
            <w:rStyle w:val="Hyperlink"/>
            <w:sz w:val="24"/>
            <w:lang w:val="pt-PT"/>
          </w:rPr>
          <w:t>https://data.europa.eu/doi/10.2778/2476549</w:t>
        </w:r>
      </w:hyperlink>
      <w:r w:rsidRPr="00390BBD">
        <w:rPr>
          <w:sz w:val="24"/>
          <w:lang w:val="pt-PT"/>
        </w:rPr>
        <w:t>.</w:t>
      </w:r>
    </w:p>
  </w:footnote>
  <w:footnote w:id="23">
    <w:p w14:paraId="509FF4BE" w14:textId="5C0EA0CF" w:rsidR="00FA7CC6" w:rsidRPr="00390BBD" w:rsidRDefault="00FA7CC6" w:rsidP="00390BBD">
      <w:pPr>
        <w:pStyle w:val="FootnoteText"/>
        <w:ind w:left="567" w:hanging="567"/>
        <w:rPr>
          <w:sz w:val="24"/>
          <w:lang w:val="pt-PT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390BBD">
        <w:rPr>
          <w:sz w:val="24"/>
          <w:lang w:val="pt-PT"/>
        </w:rPr>
        <w:t xml:space="preserve"> </w:t>
      </w:r>
      <w:r w:rsidR="00390BBD" w:rsidRPr="00390BBD">
        <w:rPr>
          <w:sz w:val="24"/>
          <w:lang w:val="pt-PT"/>
        </w:rPr>
        <w:tab/>
      </w:r>
      <w:r w:rsidRPr="00390BBD">
        <w:rPr>
          <w:sz w:val="24"/>
          <w:lang w:val="pt-PT"/>
        </w:rPr>
        <w:t>Comissão Europeia, «</w:t>
      </w:r>
      <w:proofErr w:type="spellStart"/>
      <w:r w:rsidRPr="00390BBD">
        <w:rPr>
          <w:sz w:val="24"/>
          <w:lang w:val="pt-PT"/>
        </w:rPr>
        <w:t>Questions</w:t>
      </w:r>
      <w:proofErr w:type="spellEnd"/>
      <w:r w:rsidRPr="00390BBD">
        <w:rPr>
          <w:sz w:val="24"/>
          <w:lang w:val="pt-PT"/>
        </w:rPr>
        <w:t xml:space="preserve"> </w:t>
      </w:r>
      <w:proofErr w:type="spellStart"/>
      <w:r w:rsidRPr="00390BBD">
        <w:rPr>
          <w:sz w:val="24"/>
          <w:lang w:val="pt-PT"/>
        </w:rPr>
        <w:t>and</w:t>
      </w:r>
      <w:proofErr w:type="spellEnd"/>
      <w:r w:rsidRPr="00390BBD">
        <w:rPr>
          <w:sz w:val="24"/>
          <w:lang w:val="pt-PT"/>
        </w:rPr>
        <w:t xml:space="preserve"> </w:t>
      </w:r>
      <w:proofErr w:type="spellStart"/>
      <w:r w:rsidRPr="00390BBD">
        <w:rPr>
          <w:sz w:val="24"/>
          <w:lang w:val="pt-PT"/>
        </w:rPr>
        <w:t>Answers</w:t>
      </w:r>
      <w:proofErr w:type="spellEnd"/>
      <w:r w:rsidRPr="00390BBD">
        <w:rPr>
          <w:sz w:val="24"/>
          <w:lang w:val="pt-PT"/>
        </w:rPr>
        <w:t xml:space="preserve">: VAT Gap 2022 </w:t>
      </w:r>
      <w:proofErr w:type="spellStart"/>
      <w:r w:rsidRPr="00390BBD">
        <w:rPr>
          <w:sz w:val="24"/>
          <w:lang w:val="pt-PT"/>
        </w:rPr>
        <w:t>report</w:t>
      </w:r>
      <w:proofErr w:type="spellEnd"/>
      <w:r w:rsidRPr="00390BBD">
        <w:rPr>
          <w:sz w:val="24"/>
          <w:lang w:val="pt-PT"/>
        </w:rPr>
        <w:t xml:space="preserve">» [Perguntas e respostas: relatório 2022 sobre o desvio do IVA] , sítio Web da Comissão Europeia, 8 de dezembro de 2022, </w:t>
      </w:r>
      <w:hyperlink r:id="rId10" w:history="1">
        <w:r w:rsidRPr="00390BBD">
          <w:rPr>
            <w:rStyle w:val="Hyperlink"/>
            <w:sz w:val="24"/>
            <w:lang w:val="pt-PT"/>
          </w:rPr>
          <w:t>https://ec.europa.eu/commission/presscorner/detail/en/qanda_22_7519</w:t>
        </w:r>
      </w:hyperlink>
      <w:r w:rsidRPr="00390BBD">
        <w:rPr>
          <w:sz w:val="24"/>
          <w:lang w:val="pt-PT"/>
        </w:rPr>
        <w:t>.</w:t>
      </w:r>
    </w:p>
  </w:footnote>
  <w:footnote w:id="24">
    <w:p w14:paraId="237D0C5E" w14:textId="735A55C8" w:rsidR="00FA7CC6" w:rsidRPr="00390BBD" w:rsidRDefault="00FA7CC6" w:rsidP="00390BBD">
      <w:pPr>
        <w:pStyle w:val="FootnoteText"/>
        <w:ind w:left="567" w:hanging="567"/>
        <w:rPr>
          <w:sz w:val="24"/>
          <w:lang w:val="pt-PT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390BBD">
        <w:rPr>
          <w:sz w:val="24"/>
          <w:lang w:val="pt-PT"/>
        </w:rPr>
        <w:t xml:space="preserve"> </w:t>
      </w:r>
      <w:r w:rsidR="00390BBD" w:rsidRPr="00390BBD">
        <w:rPr>
          <w:sz w:val="24"/>
          <w:lang w:val="pt-PT"/>
        </w:rPr>
        <w:tab/>
      </w:r>
      <w:r w:rsidRPr="00390BBD">
        <w:rPr>
          <w:sz w:val="24"/>
          <w:lang w:val="pt-PT"/>
        </w:rPr>
        <w:t>Comissão Europeia, Direção</w:t>
      </w:r>
      <w:r w:rsidRPr="00390BBD">
        <w:rPr>
          <w:sz w:val="24"/>
          <w:lang w:val="pt-PT"/>
        </w:rPr>
        <w:noBreakHyphen/>
        <w:t>Geral da Fiscalidade e da União Aduaneira, «</w:t>
      </w:r>
      <w:proofErr w:type="spellStart"/>
      <w:r w:rsidRPr="00390BBD">
        <w:rPr>
          <w:i/>
          <w:iCs/>
          <w:sz w:val="24"/>
          <w:lang w:val="pt-PT"/>
        </w:rPr>
        <w:t>Annual</w:t>
      </w:r>
      <w:proofErr w:type="spellEnd"/>
      <w:r w:rsidRPr="00390BBD">
        <w:rPr>
          <w:i/>
          <w:iCs/>
          <w:sz w:val="24"/>
          <w:lang w:val="pt-PT"/>
        </w:rPr>
        <w:t xml:space="preserve"> </w:t>
      </w:r>
      <w:proofErr w:type="spellStart"/>
      <w:r w:rsidRPr="00390BBD">
        <w:rPr>
          <w:i/>
          <w:iCs/>
          <w:sz w:val="24"/>
          <w:lang w:val="pt-PT"/>
        </w:rPr>
        <w:t>report</w:t>
      </w:r>
      <w:proofErr w:type="spellEnd"/>
      <w:r w:rsidRPr="00390BBD">
        <w:rPr>
          <w:i/>
          <w:iCs/>
          <w:sz w:val="24"/>
          <w:lang w:val="pt-PT"/>
        </w:rPr>
        <w:t xml:space="preserve"> </w:t>
      </w:r>
      <w:proofErr w:type="spellStart"/>
      <w:r w:rsidRPr="00390BBD">
        <w:rPr>
          <w:i/>
          <w:iCs/>
          <w:sz w:val="24"/>
          <w:lang w:val="pt-PT"/>
        </w:rPr>
        <w:t>on</w:t>
      </w:r>
      <w:proofErr w:type="spellEnd"/>
      <w:r w:rsidRPr="00390BBD">
        <w:rPr>
          <w:i/>
          <w:iCs/>
          <w:sz w:val="24"/>
          <w:lang w:val="pt-PT"/>
        </w:rPr>
        <w:t xml:space="preserve"> </w:t>
      </w:r>
      <w:proofErr w:type="spellStart"/>
      <w:r w:rsidRPr="00390BBD">
        <w:rPr>
          <w:i/>
          <w:iCs/>
          <w:sz w:val="24"/>
          <w:lang w:val="pt-PT"/>
        </w:rPr>
        <w:t>taxation</w:t>
      </w:r>
      <w:proofErr w:type="spellEnd"/>
      <w:r w:rsidRPr="00390BBD">
        <w:rPr>
          <w:i/>
          <w:iCs/>
          <w:sz w:val="24"/>
          <w:lang w:val="pt-PT"/>
        </w:rPr>
        <w:t xml:space="preserve"> 2024 — </w:t>
      </w:r>
      <w:proofErr w:type="spellStart"/>
      <w:r w:rsidRPr="00390BBD">
        <w:rPr>
          <w:i/>
          <w:iCs/>
          <w:sz w:val="24"/>
          <w:lang w:val="pt-PT"/>
        </w:rPr>
        <w:t>Review</w:t>
      </w:r>
      <w:proofErr w:type="spellEnd"/>
      <w:r w:rsidRPr="00390BBD">
        <w:rPr>
          <w:i/>
          <w:iCs/>
          <w:sz w:val="24"/>
          <w:lang w:val="pt-PT"/>
        </w:rPr>
        <w:t xml:space="preserve"> </w:t>
      </w:r>
      <w:proofErr w:type="spellStart"/>
      <w:r w:rsidRPr="00390BBD">
        <w:rPr>
          <w:i/>
          <w:iCs/>
          <w:sz w:val="24"/>
          <w:lang w:val="pt-PT"/>
        </w:rPr>
        <w:t>of</w:t>
      </w:r>
      <w:proofErr w:type="spellEnd"/>
      <w:r w:rsidRPr="00390BBD">
        <w:rPr>
          <w:i/>
          <w:iCs/>
          <w:sz w:val="24"/>
          <w:lang w:val="pt-PT"/>
        </w:rPr>
        <w:t xml:space="preserve"> </w:t>
      </w:r>
      <w:proofErr w:type="spellStart"/>
      <w:r w:rsidRPr="00390BBD">
        <w:rPr>
          <w:i/>
          <w:iCs/>
          <w:sz w:val="24"/>
          <w:lang w:val="pt-PT"/>
        </w:rPr>
        <w:t>taxation</w:t>
      </w:r>
      <w:proofErr w:type="spellEnd"/>
      <w:r w:rsidRPr="00390BBD">
        <w:rPr>
          <w:i/>
          <w:iCs/>
          <w:sz w:val="24"/>
          <w:lang w:val="pt-PT"/>
        </w:rPr>
        <w:t xml:space="preserve"> policies in </w:t>
      </w:r>
      <w:proofErr w:type="spellStart"/>
      <w:r w:rsidRPr="00390BBD">
        <w:rPr>
          <w:i/>
          <w:iCs/>
          <w:sz w:val="24"/>
          <w:lang w:val="pt-PT"/>
        </w:rPr>
        <w:t>the</w:t>
      </w:r>
      <w:proofErr w:type="spellEnd"/>
      <w:r w:rsidRPr="00390BBD">
        <w:rPr>
          <w:i/>
          <w:iCs/>
          <w:sz w:val="24"/>
          <w:lang w:val="pt-PT"/>
        </w:rPr>
        <w:t xml:space="preserve"> </w:t>
      </w:r>
      <w:proofErr w:type="spellStart"/>
      <w:r w:rsidRPr="00390BBD">
        <w:rPr>
          <w:i/>
          <w:iCs/>
          <w:sz w:val="24"/>
          <w:lang w:val="pt-PT"/>
        </w:rPr>
        <w:t>European</w:t>
      </w:r>
      <w:proofErr w:type="spellEnd"/>
      <w:r w:rsidRPr="00390BBD">
        <w:rPr>
          <w:i/>
          <w:iCs/>
          <w:sz w:val="24"/>
          <w:lang w:val="pt-PT"/>
        </w:rPr>
        <w:t xml:space="preserve"> </w:t>
      </w:r>
      <w:proofErr w:type="spellStart"/>
      <w:r w:rsidRPr="00390BBD">
        <w:rPr>
          <w:i/>
          <w:iCs/>
          <w:sz w:val="24"/>
          <w:lang w:val="pt-PT"/>
        </w:rPr>
        <w:t>Union</w:t>
      </w:r>
      <w:proofErr w:type="spellEnd"/>
      <w:r w:rsidRPr="00390BBD">
        <w:rPr>
          <w:sz w:val="24"/>
          <w:lang w:val="pt-PT"/>
        </w:rPr>
        <w:t>» [Relatório anual sobre a fiscalidade 2024 — Análise das políticas fiscais na União Europeia], Serviço das Publicações da União Europeia, 2024,</w:t>
      </w:r>
      <w:hyperlink r:id="rId11" w:history="1">
        <w:r w:rsidRPr="00390BBD">
          <w:rPr>
            <w:rStyle w:val="Hyperlink"/>
            <w:sz w:val="24"/>
            <w:lang w:val="pt-PT"/>
          </w:rPr>
          <w:t>https://data.europa.eu/doi/10.2778/10846</w:t>
        </w:r>
      </w:hyperlink>
      <w:r w:rsidRPr="00390BBD">
        <w:rPr>
          <w:sz w:val="24"/>
          <w:lang w:val="pt-PT"/>
        </w:rPr>
        <w:t>.</w:t>
      </w:r>
    </w:p>
  </w:footnote>
  <w:footnote w:id="25">
    <w:p w14:paraId="0F5048D8" w14:textId="0630F6BA" w:rsidR="00FA7CC6" w:rsidRPr="00390BBD" w:rsidRDefault="00FA7CC6" w:rsidP="00390BBD">
      <w:pPr>
        <w:pStyle w:val="FootnoteText"/>
        <w:ind w:left="567" w:hanging="567"/>
        <w:rPr>
          <w:sz w:val="24"/>
          <w:lang w:val="pt-PT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390BBD">
        <w:rPr>
          <w:sz w:val="24"/>
          <w:lang w:val="pt-PT"/>
        </w:rPr>
        <w:t xml:space="preserve"> </w:t>
      </w:r>
      <w:r w:rsidR="00390BBD" w:rsidRPr="00390BBD">
        <w:rPr>
          <w:sz w:val="24"/>
          <w:lang w:val="pt-PT"/>
        </w:rPr>
        <w:tab/>
      </w:r>
      <w:r w:rsidRPr="00390BBD">
        <w:rPr>
          <w:sz w:val="24"/>
          <w:lang w:val="pt-PT"/>
        </w:rPr>
        <w:t>Comissão Europeia, Agência de Execução do Conselho Europeu da Inovação e das PM, Direção</w:t>
      </w:r>
      <w:r w:rsidRPr="00390BBD">
        <w:rPr>
          <w:sz w:val="24"/>
          <w:lang w:val="pt-PT"/>
        </w:rPr>
        <w:noBreakHyphen/>
        <w:t xml:space="preserve">Geral do Mercado Interno, da Indústria, do Empreendedorismo e das PME, KPMG, VVA, </w:t>
      </w:r>
      <w:proofErr w:type="spellStart"/>
      <w:r w:rsidRPr="00390BBD">
        <w:rPr>
          <w:sz w:val="24"/>
          <w:lang w:val="pt-PT"/>
        </w:rPr>
        <w:t>Di</w:t>
      </w:r>
      <w:proofErr w:type="spellEnd"/>
      <w:r w:rsidRPr="00390BBD">
        <w:rPr>
          <w:sz w:val="24"/>
          <w:lang w:val="pt-PT"/>
        </w:rPr>
        <w:t xml:space="preserve"> </w:t>
      </w:r>
      <w:proofErr w:type="spellStart"/>
      <w:r w:rsidRPr="00390BBD">
        <w:rPr>
          <w:sz w:val="24"/>
          <w:lang w:val="pt-PT"/>
        </w:rPr>
        <w:t>Legge</w:t>
      </w:r>
      <w:proofErr w:type="spellEnd"/>
      <w:r w:rsidRPr="00390BBD">
        <w:rPr>
          <w:sz w:val="24"/>
          <w:lang w:val="pt-PT"/>
        </w:rPr>
        <w:t>, A,</w:t>
      </w:r>
      <w:r w:rsidRPr="00390BBD">
        <w:rPr>
          <w:i/>
          <w:iCs/>
          <w:sz w:val="24"/>
          <w:lang w:val="pt-PT"/>
        </w:rPr>
        <w:t xml:space="preserve"> </w:t>
      </w:r>
      <w:proofErr w:type="spellStart"/>
      <w:r w:rsidRPr="00390BBD">
        <w:rPr>
          <w:i/>
          <w:iCs/>
          <w:sz w:val="24"/>
          <w:lang w:val="pt-PT"/>
        </w:rPr>
        <w:t>et</w:t>
      </w:r>
      <w:proofErr w:type="spellEnd"/>
      <w:r w:rsidRPr="00390BBD">
        <w:rPr>
          <w:i/>
          <w:iCs/>
          <w:sz w:val="24"/>
          <w:lang w:val="pt-PT"/>
        </w:rPr>
        <w:t xml:space="preserve"> al</w:t>
      </w:r>
      <w:r w:rsidRPr="00390BBD">
        <w:rPr>
          <w:sz w:val="24"/>
          <w:lang w:val="pt-PT"/>
        </w:rPr>
        <w:t>., «</w:t>
      </w:r>
      <w:proofErr w:type="spellStart"/>
      <w:r w:rsidRPr="00390BBD">
        <w:rPr>
          <w:i/>
          <w:sz w:val="24"/>
          <w:lang w:val="pt-PT"/>
        </w:rPr>
        <w:t>Tax</w:t>
      </w:r>
      <w:proofErr w:type="spellEnd"/>
      <w:r w:rsidRPr="00390BBD">
        <w:rPr>
          <w:i/>
          <w:sz w:val="24"/>
          <w:lang w:val="pt-PT"/>
        </w:rPr>
        <w:t xml:space="preserve"> </w:t>
      </w:r>
      <w:proofErr w:type="spellStart"/>
      <w:r w:rsidRPr="00390BBD">
        <w:rPr>
          <w:i/>
          <w:sz w:val="24"/>
          <w:lang w:val="pt-PT"/>
        </w:rPr>
        <w:t>compliance</w:t>
      </w:r>
      <w:proofErr w:type="spellEnd"/>
      <w:r w:rsidRPr="00390BBD">
        <w:rPr>
          <w:i/>
          <w:sz w:val="24"/>
          <w:lang w:val="pt-PT"/>
        </w:rPr>
        <w:t xml:space="preserve"> </w:t>
      </w:r>
      <w:proofErr w:type="spellStart"/>
      <w:r w:rsidRPr="00390BBD">
        <w:rPr>
          <w:i/>
          <w:sz w:val="24"/>
          <w:lang w:val="pt-PT"/>
        </w:rPr>
        <w:t>costs</w:t>
      </w:r>
      <w:proofErr w:type="spellEnd"/>
      <w:r w:rsidRPr="00390BBD">
        <w:rPr>
          <w:i/>
          <w:sz w:val="24"/>
          <w:lang w:val="pt-PT"/>
        </w:rPr>
        <w:t xml:space="preserve"> for </w:t>
      </w:r>
      <w:proofErr w:type="spellStart"/>
      <w:r w:rsidRPr="00390BBD">
        <w:rPr>
          <w:i/>
          <w:sz w:val="24"/>
          <w:lang w:val="pt-PT"/>
        </w:rPr>
        <w:t>SMEs</w:t>
      </w:r>
      <w:proofErr w:type="spellEnd"/>
      <w:r w:rsidRPr="00390BBD">
        <w:rPr>
          <w:i/>
          <w:sz w:val="24"/>
          <w:lang w:val="pt-PT"/>
        </w:rPr>
        <w:t xml:space="preserve"> — </w:t>
      </w:r>
      <w:proofErr w:type="spellStart"/>
      <w:r w:rsidRPr="00390BBD">
        <w:rPr>
          <w:i/>
          <w:sz w:val="24"/>
          <w:lang w:val="pt-PT"/>
        </w:rPr>
        <w:t>An</w:t>
      </w:r>
      <w:proofErr w:type="spellEnd"/>
      <w:r w:rsidRPr="00390BBD">
        <w:rPr>
          <w:i/>
          <w:sz w:val="24"/>
          <w:lang w:val="pt-PT"/>
        </w:rPr>
        <w:t xml:space="preserve"> </w:t>
      </w:r>
      <w:proofErr w:type="spellStart"/>
      <w:r w:rsidRPr="00390BBD">
        <w:rPr>
          <w:i/>
          <w:sz w:val="24"/>
          <w:lang w:val="pt-PT"/>
        </w:rPr>
        <w:t>update</w:t>
      </w:r>
      <w:proofErr w:type="spellEnd"/>
      <w:r w:rsidRPr="00390BBD">
        <w:rPr>
          <w:i/>
          <w:sz w:val="24"/>
          <w:lang w:val="pt-PT"/>
        </w:rPr>
        <w:t xml:space="preserve"> </w:t>
      </w:r>
      <w:proofErr w:type="spellStart"/>
      <w:r w:rsidRPr="00390BBD">
        <w:rPr>
          <w:i/>
          <w:sz w:val="24"/>
          <w:lang w:val="pt-PT"/>
        </w:rPr>
        <w:t>and</w:t>
      </w:r>
      <w:proofErr w:type="spellEnd"/>
      <w:r w:rsidRPr="00390BBD">
        <w:rPr>
          <w:i/>
          <w:sz w:val="24"/>
          <w:lang w:val="pt-PT"/>
        </w:rPr>
        <w:t xml:space="preserve"> a </w:t>
      </w:r>
      <w:proofErr w:type="spellStart"/>
      <w:r w:rsidRPr="00390BBD">
        <w:rPr>
          <w:i/>
          <w:sz w:val="24"/>
          <w:lang w:val="pt-PT"/>
        </w:rPr>
        <w:t>complement</w:t>
      </w:r>
      <w:proofErr w:type="spellEnd"/>
      <w:r w:rsidRPr="00390BBD">
        <w:rPr>
          <w:i/>
          <w:sz w:val="24"/>
          <w:lang w:val="pt-PT"/>
        </w:rPr>
        <w:t xml:space="preserve"> — Final </w:t>
      </w:r>
      <w:proofErr w:type="spellStart"/>
      <w:r w:rsidRPr="00390BBD">
        <w:rPr>
          <w:i/>
          <w:sz w:val="24"/>
          <w:lang w:val="pt-PT"/>
        </w:rPr>
        <w:t>report</w:t>
      </w:r>
      <w:proofErr w:type="spellEnd"/>
      <w:r w:rsidRPr="00390BBD">
        <w:rPr>
          <w:sz w:val="24"/>
          <w:lang w:val="pt-PT"/>
        </w:rPr>
        <w:t>» [Custos de conformidade fiscal para as PME: atualização e complemento — relatório final], Serviço das Publicações da União Europeia, 2022,</w:t>
      </w:r>
      <w:hyperlink r:id="rId12" w:history="1">
        <w:r w:rsidRPr="00390BBD">
          <w:rPr>
            <w:rStyle w:val="Hyperlink"/>
            <w:sz w:val="24"/>
            <w:lang w:val="pt-PT"/>
          </w:rPr>
          <w:t>https://data.europa.eu/doi/10.2873/180570</w:t>
        </w:r>
      </w:hyperlink>
      <w:r w:rsidRPr="00390BBD">
        <w:rPr>
          <w:sz w:val="24"/>
          <w:lang w:val="pt-PT"/>
        </w:rPr>
        <w:t>.</w:t>
      </w:r>
    </w:p>
  </w:footnote>
  <w:footnote w:id="26">
    <w:p w14:paraId="16074004" w14:textId="56C11647" w:rsidR="00FA7CC6" w:rsidRPr="00390BBD" w:rsidRDefault="00FA7CC6" w:rsidP="00390BBD">
      <w:pPr>
        <w:pStyle w:val="FootnoteText"/>
        <w:ind w:left="567" w:hanging="567"/>
        <w:rPr>
          <w:sz w:val="24"/>
          <w:lang w:val="pt-PT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390BBD">
        <w:rPr>
          <w:sz w:val="24"/>
          <w:lang w:val="pt-PT"/>
        </w:rPr>
        <w:t xml:space="preserve"> </w:t>
      </w:r>
      <w:r w:rsidR="00390BBD" w:rsidRPr="00390BBD">
        <w:rPr>
          <w:sz w:val="24"/>
          <w:lang w:val="pt-PT"/>
        </w:rPr>
        <w:tab/>
      </w:r>
      <w:proofErr w:type="spellStart"/>
      <w:r w:rsidRPr="00390BBD">
        <w:rPr>
          <w:sz w:val="24"/>
          <w:lang w:val="pt-PT"/>
        </w:rPr>
        <w:t>Letta</w:t>
      </w:r>
      <w:proofErr w:type="spellEnd"/>
      <w:r w:rsidRPr="00390BBD">
        <w:rPr>
          <w:sz w:val="24"/>
          <w:lang w:val="pt-PT"/>
        </w:rPr>
        <w:t>, E., «</w:t>
      </w:r>
      <w:proofErr w:type="spellStart"/>
      <w:r w:rsidRPr="00390BBD">
        <w:rPr>
          <w:i/>
          <w:iCs/>
          <w:sz w:val="24"/>
          <w:lang w:val="pt-PT"/>
        </w:rPr>
        <w:t>Much</w:t>
      </w:r>
      <w:proofErr w:type="spellEnd"/>
      <w:r w:rsidRPr="00390BBD">
        <w:rPr>
          <w:i/>
          <w:iCs/>
          <w:sz w:val="24"/>
          <w:lang w:val="pt-PT"/>
        </w:rPr>
        <w:t xml:space="preserve"> more </w:t>
      </w:r>
      <w:proofErr w:type="spellStart"/>
      <w:r w:rsidRPr="00390BBD">
        <w:rPr>
          <w:i/>
          <w:iCs/>
          <w:sz w:val="24"/>
          <w:lang w:val="pt-PT"/>
        </w:rPr>
        <w:t>than</w:t>
      </w:r>
      <w:proofErr w:type="spellEnd"/>
      <w:r w:rsidRPr="00390BBD">
        <w:rPr>
          <w:i/>
          <w:iCs/>
          <w:sz w:val="24"/>
          <w:lang w:val="pt-PT"/>
        </w:rPr>
        <w:t xml:space="preserve"> a </w:t>
      </w:r>
      <w:proofErr w:type="spellStart"/>
      <w:r w:rsidRPr="00390BBD">
        <w:rPr>
          <w:i/>
          <w:iCs/>
          <w:sz w:val="24"/>
          <w:lang w:val="pt-PT"/>
        </w:rPr>
        <w:t>market</w:t>
      </w:r>
      <w:proofErr w:type="spellEnd"/>
      <w:r w:rsidRPr="00390BBD">
        <w:rPr>
          <w:i/>
          <w:iCs/>
          <w:sz w:val="24"/>
          <w:lang w:val="pt-PT"/>
        </w:rPr>
        <w:t xml:space="preserve"> — Speed, </w:t>
      </w:r>
      <w:proofErr w:type="spellStart"/>
      <w:r w:rsidRPr="00390BBD">
        <w:rPr>
          <w:i/>
          <w:iCs/>
          <w:sz w:val="24"/>
          <w:lang w:val="pt-PT"/>
        </w:rPr>
        <w:t>Security</w:t>
      </w:r>
      <w:proofErr w:type="spellEnd"/>
      <w:r w:rsidRPr="00390BBD">
        <w:rPr>
          <w:i/>
          <w:iCs/>
          <w:sz w:val="24"/>
          <w:lang w:val="pt-PT"/>
        </w:rPr>
        <w:t xml:space="preserve">, </w:t>
      </w:r>
      <w:proofErr w:type="spellStart"/>
      <w:r w:rsidRPr="00390BBD">
        <w:rPr>
          <w:i/>
          <w:iCs/>
          <w:sz w:val="24"/>
          <w:lang w:val="pt-PT"/>
        </w:rPr>
        <w:t>Solidarity</w:t>
      </w:r>
      <w:proofErr w:type="spellEnd"/>
      <w:r w:rsidRPr="00390BBD">
        <w:rPr>
          <w:i/>
          <w:iCs/>
          <w:sz w:val="24"/>
          <w:lang w:val="pt-PT"/>
        </w:rPr>
        <w:t xml:space="preserve"> — </w:t>
      </w:r>
      <w:proofErr w:type="spellStart"/>
      <w:r w:rsidRPr="00390BBD">
        <w:rPr>
          <w:i/>
          <w:iCs/>
          <w:sz w:val="24"/>
          <w:lang w:val="pt-PT"/>
        </w:rPr>
        <w:t>Empowering</w:t>
      </w:r>
      <w:proofErr w:type="spellEnd"/>
      <w:r w:rsidRPr="00390BBD">
        <w:rPr>
          <w:i/>
          <w:iCs/>
          <w:sz w:val="24"/>
          <w:lang w:val="pt-PT"/>
        </w:rPr>
        <w:t xml:space="preserve"> </w:t>
      </w:r>
      <w:proofErr w:type="spellStart"/>
      <w:r w:rsidRPr="00390BBD">
        <w:rPr>
          <w:i/>
          <w:iCs/>
          <w:sz w:val="24"/>
          <w:lang w:val="pt-PT"/>
        </w:rPr>
        <w:t>the</w:t>
      </w:r>
      <w:proofErr w:type="spellEnd"/>
      <w:r w:rsidRPr="00390BBD">
        <w:rPr>
          <w:i/>
          <w:iCs/>
          <w:sz w:val="24"/>
          <w:lang w:val="pt-PT"/>
        </w:rPr>
        <w:t xml:space="preserve"> Single </w:t>
      </w:r>
      <w:proofErr w:type="spellStart"/>
      <w:r w:rsidRPr="00390BBD">
        <w:rPr>
          <w:i/>
          <w:iCs/>
          <w:sz w:val="24"/>
          <w:lang w:val="pt-PT"/>
        </w:rPr>
        <w:t>Market</w:t>
      </w:r>
      <w:proofErr w:type="spellEnd"/>
      <w:r w:rsidRPr="00390BBD">
        <w:rPr>
          <w:i/>
          <w:iCs/>
          <w:sz w:val="24"/>
          <w:lang w:val="pt-PT"/>
        </w:rPr>
        <w:t xml:space="preserve"> to </w:t>
      </w:r>
      <w:proofErr w:type="spellStart"/>
      <w:r w:rsidRPr="00390BBD">
        <w:rPr>
          <w:i/>
          <w:iCs/>
          <w:sz w:val="24"/>
          <w:lang w:val="pt-PT"/>
        </w:rPr>
        <w:t>deliver</w:t>
      </w:r>
      <w:proofErr w:type="spellEnd"/>
      <w:r w:rsidRPr="00390BBD">
        <w:rPr>
          <w:i/>
          <w:iCs/>
          <w:sz w:val="24"/>
          <w:lang w:val="pt-PT"/>
        </w:rPr>
        <w:t xml:space="preserve"> a </w:t>
      </w:r>
      <w:proofErr w:type="spellStart"/>
      <w:r w:rsidRPr="00390BBD">
        <w:rPr>
          <w:i/>
          <w:iCs/>
          <w:sz w:val="24"/>
          <w:lang w:val="pt-PT"/>
        </w:rPr>
        <w:t>sustainable</w:t>
      </w:r>
      <w:proofErr w:type="spellEnd"/>
      <w:r w:rsidRPr="00390BBD">
        <w:rPr>
          <w:i/>
          <w:iCs/>
          <w:sz w:val="24"/>
          <w:lang w:val="pt-PT"/>
        </w:rPr>
        <w:t xml:space="preserve"> future </w:t>
      </w:r>
      <w:proofErr w:type="spellStart"/>
      <w:r w:rsidRPr="00390BBD">
        <w:rPr>
          <w:i/>
          <w:iCs/>
          <w:sz w:val="24"/>
          <w:lang w:val="pt-PT"/>
        </w:rPr>
        <w:t>and</w:t>
      </w:r>
      <w:proofErr w:type="spellEnd"/>
      <w:r w:rsidRPr="00390BBD">
        <w:rPr>
          <w:i/>
          <w:iCs/>
          <w:sz w:val="24"/>
          <w:lang w:val="pt-PT"/>
        </w:rPr>
        <w:t xml:space="preserve"> </w:t>
      </w:r>
      <w:proofErr w:type="spellStart"/>
      <w:r w:rsidRPr="00390BBD">
        <w:rPr>
          <w:i/>
          <w:iCs/>
          <w:sz w:val="24"/>
          <w:lang w:val="pt-PT"/>
        </w:rPr>
        <w:t>prosperity</w:t>
      </w:r>
      <w:proofErr w:type="spellEnd"/>
      <w:r w:rsidRPr="00390BBD">
        <w:rPr>
          <w:i/>
          <w:iCs/>
          <w:sz w:val="24"/>
          <w:lang w:val="pt-PT"/>
        </w:rPr>
        <w:t xml:space="preserve"> for </w:t>
      </w:r>
      <w:proofErr w:type="spellStart"/>
      <w:r w:rsidRPr="00390BBD">
        <w:rPr>
          <w:i/>
          <w:iCs/>
          <w:sz w:val="24"/>
          <w:lang w:val="pt-PT"/>
        </w:rPr>
        <w:t>all</w:t>
      </w:r>
      <w:proofErr w:type="spellEnd"/>
      <w:r w:rsidRPr="00390BBD">
        <w:rPr>
          <w:i/>
          <w:iCs/>
          <w:sz w:val="24"/>
          <w:lang w:val="pt-PT"/>
        </w:rPr>
        <w:t xml:space="preserve"> EU </w:t>
      </w:r>
      <w:proofErr w:type="spellStart"/>
      <w:r w:rsidRPr="00390BBD">
        <w:rPr>
          <w:i/>
          <w:iCs/>
          <w:sz w:val="24"/>
          <w:lang w:val="pt-PT"/>
        </w:rPr>
        <w:t>Citizens</w:t>
      </w:r>
      <w:proofErr w:type="spellEnd"/>
      <w:r w:rsidRPr="00390BBD">
        <w:rPr>
          <w:sz w:val="24"/>
          <w:lang w:val="pt-PT"/>
        </w:rPr>
        <w:t>» [Mais do que um mercado — Rapidez, segurança, solidariedade — Capacitar o mercado único para proporcionar um futuro sustentável e próspero para todos os cidadãos da UE], abril de 2024, p. 91 e 111.</w:t>
      </w:r>
    </w:p>
  </w:footnote>
  <w:footnote w:id="27">
    <w:p w14:paraId="2F2FA01D" w14:textId="55F0C0A6" w:rsidR="00FA7CC6" w:rsidRPr="00390BBD" w:rsidRDefault="00FA7CC6" w:rsidP="00390BBD">
      <w:pPr>
        <w:pStyle w:val="FootnoteText"/>
        <w:ind w:left="567" w:hanging="567"/>
        <w:rPr>
          <w:sz w:val="24"/>
          <w:lang w:val="pt-PT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390BBD">
        <w:rPr>
          <w:sz w:val="24"/>
          <w:lang w:val="pt-PT"/>
        </w:rPr>
        <w:t xml:space="preserve"> </w:t>
      </w:r>
      <w:r w:rsidR="00390BBD" w:rsidRPr="00390BBD">
        <w:rPr>
          <w:sz w:val="24"/>
          <w:lang w:val="pt-PT"/>
        </w:rPr>
        <w:tab/>
      </w:r>
      <w:r w:rsidRPr="00390BBD">
        <w:rPr>
          <w:sz w:val="24"/>
          <w:lang w:val="pt-PT"/>
        </w:rPr>
        <w:t xml:space="preserve">Diretiva 2003/96/CE do Conselho, de 27 de outubro de 2003, que reestrutura o quadro comunitário de tributação dos produtos energéticos e da eletricidade (JO L 283 de 31.10.2003, p. 51, ELI: </w:t>
      </w:r>
      <w:hyperlink r:id="rId13" w:history="1">
        <w:r w:rsidRPr="00390BBD">
          <w:rPr>
            <w:rStyle w:val="Hyperlink"/>
            <w:sz w:val="24"/>
            <w:lang w:val="pt-PT"/>
          </w:rPr>
          <w:t>http://data.europa.eu/eli/dir/2003/96/oj</w:t>
        </w:r>
      </w:hyperlink>
      <w:r w:rsidRPr="00390BBD">
        <w:rPr>
          <w:sz w:val="24"/>
          <w:lang w:val="pt-PT"/>
        </w:rPr>
        <w:t>).</w:t>
      </w:r>
    </w:p>
  </w:footnote>
  <w:footnote w:id="28">
    <w:p w14:paraId="511E3706" w14:textId="79E7E820" w:rsidR="00FA7CC6" w:rsidRPr="00390BBD" w:rsidRDefault="00FA7CC6" w:rsidP="00390BBD">
      <w:pPr>
        <w:pStyle w:val="FootnoteText"/>
        <w:ind w:left="567" w:hanging="567"/>
        <w:rPr>
          <w:sz w:val="24"/>
          <w:lang w:val="pt-PT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390BBD">
        <w:rPr>
          <w:sz w:val="24"/>
          <w:lang w:val="pt-PT"/>
        </w:rPr>
        <w:t xml:space="preserve"> </w:t>
      </w:r>
      <w:r w:rsidR="00390BBD" w:rsidRPr="00390BBD">
        <w:rPr>
          <w:sz w:val="24"/>
          <w:lang w:val="pt-PT"/>
        </w:rPr>
        <w:tab/>
      </w:r>
      <w:r w:rsidRPr="00390BBD">
        <w:rPr>
          <w:sz w:val="24"/>
          <w:lang w:val="pt-PT"/>
        </w:rPr>
        <w:t>Diretiva (UE) 2021/2101 do Parlamento Europeu e do Conselho, de 24 de novembro de</w:t>
      </w:r>
      <w:r w:rsidR="003628C7">
        <w:rPr>
          <w:sz w:val="24"/>
          <w:lang w:val="pt-PT"/>
        </w:rPr>
        <w:t> </w:t>
      </w:r>
      <w:r w:rsidRPr="00390BBD">
        <w:rPr>
          <w:sz w:val="24"/>
          <w:lang w:val="pt-PT"/>
        </w:rPr>
        <w:t>2021, que altera a Diretiva 2013/34/UE no que respeita à divulgação de informações relativas ao imposto sobre o rendimento por determinadas empresas e sucursais, (JO L 429</w:t>
      </w:r>
      <w:r w:rsidR="00F03B17">
        <w:rPr>
          <w:sz w:val="24"/>
          <w:lang w:val="pt-PT"/>
        </w:rPr>
        <w:t xml:space="preserve"> de</w:t>
      </w:r>
      <w:r w:rsidRPr="00390BBD">
        <w:rPr>
          <w:sz w:val="24"/>
          <w:lang w:val="pt-PT"/>
        </w:rPr>
        <w:t xml:space="preserve"> 1.12.2021, p. 1, ELI: </w:t>
      </w:r>
      <w:hyperlink r:id="rId14" w:history="1">
        <w:r w:rsidRPr="00390BBD">
          <w:rPr>
            <w:rStyle w:val="Hyperlink"/>
            <w:sz w:val="24"/>
            <w:lang w:val="pt-PT"/>
          </w:rPr>
          <w:t>http://data.europa.eu/eli/dir/2021/2101/oj</w:t>
        </w:r>
      </w:hyperlink>
      <w:r w:rsidRPr="00390BBD">
        <w:rPr>
          <w:sz w:val="24"/>
          <w:lang w:val="pt-PT"/>
        </w:rPr>
        <w:t>).</w:t>
      </w:r>
    </w:p>
  </w:footnote>
  <w:footnote w:id="29">
    <w:p w14:paraId="0F31CDC1" w14:textId="24C65765" w:rsidR="00FA7CC6" w:rsidRPr="00390BBD" w:rsidRDefault="00FA7CC6" w:rsidP="00390BBD">
      <w:pPr>
        <w:pStyle w:val="FootnoteText"/>
        <w:ind w:left="567" w:hanging="567"/>
        <w:rPr>
          <w:sz w:val="24"/>
          <w:lang w:val="pt-PT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390BBD">
        <w:rPr>
          <w:sz w:val="24"/>
          <w:lang w:val="pt-PT"/>
        </w:rPr>
        <w:t xml:space="preserve"> </w:t>
      </w:r>
      <w:r w:rsidR="00390BBD" w:rsidRPr="00390BBD">
        <w:rPr>
          <w:sz w:val="24"/>
          <w:lang w:val="pt-PT"/>
        </w:rPr>
        <w:tab/>
      </w:r>
      <w:r w:rsidRPr="00390BBD">
        <w:rPr>
          <w:sz w:val="24"/>
          <w:lang w:val="pt-PT"/>
        </w:rPr>
        <w:t xml:space="preserve">Diretiva (UE) 2025/516 do Conselho, de 11 de março de 2025, que altera a Diretiva 2006/112/CE no que diz respeito às regras do IVA para a era digital (JO L, 2025/516, 25.3.2025, ELI: </w:t>
      </w:r>
      <w:hyperlink r:id="rId15" w:history="1">
        <w:r w:rsidRPr="00390BBD">
          <w:rPr>
            <w:rStyle w:val="Hyperlink"/>
            <w:sz w:val="24"/>
            <w:lang w:val="pt-PT"/>
          </w:rPr>
          <w:t>http://data.europa.eu/eli/dir/2025/516/oj</w:t>
        </w:r>
      </w:hyperlink>
      <w:r w:rsidRPr="00390BBD">
        <w:rPr>
          <w:sz w:val="24"/>
          <w:lang w:val="pt-PT"/>
        </w:rPr>
        <w:t>).</w:t>
      </w:r>
    </w:p>
  </w:footnote>
  <w:footnote w:id="30">
    <w:p w14:paraId="04AF2029" w14:textId="4F50749E" w:rsidR="00FA7CC6" w:rsidRPr="00390BBD" w:rsidRDefault="00FA7CC6" w:rsidP="00390BBD">
      <w:pPr>
        <w:pStyle w:val="FootnoteText"/>
        <w:ind w:left="567" w:hanging="567"/>
        <w:rPr>
          <w:sz w:val="24"/>
          <w:lang w:val="pt-PT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390BBD">
        <w:rPr>
          <w:sz w:val="24"/>
          <w:lang w:val="pt-PT"/>
        </w:rPr>
        <w:t xml:space="preserve"> </w:t>
      </w:r>
      <w:r w:rsidR="00390BBD" w:rsidRPr="00390BBD">
        <w:rPr>
          <w:sz w:val="24"/>
          <w:lang w:val="pt-PT"/>
        </w:rPr>
        <w:tab/>
      </w:r>
      <w:r w:rsidRPr="00390BBD">
        <w:rPr>
          <w:sz w:val="24"/>
          <w:lang w:val="pt-PT"/>
        </w:rPr>
        <w:t>Diretiva 2008/9/CE do Conselho, de 12 de fevereiro de 2008, que define as modalidades de reembolso do imposto sobre o valor acrescentado previsto na Diretiva 2006/112/CE a sujeitos passivos não estabelecidos no Estado</w:t>
      </w:r>
      <w:r w:rsidRPr="00390BBD">
        <w:rPr>
          <w:sz w:val="24"/>
          <w:lang w:val="pt-PT"/>
        </w:rPr>
        <w:noBreakHyphen/>
        <w:t>Membro de reembolso, mas estabelecidos noutro Estado</w:t>
      </w:r>
      <w:r w:rsidRPr="00390BBD">
        <w:rPr>
          <w:sz w:val="24"/>
          <w:lang w:val="pt-PT"/>
        </w:rPr>
        <w:noBreakHyphen/>
        <w:t xml:space="preserve">Membro (JO L 44 de 20.2.2008, p. 23. ELI: </w:t>
      </w:r>
      <w:hyperlink r:id="rId16" w:history="1">
        <w:r w:rsidRPr="00390BBD">
          <w:rPr>
            <w:rStyle w:val="Hyperlink"/>
            <w:sz w:val="24"/>
            <w:lang w:val="pt-PT"/>
          </w:rPr>
          <w:t>http://data.europa.eu/eli/dir/2008/9/oj</w:t>
        </w:r>
      </w:hyperlink>
      <w:r w:rsidRPr="00390BBD">
        <w:rPr>
          <w:sz w:val="24"/>
          <w:lang w:val="pt-PT"/>
        </w:rPr>
        <w:t>).</w:t>
      </w:r>
    </w:p>
  </w:footnote>
  <w:footnote w:id="31">
    <w:p w14:paraId="4D717D77" w14:textId="1B3414D6" w:rsidR="00FA7CC6" w:rsidRPr="00390BBD" w:rsidRDefault="00FA7CC6" w:rsidP="00390BBD">
      <w:pPr>
        <w:pStyle w:val="FootnoteText"/>
        <w:ind w:left="567" w:hanging="567"/>
        <w:rPr>
          <w:sz w:val="24"/>
          <w:lang w:val="pt-PT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390BBD">
        <w:rPr>
          <w:sz w:val="24"/>
          <w:lang w:val="pt-PT"/>
        </w:rPr>
        <w:t xml:space="preserve"> </w:t>
      </w:r>
      <w:r w:rsidR="00390BBD" w:rsidRPr="00390BBD">
        <w:rPr>
          <w:sz w:val="24"/>
          <w:lang w:val="pt-PT"/>
        </w:rPr>
        <w:tab/>
      </w:r>
      <w:r w:rsidRPr="00390BBD">
        <w:rPr>
          <w:sz w:val="24"/>
          <w:lang w:val="pt-PT"/>
        </w:rPr>
        <w:t xml:space="preserve">Diretiva 2006/112/CE do Conselho, de 28 de novembro de 2006, relativa ao sistema comum do imposto sobre o valor acrescentado (JO L 347 de 11.12.2006, p. 1, ELI: </w:t>
      </w:r>
      <w:hyperlink r:id="rId17" w:history="1">
        <w:r w:rsidRPr="00390BBD">
          <w:rPr>
            <w:rStyle w:val="Hyperlink"/>
            <w:sz w:val="24"/>
            <w:lang w:val="pt-PT"/>
          </w:rPr>
          <w:t>http://data.europa.eu/eli/dir/2006/112/oj</w:t>
        </w:r>
      </w:hyperlink>
      <w:r w:rsidRPr="00390BBD">
        <w:rPr>
          <w:sz w:val="24"/>
          <w:lang w:val="pt-PT"/>
        </w:rPr>
        <w:t>).</w:t>
      </w:r>
    </w:p>
  </w:footnote>
  <w:footnote w:id="32">
    <w:p w14:paraId="15E71D64" w14:textId="7546734E" w:rsidR="00FA7CC6" w:rsidRPr="00390BBD" w:rsidRDefault="00FA7CC6" w:rsidP="00390BBD">
      <w:pPr>
        <w:pStyle w:val="FootnoteText"/>
        <w:ind w:left="567" w:hanging="567"/>
        <w:rPr>
          <w:sz w:val="24"/>
          <w:lang w:val="pt-PT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390BBD">
        <w:rPr>
          <w:sz w:val="24"/>
          <w:lang w:val="pt-PT"/>
        </w:rPr>
        <w:t xml:space="preserve"> </w:t>
      </w:r>
      <w:r w:rsidR="00390BBD" w:rsidRPr="00390BBD">
        <w:rPr>
          <w:sz w:val="24"/>
          <w:lang w:val="pt-PT"/>
        </w:rPr>
        <w:tab/>
      </w:r>
      <w:r w:rsidRPr="00390BBD">
        <w:rPr>
          <w:sz w:val="24"/>
          <w:lang w:val="pt-PT"/>
        </w:rPr>
        <w:t>Diretiva (UE) 2022/2523 do Conselho, de 14 de dezembro de 2022, relativa à garantia de um nível mínimo mundial de tributação para os grupos de empresas multinacionais e grandes grupos nacionais na União (JO L 328 de 22.12.2022, p</w:t>
      </w:r>
      <w:r w:rsidR="00F03B17">
        <w:rPr>
          <w:sz w:val="24"/>
          <w:lang w:val="pt-PT"/>
        </w:rPr>
        <w:t xml:space="preserve">. </w:t>
      </w:r>
      <w:r w:rsidRPr="00390BBD">
        <w:rPr>
          <w:sz w:val="24"/>
          <w:lang w:val="pt-PT"/>
        </w:rPr>
        <w:t xml:space="preserve">1, ELI: </w:t>
      </w:r>
      <w:hyperlink r:id="rId18" w:history="1">
        <w:r w:rsidRPr="00390BBD">
          <w:rPr>
            <w:rStyle w:val="Hyperlink"/>
            <w:sz w:val="24"/>
            <w:lang w:val="pt-PT"/>
          </w:rPr>
          <w:t>http://data.europa.eu/eli/dir/2022/2523/oj</w:t>
        </w:r>
      </w:hyperlink>
      <w:r w:rsidRPr="00390BBD">
        <w:rPr>
          <w:sz w:val="24"/>
          <w:lang w:val="pt-PT"/>
        </w:rPr>
        <w:t>).</w:t>
      </w:r>
    </w:p>
  </w:footnote>
  <w:footnote w:id="33">
    <w:p w14:paraId="5E5F5307" w14:textId="1B0F487B" w:rsidR="00FA7CC6" w:rsidRPr="00390BBD" w:rsidRDefault="00FA7CC6" w:rsidP="00390BBD">
      <w:pPr>
        <w:pStyle w:val="FootnoteText"/>
        <w:ind w:left="567" w:hanging="567"/>
        <w:rPr>
          <w:sz w:val="24"/>
          <w:lang w:val="pt-PT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390BBD">
        <w:rPr>
          <w:sz w:val="24"/>
          <w:lang w:val="pt-PT"/>
        </w:rPr>
        <w:t xml:space="preserve"> </w:t>
      </w:r>
      <w:r w:rsidR="00390BBD" w:rsidRPr="00390BBD">
        <w:rPr>
          <w:sz w:val="24"/>
          <w:lang w:val="pt-PT"/>
        </w:rPr>
        <w:tab/>
      </w:r>
      <w:r w:rsidRPr="00390BBD">
        <w:rPr>
          <w:sz w:val="24"/>
          <w:lang w:val="pt-PT"/>
        </w:rPr>
        <w:t xml:space="preserve">Diretiva (UE) 2025/50 do Conselho, de 10 de dezembro de 2024, relativa a um desagravamento mais rápido e mais seguro do excesso de retenção do imposto na fonte, (JO L, 2025/50, 10.1.2025, ELI: </w:t>
      </w:r>
      <w:hyperlink r:id="rId19" w:history="1">
        <w:r w:rsidRPr="00390BBD">
          <w:rPr>
            <w:rStyle w:val="Hyperlink"/>
            <w:sz w:val="24"/>
            <w:lang w:val="pt-PT"/>
          </w:rPr>
          <w:t>http://data.europa.eu/eli/dir/2025/50/oj</w:t>
        </w:r>
      </w:hyperlink>
      <w:r w:rsidRPr="00390BBD">
        <w:rPr>
          <w:sz w:val="24"/>
          <w:lang w:val="pt-PT"/>
        </w:rPr>
        <w:t>).</w:t>
      </w:r>
    </w:p>
  </w:footnote>
  <w:footnote w:id="34">
    <w:p w14:paraId="0A011B3F" w14:textId="54A40C69" w:rsidR="00FA7CC6" w:rsidRPr="00390BBD" w:rsidRDefault="00FA7CC6" w:rsidP="00390BBD">
      <w:pPr>
        <w:pStyle w:val="FootnoteText"/>
        <w:ind w:left="567" w:hanging="567"/>
        <w:rPr>
          <w:sz w:val="24"/>
          <w:lang w:val="pt-PT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390BBD">
        <w:rPr>
          <w:sz w:val="24"/>
          <w:lang w:val="pt-PT"/>
        </w:rPr>
        <w:t xml:space="preserve"> </w:t>
      </w:r>
      <w:r w:rsidR="00390BBD" w:rsidRPr="00390BBD">
        <w:rPr>
          <w:sz w:val="24"/>
          <w:lang w:val="pt-PT"/>
        </w:rPr>
        <w:tab/>
      </w:r>
      <w:r w:rsidRPr="00390BBD">
        <w:rPr>
          <w:sz w:val="24"/>
          <w:lang w:val="pt-PT"/>
        </w:rPr>
        <w:t>Resolução do Parlamento Europeu, de 10 de março de 2022, sobre «Um quadro europeu em matéria de retenção na fonte» (JO C 347 de 9.9.2022, p. 172).</w:t>
      </w:r>
    </w:p>
  </w:footnote>
  <w:footnote w:id="35">
    <w:p w14:paraId="677F0259" w14:textId="37BB2976" w:rsidR="00FA7CC6" w:rsidRPr="00390BBD" w:rsidRDefault="00FA7CC6" w:rsidP="00390BBD">
      <w:pPr>
        <w:pStyle w:val="FootnoteText"/>
        <w:ind w:left="567" w:hanging="567"/>
        <w:rPr>
          <w:sz w:val="24"/>
          <w:lang w:val="pt-PT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390BBD">
        <w:rPr>
          <w:sz w:val="24"/>
          <w:lang w:val="pt-PT"/>
        </w:rPr>
        <w:t xml:space="preserve"> </w:t>
      </w:r>
      <w:r w:rsidR="00390BBD" w:rsidRPr="00390BBD">
        <w:rPr>
          <w:sz w:val="24"/>
          <w:lang w:val="pt-PT"/>
        </w:rPr>
        <w:tab/>
      </w:r>
      <w:r w:rsidRPr="00390BBD">
        <w:rPr>
          <w:sz w:val="24"/>
          <w:lang w:val="pt-PT"/>
        </w:rPr>
        <w:t>Resolução do Parlamento Europeu, de 16 de setembro de 2021, sobre a aplicação dos requisitos da UE em matéria de troca de informações fiscais: progressos, ensinamentos retirados e obstáculos a superar (JO C 117 de 11.3.2022, p. 120).</w:t>
      </w:r>
    </w:p>
  </w:footnote>
  <w:footnote w:id="36">
    <w:p w14:paraId="0E89EE98" w14:textId="48807710" w:rsidR="00FA7CC6" w:rsidRPr="00390BBD" w:rsidRDefault="00FA7CC6" w:rsidP="00390BBD">
      <w:pPr>
        <w:pStyle w:val="FootnoteText"/>
        <w:ind w:left="567" w:hanging="567"/>
        <w:rPr>
          <w:sz w:val="24"/>
          <w:lang w:val="pt-PT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390BBD">
        <w:rPr>
          <w:sz w:val="24"/>
          <w:lang w:val="pt-PT"/>
        </w:rPr>
        <w:t xml:space="preserve"> </w:t>
      </w:r>
      <w:r w:rsidR="00390BBD" w:rsidRPr="00390BBD">
        <w:rPr>
          <w:sz w:val="24"/>
          <w:lang w:val="pt-PT"/>
        </w:rPr>
        <w:tab/>
      </w:r>
      <w:r w:rsidRPr="00390BBD">
        <w:rPr>
          <w:sz w:val="24"/>
          <w:lang w:val="pt-PT"/>
        </w:rPr>
        <w:t>Resolução do Parlamento Europeu, de 21 de janeiro de 2021, sobre a revisão da lista da UE de paraísos fiscais (JO C 456</w:t>
      </w:r>
      <w:r w:rsidR="003628C7">
        <w:rPr>
          <w:sz w:val="24"/>
          <w:lang w:val="pt-PT"/>
        </w:rPr>
        <w:t xml:space="preserve"> de</w:t>
      </w:r>
      <w:r w:rsidRPr="00390BBD">
        <w:rPr>
          <w:sz w:val="24"/>
          <w:lang w:val="pt-PT"/>
        </w:rPr>
        <w:t xml:space="preserve"> 10.11.2021, p. 177).</w:t>
      </w:r>
    </w:p>
  </w:footnote>
  <w:footnote w:id="37">
    <w:p w14:paraId="5C930406" w14:textId="55A6688A" w:rsidR="00FA7CC6" w:rsidRPr="00390BBD" w:rsidRDefault="00FA7CC6" w:rsidP="00390BBD">
      <w:pPr>
        <w:pStyle w:val="FootnoteText"/>
        <w:ind w:left="567" w:hanging="567"/>
        <w:rPr>
          <w:sz w:val="24"/>
          <w:lang w:val="pt-PT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390BBD">
        <w:rPr>
          <w:sz w:val="24"/>
          <w:lang w:val="pt-PT"/>
        </w:rPr>
        <w:t xml:space="preserve"> </w:t>
      </w:r>
      <w:r w:rsidR="00390BBD" w:rsidRPr="00390BBD">
        <w:rPr>
          <w:sz w:val="24"/>
          <w:lang w:val="pt-PT"/>
        </w:rPr>
        <w:tab/>
      </w:r>
      <w:r w:rsidRPr="00390BBD">
        <w:rPr>
          <w:sz w:val="24"/>
          <w:lang w:val="pt-PT"/>
        </w:rPr>
        <w:t xml:space="preserve">Diretiva 2011/16/UE do Conselho, de 15 de fevereiro de 2011, relativa à cooperação administrativa no domínio da fiscalidade e que revoga a Diretiva 77/799/CEE (JO L 64 de 11.3.2011, p. 1, ELI: </w:t>
      </w:r>
      <w:hyperlink r:id="rId20" w:history="1">
        <w:r w:rsidRPr="00390BBD">
          <w:rPr>
            <w:rStyle w:val="Hyperlink"/>
            <w:sz w:val="24"/>
            <w:lang w:val="pt-PT"/>
          </w:rPr>
          <w:t>http://data.europa.eu/eli/dir/2011/16/oj</w:t>
        </w:r>
      </w:hyperlink>
      <w:r w:rsidRPr="00390BBD">
        <w:rPr>
          <w:sz w:val="24"/>
          <w:lang w:val="pt-PT"/>
        </w:rPr>
        <w:t>).</w:t>
      </w:r>
    </w:p>
  </w:footnote>
  <w:footnote w:id="38">
    <w:p w14:paraId="0F0E4CF9" w14:textId="256EF763" w:rsidR="00FA7CC6" w:rsidRPr="00390BBD" w:rsidRDefault="00FA7CC6" w:rsidP="00390BBD">
      <w:pPr>
        <w:pStyle w:val="FootnoteText"/>
        <w:ind w:left="567" w:hanging="567"/>
        <w:rPr>
          <w:sz w:val="24"/>
          <w:lang w:val="pt-PT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390BBD">
        <w:rPr>
          <w:sz w:val="24"/>
          <w:lang w:val="pt-PT"/>
        </w:rPr>
        <w:t xml:space="preserve"> </w:t>
      </w:r>
      <w:r w:rsidR="00390BBD" w:rsidRPr="00390BBD">
        <w:rPr>
          <w:sz w:val="24"/>
          <w:lang w:val="pt-PT"/>
        </w:rPr>
        <w:tab/>
      </w:r>
      <w:r w:rsidRPr="00390BBD">
        <w:rPr>
          <w:sz w:val="24"/>
          <w:lang w:val="pt-PT"/>
        </w:rPr>
        <w:t xml:space="preserve">Diretiva (UE) 2016/1164 do Conselho, de 12 de julho de 2016, que estabelece regras contra as práticas de elisão fiscal que tenham incidência direta no funcionamento do mercado interno (JO L 193 de 19.7.2016, p. 1, ELI: </w:t>
      </w:r>
      <w:hyperlink r:id="rId21" w:history="1">
        <w:r w:rsidRPr="00390BBD">
          <w:rPr>
            <w:rStyle w:val="Hyperlink"/>
            <w:sz w:val="24"/>
            <w:lang w:val="pt-PT"/>
          </w:rPr>
          <w:t>http://data.europa.eu/eli/dir/2016/1164/oj</w:t>
        </w:r>
      </w:hyperlink>
      <w:r w:rsidRPr="00390BBD">
        <w:rPr>
          <w:sz w:val="24"/>
          <w:lang w:val="pt-PT"/>
        </w:rPr>
        <w:t>).</w:t>
      </w:r>
    </w:p>
  </w:footnote>
  <w:footnote w:id="39">
    <w:p w14:paraId="32ABAA6D" w14:textId="258D621A" w:rsidR="00FA7CC6" w:rsidRPr="00390BBD" w:rsidRDefault="00FA7CC6" w:rsidP="00390BBD">
      <w:pPr>
        <w:pStyle w:val="FootnoteText"/>
        <w:ind w:left="567" w:hanging="567"/>
        <w:rPr>
          <w:sz w:val="24"/>
          <w:lang w:val="pt-PT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390BBD">
        <w:rPr>
          <w:sz w:val="24"/>
          <w:lang w:val="pt-PT"/>
        </w:rPr>
        <w:t xml:space="preserve"> </w:t>
      </w:r>
      <w:r w:rsidR="00390BBD" w:rsidRPr="00390BBD">
        <w:rPr>
          <w:sz w:val="24"/>
          <w:lang w:val="pt-PT"/>
        </w:rPr>
        <w:tab/>
      </w:r>
      <w:r w:rsidRPr="00390BBD">
        <w:rPr>
          <w:sz w:val="24"/>
          <w:lang w:val="pt-PT"/>
        </w:rPr>
        <w:t xml:space="preserve">Diretiva (UE) 2018/822 do Conselho, de 25 de maio de 2018, que altera a Diretiva 2011/16/UE no que respeita à troca automática de informações obrigatória no domínio da fiscalidade em relação aos mecanismos transfronteiriços a comunicar (JO L 139 de 5.6.2018, p. 1, ELI: </w:t>
      </w:r>
      <w:hyperlink r:id="rId22" w:history="1">
        <w:r w:rsidRPr="00390BBD">
          <w:rPr>
            <w:rStyle w:val="Hyperlink"/>
            <w:sz w:val="24"/>
            <w:lang w:val="pt-PT"/>
          </w:rPr>
          <w:t>http://data.europa.eu/eli/dir/2018/822/oj</w:t>
        </w:r>
      </w:hyperlink>
      <w:r w:rsidRPr="00390BBD">
        <w:rPr>
          <w:sz w:val="24"/>
          <w:lang w:val="pt-PT"/>
        </w:rPr>
        <w:t>).</w:t>
      </w:r>
    </w:p>
  </w:footnote>
  <w:footnote w:id="40">
    <w:p w14:paraId="7EB5D363" w14:textId="651FF701" w:rsidR="00FA7CC6" w:rsidRPr="00390BBD" w:rsidRDefault="00FA7CC6" w:rsidP="00390BBD">
      <w:pPr>
        <w:pStyle w:val="FootnoteText"/>
        <w:ind w:left="567" w:hanging="567"/>
        <w:rPr>
          <w:sz w:val="24"/>
          <w:lang w:val="pt-PT"/>
        </w:rPr>
      </w:pPr>
      <w:r w:rsidRPr="00390BBD">
        <w:rPr>
          <w:rStyle w:val="FootnoteReference"/>
          <w:sz w:val="24"/>
          <w:lang w:val="pt-PT"/>
        </w:rPr>
        <w:footnoteRef/>
      </w:r>
      <w:r w:rsidR="00390BBD" w:rsidRPr="00390BBD">
        <w:rPr>
          <w:sz w:val="24"/>
          <w:lang w:val="pt-PT"/>
        </w:rPr>
        <w:t xml:space="preserve"> </w:t>
      </w:r>
      <w:r w:rsidR="00390BBD" w:rsidRPr="00390BBD">
        <w:rPr>
          <w:sz w:val="24"/>
          <w:lang w:val="pt-PT"/>
        </w:rPr>
        <w:tab/>
      </w:r>
      <w:r w:rsidRPr="00390BBD">
        <w:rPr>
          <w:sz w:val="24"/>
          <w:lang w:val="pt-PT"/>
        </w:rPr>
        <w:t xml:space="preserve">Diretiva (UE) 2021/514 do Conselho, de 22 de março de 2021, que altera a Diretiva 2011/16/UE relativa à cooperação administrativa no domínio da fiscalidade (JO L 104 de 25.3.2021, p. 1, ELI: </w:t>
      </w:r>
      <w:hyperlink r:id="rId23" w:history="1">
        <w:r w:rsidRPr="00390BBD">
          <w:rPr>
            <w:rStyle w:val="Hyperlink"/>
            <w:sz w:val="24"/>
            <w:lang w:val="pt-PT"/>
          </w:rPr>
          <w:t>http://data.europa.eu/eli/dir/2021/514/oj</w:t>
        </w:r>
      </w:hyperlink>
      <w:r w:rsidRPr="00390BBD">
        <w:rPr>
          <w:sz w:val="24"/>
          <w:lang w:val="pt-P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4E936" w14:textId="77777777" w:rsidR="00064002" w:rsidRPr="00390BB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18DA0" w14:textId="77777777" w:rsidR="00064002" w:rsidRPr="00390BB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08A72" w14:textId="77777777" w:rsidR="00064002" w:rsidRPr="00390BB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33967921">
    <w:abstractNumId w:val="9"/>
  </w:num>
  <w:num w:numId="2" w16cid:durableId="1032799505">
    <w:abstractNumId w:val="9"/>
  </w:num>
  <w:num w:numId="3" w16cid:durableId="1446852708">
    <w:abstractNumId w:val="7"/>
  </w:num>
  <w:num w:numId="4" w16cid:durableId="1197812753">
    <w:abstractNumId w:val="7"/>
  </w:num>
  <w:num w:numId="5" w16cid:durableId="2092845901">
    <w:abstractNumId w:val="6"/>
  </w:num>
  <w:num w:numId="6" w16cid:durableId="714083112">
    <w:abstractNumId w:val="6"/>
  </w:num>
  <w:num w:numId="7" w16cid:durableId="1231383487">
    <w:abstractNumId w:val="5"/>
  </w:num>
  <w:num w:numId="8" w16cid:durableId="139737886">
    <w:abstractNumId w:val="5"/>
  </w:num>
  <w:num w:numId="9" w16cid:durableId="1322662980">
    <w:abstractNumId w:val="4"/>
  </w:num>
  <w:num w:numId="10" w16cid:durableId="1127896386">
    <w:abstractNumId w:val="4"/>
  </w:num>
  <w:num w:numId="11" w16cid:durableId="1603105269">
    <w:abstractNumId w:val="8"/>
  </w:num>
  <w:num w:numId="12" w16cid:durableId="1553888177">
    <w:abstractNumId w:val="8"/>
  </w:num>
  <w:num w:numId="13" w16cid:durableId="1052731279">
    <w:abstractNumId w:val="3"/>
  </w:num>
  <w:num w:numId="14" w16cid:durableId="403257021">
    <w:abstractNumId w:val="3"/>
  </w:num>
  <w:num w:numId="15" w16cid:durableId="1523661779">
    <w:abstractNumId w:val="2"/>
  </w:num>
  <w:num w:numId="16" w16cid:durableId="1586183318">
    <w:abstractNumId w:val="2"/>
  </w:num>
  <w:num w:numId="17" w16cid:durableId="1447891501">
    <w:abstractNumId w:val="1"/>
  </w:num>
  <w:num w:numId="18" w16cid:durableId="1189222787">
    <w:abstractNumId w:val="1"/>
  </w:num>
  <w:num w:numId="19" w16cid:durableId="1164515228">
    <w:abstractNumId w:val="0"/>
  </w:num>
  <w:num w:numId="20" w16cid:durableId="1945452904">
    <w:abstractNumId w:val="0"/>
  </w:num>
  <w:num w:numId="21" w16cid:durableId="1722824454">
    <w:abstractNumId w:val="9"/>
  </w:num>
  <w:num w:numId="22" w16cid:durableId="1042289191">
    <w:abstractNumId w:val="7"/>
  </w:num>
  <w:num w:numId="23" w16cid:durableId="1786341677">
    <w:abstractNumId w:val="6"/>
  </w:num>
  <w:num w:numId="24" w16cid:durableId="41641671">
    <w:abstractNumId w:val="5"/>
  </w:num>
  <w:num w:numId="25" w16cid:durableId="2093114912">
    <w:abstractNumId w:val="4"/>
  </w:num>
  <w:num w:numId="26" w16cid:durableId="800999086">
    <w:abstractNumId w:val="8"/>
  </w:num>
  <w:num w:numId="27" w16cid:durableId="637959383">
    <w:abstractNumId w:val="3"/>
  </w:num>
  <w:num w:numId="28" w16cid:durableId="1596788263">
    <w:abstractNumId w:val="2"/>
  </w:num>
  <w:num w:numId="29" w16cid:durableId="8071685">
    <w:abstractNumId w:val="1"/>
  </w:num>
  <w:num w:numId="30" w16cid:durableId="1165390555">
    <w:abstractNumId w:val="0"/>
  </w:num>
  <w:num w:numId="31" w16cid:durableId="1371370589">
    <w:abstractNumId w:val="9"/>
  </w:num>
  <w:num w:numId="32" w16cid:durableId="850022270">
    <w:abstractNumId w:val="7"/>
  </w:num>
  <w:num w:numId="33" w16cid:durableId="781732303">
    <w:abstractNumId w:val="6"/>
  </w:num>
  <w:num w:numId="34" w16cid:durableId="237790400">
    <w:abstractNumId w:val="5"/>
  </w:num>
  <w:num w:numId="35" w16cid:durableId="791706923">
    <w:abstractNumId w:val="4"/>
  </w:num>
  <w:num w:numId="36" w16cid:durableId="858278814">
    <w:abstractNumId w:val="8"/>
  </w:num>
  <w:num w:numId="37" w16cid:durableId="1898126426">
    <w:abstractNumId w:val="3"/>
  </w:num>
  <w:num w:numId="38" w16cid:durableId="1101995297">
    <w:abstractNumId w:val="2"/>
  </w:num>
  <w:num w:numId="39" w16cid:durableId="990333648">
    <w:abstractNumId w:val="1"/>
  </w:num>
  <w:num w:numId="40" w16cid:durableId="1035079869">
    <w:abstractNumId w:val="0"/>
  </w:num>
  <w:num w:numId="41" w16cid:durableId="449056080">
    <w:abstractNumId w:val="10"/>
  </w:num>
  <w:num w:numId="42" w16cid:durableId="1820658465">
    <w:abstractNumId w:val="10"/>
  </w:num>
  <w:num w:numId="43" w16cid:durableId="53937076">
    <w:abstractNumId w:val="10"/>
  </w:num>
  <w:num w:numId="44" w16cid:durableId="14252957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5/2025"/>
    <w:docVar w:name="dvlangue" w:val="PT"/>
    <w:docVar w:name="dvnumam" w:val="0"/>
    <w:docVar w:name="dvpe" w:val="770.261"/>
    <w:docVar w:name="dvrapporteur" w:val="Relator: "/>
    <w:docVar w:name="dvtitre" w:val="Resolução do Parlamento Europeu, de ... de ... de 2025,_x000d__x000a_ sobre o papel da simplicidade das regras fiscais e da fragmentação fiscal na competitividade europeia(2024/2118(INI))"/>
  </w:docVars>
  <w:rsids>
    <w:rsidRoot w:val="00B961B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875BC"/>
    <w:rsid w:val="001F32AE"/>
    <w:rsid w:val="002767FF"/>
    <w:rsid w:val="002B18FE"/>
    <w:rsid w:val="002B5493"/>
    <w:rsid w:val="00343214"/>
    <w:rsid w:val="00361C00"/>
    <w:rsid w:val="003628C7"/>
    <w:rsid w:val="00390BBD"/>
    <w:rsid w:val="00395FA1"/>
    <w:rsid w:val="003A3ECB"/>
    <w:rsid w:val="003E15D4"/>
    <w:rsid w:val="00411CCE"/>
    <w:rsid w:val="0041666E"/>
    <w:rsid w:val="00421060"/>
    <w:rsid w:val="00471C19"/>
    <w:rsid w:val="004856ED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1A05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6568"/>
    <w:rsid w:val="00A1687D"/>
    <w:rsid w:val="00A43E52"/>
    <w:rsid w:val="00A4678D"/>
    <w:rsid w:val="00A778C7"/>
    <w:rsid w:val="00AB441E"/>
    <w:rsid w:val="00AB6293"/>
    <w:rsid w:val="00AC72AE"/>
    <w:rsid w:val="00AE0928"/>
    <w:rsid w:val="00AF3B82"/>
    <w:rsid w:val="00B03CC4"/>
    <w:rsid w:val="00B12E95"/>
    <w:rsid w:val="00B22876"/>
    <w:rsid w:val="00B558F0"/>
    <w:rsid w:val="00B961B6"/>
    <w:rsid w:val="00BD48FE"/>
    <w:rsid w:val="00BD7BD8"/>
    <w:rsid w:val="00BE6ADC"/>
    <w:rsid w:val="00C05BFE"/>
    <w:rsid w:val="00C23CD4"/>
    <w:rsid w:val="00C61C0C"/>
    <w:rsid w:val="00C941CB"/>
    <w:rsid w:val="00CC2357"/>
    <w:rsid w:val="00CC77A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3B17"/>
    <w:rsid w:val="00F04346"/>
    <w:rsid w:val="00F075DC"/>
    <w:rsid w:val="00F149E9"/>
    <w:rsid w:val="00F5134D"/>
    <w:rsid w:val="00F74202"/>
    <w:rsid w:val="00F87713"/>
    <w:rsid w:val="00FA7CC6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1E8DFB"/>
  <w15:chartTrackingRefBased/>
  <w15:docId w15:val="{4C890736-6E9A-40E7-9CE7-F1FA72996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A7CC6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FA7CC6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FA7CC6"/>
    <w:rPr>
      <w:b/>
      <w:i/>
      <w:u w:val="none"/>
    </w:rPr>
  </w:style>
  <w:style w:type="character" w:customStyle="1" w:styleId="Italic">
    <w:name w:val="Italic"/>
    <w:uiPriority w:val="1"/>
    <w:rsid w:val="00FA7CC6"/>
    <w:rPr>
      <w:i/>
    </w:rPr>
  </w:style>
  <w:style w:type="paragraph" w:customStyle="1" w:styleId="Normal12a24b">
    <w:name w:val="Normal12a24b"/>
    <w:basedOn w:val="Normal"/>
    <w:rsid w:val="00FA7CC6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FA7CC6"/>
    <w:rPr>
      <w:color w:val="0000FF"/>
      <w:u w:val="single"/>
    </w:rPr>
  </w:style>
  <w:style w:type="paragraph" w:styleId="Revision">
    <w:name w:val="Revision"/>
    <w:hidden/>
    <w:uiPriority w:val="99"/>
    <w:semiHidden/>
    <w:rsid w:val="003A3ECB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data.europa.eu/doi/10.2860/637445" TargetMode="External"/><Relationship Id="rId13" Type="http://schemas.openxmlformats.org/officeDocument/2006/relationships/hyperlink" Target="http://data.europa.eu/eli/dir/2003/96/oj" TargetMode="External"/><Relationship Id="rId18" Type="http://schemas.openxmlformats.org/officeDocument/2006/relationships/hyperlink" Target="http://data.europa.eu/eli/dir/2022/2523/oj" TargetMode="External"/><Relationship Id="rId3" Type="http://schemas.openxmlformats.org/officeDocument/2006/relationships/hyperlink" Target="http://data.europa.eu/eli/dir/2022/2523/oj" TargetMode="External"/><Relationship Id="rId21" Type="http://schemas.openxmlformats.org/officeDocument/2006/relationships/hyperlink" Target="http://data.europa.eu/eli/dir/2016/1164/oj" TargetMode="External"/><Relationship Id="rId7" Type="http://schemas.openxmlformats.org/officeDocument/2006/relationships/hyperlink" Target="http://data.europa.eu/eli/C/2024/4165/oj" TargetMode="External"/><Relationship Id="rId12" Type="http://schemas.openxmlformats.org/officeDocument/2006/relationships/hyperlink" Target="https://data.europa.eu/doi/10.2873/180570" TargetMode="External"/><Relationship Id="rId17" Type="http://schemas.openxmlformats.org/officeDocument/2006/relationships/hyperlink" Target="http://data.europa.eu/eli/dir/2006/112/oj" TargetMode="External"/><Relationship Id="rId2" Type="http://schemas.openxmlformats.org/officeDocument/2006/relationships/hyperlink" Target="http://data.europa.eu/eli/dir/2011/96/oj" TargetMode="External"/><Relationship Id="rId16" Type="http://schemas.openxmlformats.org/officeDocument/2006/relationships/hyperlink" Target="http://data.europa.eu/eli/dir/2008/9/oj" TargetMode="External"/><Relationship Id="rId20" Type="http://schemas.openxmlformats.org/officeDocument/2006/relationships/hyperlink" Target="http://data.europa.eu/eli/dir/2011/16/oj" TargetMode="External"/><Relationship Id="rId1" Type="http://schemas.openxmlformats.org/officeDocument/2006/relationships/hyperlink" Target="http://data.europa.eu/eli/dir/2003/49/oj" TargetMode="External"/><Relationship Id="rId6" Type="http://schemas.openxmlformats.org/officeDocument/2006/relationships/hyperlink" Target="http://data.europa.eu/eli/C/2024/492/oj" TargetMode="External"/><Relationship Id="rId11" Type="http://schemas.openxmlformats.org/officeDocument/2006/relationships/hyperlink" Target="https://data.europa.eu/doi/10.2778/10846" TargetMode="External"/><Relationship Id="rId5" Type="http://schemas.openxmlformats.org/officeDocument/2006/relationships/hyperlink" Target="http://data.europa.eu/eli/dir/2025/50/oj" TargetMode="External"/><Relationship Id="rId15" Type="http://schemas.openxmlformats.org/officeDocument/2006/relationships/hyperlink" Target="http://data.europa.eu/eli/dir/2025/516/oj" TargetMode="External"/><Relationship Id="rId23" Type="http://schemas.openxmlformats.org/officeDocument/2006/relationships/hyperlink" Target="http://data.europa.eu/eli/dir/2021/514/oj" TargetMode="External"/><Relationship Id="rId10" Type="http://schemas.openxmlformats.org/officeDocument/2006/relationships/hyperlink" Target="https://ec.europa.eu/commission/presscorner/detail/en/qanda_22_7519" TargetMode="External"/><Relationship Id="rId19" Type="http://schemas.openxmlformats.org/officeDocument/2006/relationships/hyperlink" Target="http://data.europa.eu/eli/dir/2025/50/oj" TargetMode="External"/><Relationship Id="rId4" Type="http://schemas.openxmlformats.org/officeDocument/2006/relationships/hyperlink" Target="https://data.europa.eu/doi/10.2873/180570" TargetMode="External"/><Relationship Id="rId9" Type="http://schemas.openxmlformats.org/officeDocument/2006/relationships/hyperlink" Target="https://data.europa.eu/doi/10.2778/2476549" TargetMode="External"/><Relationship Id="rId14" Type="http://schemas.openxmlformats.org/officeDocument/2006/relationships/hyperlink" Target="http://data.europa.eu/eli/dir/2021/2101/oj" TargetMode="External"/><Relationship Id="rId22" Type="http://schemas.openxmlformats.org/officeDocument/2006/relationships/hyperlink" Target="http://data.europa.eu/eli/dir/2018/8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8713</Words>
  <Characters>47945</Characters>
  <Application>Microsoft Office Word</Application>
  <DocSecurity>0</DocSecurity>
  <Lines>399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56545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GARCIA RODRIGUEZ Viviana</cp:lastModifiedBy>
  <cp:revision>2</cp:revision>
  <cp:lastPrinted>2004-11-19T15:42:00Z</cp:lastPrinted>
  <dcterms:created xsi:type="dcterms:W3CDTF">2025-11-11T15:50:00Z</dcterms:created>
  <dcterms:modified xsi:type="dcterms:W3CDTF">2025-11-11T15:50:00Z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A10-0155/2025</vt:lpwstr>
  </property>
  <property fmtid="{D5CDD505-2E9C-101B-9397-08002B2CF9AE}" pid="4" name="&lt;Type&gt;">
    <vt:lpwstr>RR</vt:lpwstr>
  </property>
</Properties>
</file>