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629D3" w14:paraId="54ABF9C3" w14:textId="77777777" w:rsidTr="0010095E">
        <w:trPr>
          <w:trHeight w:hRule="exact" w:val="1418"/>
        </w:trPr>
        <w:tc>
          <w:tcPr>
            <w:tcW w:w="6804" w:type="dxa"/>
            <w:shd w:val="clear" w:color="auto" w:fill="auto"/>
            <w:vAlign w:val="center"/>
          </w:tcPr>
          <w:p w14:paraId="508F1C08" w14:textId="77777777" w:rsidR="00751A4A" w:rsidRPr="008629D3" w:rsidRDefault="005D2E58" w:rsidP="0010095E">
            <w:pPr>
              <w:pStyle w:val="EPName"/>
            </w:pPr>
            <w:r w:rsidRPr="008629D3">
              <w:t>Evropski parlament</w:t>
            </w:r>
          </w:p>
          <w:p w14:paraId="1D333A2C" w14:textId="77777777" w:rsidR="00751A4A" w:rsidRPr="008629D3" w:rsidRDefault="005F1B17" w:rsidP="005F1B17">
            <w:pPr>
              <w:pStyle w:val="EPTerm"/>
              <w:rPr>
                <w:rStyle w:val="HideTWBExt"/>
                <w:noProof w:val="0"/>
                <w:vanish w:val="0"/>
                <w:color w:val="auto"/>
              </w:rPr>
            </w:pPr>
            <w:r w:rsidRPr="008629D3">
              <w:t>2024</w:t>
            </w:r>
            <w:r w:rsidR="00817416" w:rsidRPr="008629D3">
              <w:t>-202</w:t>
            </w:r>
            <w:r w:rsidRPr="008629D3">
              <w:t>9</w:t>
            </w:r>
          </w:p>
        </w:tc>
        <w:tc>
          <w:tcPr>
            <w:tcW w:w="2268" w:type="dxa"/>
            <w:shd w:val="clear" w:color="auto" w:fill="auto"/>
          </w:tcPr>
          <w:p w14:paraId="514B669A" w14:textId="77777777" w:rsidR="00751A4A" w:rsidRPr="008629D3" w:rsidRDefault="00187494" w:rsidP="0010095E">
            <w:pPr>
              <w:pStyle w:val="EPLogo"/>
            </w:pPr>
            <w:r w:rsidRPr="008629D3">
              <w:rPr>
                <w:noProof/>
                <w:lang w:eastAsia="ja-JP"/>
              </w:rPr>
              <w:drawing>
                <wp:inline distT="0" distB="0" distL="0" distR="0" wp14:anchorId="7B34EF8D" wp14:editId="38D6E7E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99832E" w14:textId="77777777" w:rsidR="00D058B8" w:rsidRPr="008629D3" w:rsidRDefault="00D058B8" w:rsidP="004C5D52">
      <w:pPr>
        <w:pStyle w:val="LineTop"/>
      </w:pPr>
    </w:p>
    <w:p w14:paraId="704A77A4" w14:textId="77777777" w:rsidR="00680577" w:rsidRPr="008629D3" w:rsidRDefault="005D2E58" w:rsidP="00680577">
      <w:pPr>
        <w:pStyle w:val="EPBodyTA1"/>
      </w:pPr>
      <w:r w:rsidRPr="008629D3">
        <w:t>SPREJETA BESEDILA</w:t>
      </w:r>
    </w:p>
    <w:p w14:paraId="73DCB90C" w14:textId="77777777" w:rsidR="00D058B8" w:rsidRPr="008629D3" w:rsidRDefault="00D058B8" w:rsidP="00D058B8">
      <w:pPr>
        <w:pStyle w:val="LineBottom"/>
      </w:pPr>
    </w:p>
    <w:p w14:paraId="75B405E8" w14:textId="5E43EFD8" w:rsidR="005D2E58" w:rsidRPr="008629D3" w:rsidRDefault="005D2E58" w:rsidP="005D2E58">
      <w:pPr>
        <w:pStyle w:val="ATHeading1"/>
      </w:pPr>
      <w:bookmarkStart w:id="0" w:name="TANumber"/>
      <w:r w:rsidRPr="008629D3">
        <w:t>P10_TA(2025)0</w:t>
      </w:r>
      <w:r w:rsidR="007F04DF" w:rsidRPr="008629D3">
        <w:t>227</w:t>
      </w:r>
      <w:bookmarkEnd w:id="0"/>
    </w:p>
    <w:p w14:paraId="16537B90" w14:textId="12365AD4" w:rsidR="005D2E58" w:rsidRPr="008629D3" w:rsidRDefault="0048013F" w:rsidP="0048013F">
      <w:pPr>
        <w:pStyle w:val="ATHeading2"/>
      </w:pPr>
      <w:r w:rsidRPr="008629D3">
        <w:t>Vloga preprostih davčnih pravil in razdrobljenosti davkov pri evropski konkurenčnosti</w:t>
      </w:r>
    </w:p>
    <w:p w14:paraId="1BB7F48B" w14:textId="77777777" w:rsidR="005D2E58" w:rsidRPr="008629D3" w:rsidRDefault="005D2E58" w:rsidP="005D2E58">
      <w:pPr>
        <w:rPr>
          <w:i/>
          <w:vanish/>
        </w:rPr>
      </w:pPr>
      <w:r w:rsidRPr="008629D3">
        <w:rPr>
          <w:i/>
        </w:rPr>
        <w:fldChar w:fldCharType="begin"/>
      </w:r>
      <w:r w:rsidRPr="008629D3">
        <w:rPr>
          <w:i/>
        </w:rPr>
        <w:instrText xml:space="preserve"> TC"(</w:instrText>
      </w:r>
      <w:bookmarkStart w:id="1" w:name="DocNumber"/>
      <w:r w:rsidRPr="008629D3">
        <w:rPr>
          <w:i/>
        </w:rPr>
        <w:instrText>A10-0155/2025</w:instrText>
      </w:r>
      <w:bookmarkEnd w:id="1"/>
      <w:r w:rsidRPr="008629D3">
        <w:rPr>
          <w:i/>
        </w:rPr>
        <w:instrText xml:space="preserve"> - Poročevalec: Mihalis Hadzipandela (Michalis Hadjipantela))"\l3 \n&gt; \* MERGEFORMAT </w:instrText>
      </w:r>
      <w:r w:rsidRPr="008629D3">
        <w:rPr>
          <w:i/>
        </w:rPr>
        <w:fldChar w:fldCharType="end"/>
      </w:r>
    </w:p>
    <w:p w14:paraId="7B2D38EE" w14:textId="77777777" w:rsidR="005D2E58" w:rsidRPr="008629D3" w:rsidRDefault="005D2E58" w:rsidP="005D2E58">
      <w:pPr>
        <w:rPr>
          <w:vanish/>
        </w:rPr>
      </w:pPr>
      <w:bookmarkStart w:id="2" w:name="Commission"/>
      <w:r w:rsidRPr="008629D3">
        <w:rPr>
          <w:vanish/>
        </w:rPr>
        <w:t>Odbor za ekonomske in monetarne zadeve</w:t>
      </w:r>
      <w:bookmarkEnd w:id="2"/>
    </w:p>
    <w:p w14:paraId="10EE0AC2" w14:textId="77777777" w:rsidR="005D2E58" w:rsidRPr="008629D3" w:rsidRDefault="005D2E58" w:rsidP="005D2E58">
      <w:pPr>
        <w:rPr>
          <w:vanish/>
        </w:rPr>
      </w:pPr>
      <w:bookmarkStart w:id="3" w:name="PE"/>
      <w:r w:rsidRPr="008629D3">
        <w:rPr>
          <w:vanish/>
        </w:rPr>
        <w:t>PE770.261</w:t>
      </w:r>
      <w:bookmarkEnd w:id="3"/>
    </w:p>
    <w:p w14:paraId="171F778A" w14:textId="2C7EBC90" w:rsidR="005D2E58" w:rsidRPr="008629D3" w:rsidRDefault="005D2E58" w:rsidP="005D2E58">
      <w:pPr>
        <w:pStyle w:val="ATHeading3"/>
      </w:pPr>
      <w:bookmarkStart w:id="4" w:name="Sujet"/>
      <w:r w:rsidRPr="008629D3">
        <w:t xml:space="preserve">Resolucija Evropskega parlamenta z dne </w:t>
      </w:r>
      <w:r w:rsidR="0048013F" w:rsidRPr="008629D3">
        <w:t>9</w:t>
      </w:r>
      <w:r w:rsidRPr="008629D3">
        <w:t>. oktobra 2025 o vlogi preprostih davčnih pravil in razdrobljenosti davkov pri evropski konkurenčnosti</w:t>
      </w:r>
      <w:bookmarkEnd w:id="4"/>
      <w:r w:rsidRPr="008629D3">
        <w:t xml:space="preserve"> </w:t>
      </w:r>
      <w:bookmarkStart w:id="5" w:name="References"/>
      <w:r w:rsidRPr="008629D3">
        <w:t>(2024/2118(INI))</w:t>
      </w:r>
      <w:bookmarkEnd w:id="5"/>
    </w:p>
    <w:p w14:paraId="2DEE90EF" w14:textId="77777777" w:rsidR="005D3112" w:rsidRPr="008629D3" w:rsidRDefault="005D3112" w:rsidP="005D3112">
      <w:pPr>
        <w:pStyle w:val="EPComma"/>
      </w:pPr>
      <w:r w:rsidRPr="008629D3">
        <w:rPr>
          <w:rStyle w:val="Italic"/>
        </w:rPr>
        <w:t>Evropski parlament</w:t>
      </w:r>
      <w:r w:rsidRPr="008629D3">
        <w:t>,</w:t>
      </w:r>
    </w:p>
    <w:p w14:paraId="343ADBF2" w14:textId="77777777" w:rsidR="005D3112" w:rsidRPr="008629D3" w:rsidRDefault="005D3112" w:rsidP="005D3112">
      <w:pPr>
        <w:pStyle w:val="NormalHanging12a"/>
      </w:pPr>
      <w:r w:rsidRPr="008629D3">
        <w:t>–</w:t>
      </w:r>
      <w:r w:rsidRPr="008629D3">
        <w:tab/>
        <w:t>ob upoštevanju Pogodbe o delovanju Evropske unije, zlasti člena 4, členov 63 do 66 o načelih notranjega trga, prostega pretoka blaga, storitev, kapitala in oseb ter členov 113, 114 in 115,</w:t>
      </w:r>
    </w:p>
    <w:p w14:paraId="51149274" w14:textId="77777777" w:rsidR="005D3112" w:rsidRPr="008629D3" w:rsidRDefault="005D3112" w:rsidP="005D3112">
      <w:pPr>
        <w:pStyle w:val="NormalHanging12a"/>
      </w:pPr>
      <w:r w:rsidRPr="008629D3">
        <w:t>–</w:t>
      </w:r>
      <w:r w:rsidRPr="008629D3">
        <w:tab/>
        <w:t>ob upoštevanju Direktive Sveta 2003/49/ES z dne 3. junija 2003 o skupnem sistemu obdavčevanja plačil obresti ter licenčnin med povezanimi družbami iz različnih držav članic</w:t>
      </w:r>
      <w:r w:rsidRPr="008629D3">
        <w:rPr>
          <w:rStyle w:val="FootnoteReference"/>
        </w:rPr>
        <w:footnoteReference w:id="1"/>
      </w:r>
      <w:r w:rsidRPr="008629D3">
        <w:t xml:space="preserve"> (direktiva o obrestih in licenčninah),</w:t>
      </w:r>
    </w:p>
    <w:p w14:paraId="1D43472E" w14:textId="77777777" w:rsidR="005D3112" w:rsidRPr="008629D3" w:rsidRDefault="005D3112" w:rsidP="005D3112">
      <w:pPr>
        <w:pStyle w:val="NormalHanging12a"/>
      </w:pPr>
      <w:r w:rsidRPr="008629D3">
        <w:t>–</w:t>
      </w:r>
      <w:r w:rsidRPr="008629D3">
        <w:tab/>
        <w:t>ob upoštevanju Direktive Sveta 2011/96/EU z dne 30. novembra 2011 o skupnem sistemu obdavčitve matičnih družb in odvisnih družb iz različnih držav članic</w:t>
      </w:r>
      <w:r w:rsidRPr="008629D3">
        <w:rPr>
          <w:rStyle w:val="FootnoteReference"/>
        </w:rPr>
        <w:footnoteReference w:id="2"/>
      </w:r>
      <w:r w:rsidRPr="008629D3">
        <w:t xml:space="preserve"> (direktiva o matičnih in odvisnih družbah),</w:t>
      </w:r>
    </w:p>
    <w:p w14:paraId="390E7DC9" w14:textId="070FB0F1" w:rsidR="005D3112" w:rsidRPr="008629D3" w:rsidRDefault="005D3112" w:rsidP="005D3112">
      <w:pPr>
        <w:pStyle w:val="NormalHanging12a"/>
      </w:pPr>
      <w:r w:rsidRPr="008629D3">
        <w:t>–</w:t>
      </w:r>
      <w:r w:rsidRPr="008629D3">
        <w:tab/>
        <w:t>ob upoštevanju Direktive Sveta (EU) 2022/2523 z dne 14. decembra 2022 o zagotavljanju globalne minimalne davčne stopnje za mednarodne skupine podjetij in velike domače skupine v Uniji</w:t>
      </w:r>
      <w:r w:rsidRPr="008629D3">
        <w:rPr>
          <w:rStyle w:val="FootnoteReference"/>
        </w:rPr>
        <w:footnoteReference w:id="3"/>
      </w:r>
      <w:r w:rsidRPr="008629D3">
        <w:t>, ki predstavlja odziv EU na m</w:t>
      </w:r>
      <w:r w:rsidR="0048013F" w:rsidRPr="008629D3">
        <w:t>e</w:t>
      </w:r>
      <w:r w:rsidRPr="008629D3">
        <w:t>dnarodno davčno usklajevanje,</w:t>
      </w:r>
    </w:p>
    <w:p w14:paraId="7BFC6C32" w14:textId="77777777" w:rsidR="005D3112" w:rsidRPr="008629D3" w:rsidRDefault="005D3112" w:rsidP="005D3112">
      <w:pPr>
        <w:pStyle w:val="NormalHanging12a"/>
      </w:pPr>
      <w:r w:rsidRPr="008629D3">
        <w:t>–</w:t>
      </w:r>
      <w:r w:rsidRPr="008629D3">
        <w:tab/>
        <w:t>ob upoštevanju trenutnega razvoja pri dvostebrni rešitvi EU za spoprijemanje z davčnimi izzivi, ki jih prinaša digitalizacija gospodarstva,</w:t>
      </w:r>
    </w:p>
    <w:p w14:paraId="1DCFB4C0" w14:textId="77777777" w:rsidR="005D3112" w:rsidRPr="008629D3" w:rsidRDefault="005D3112" w:rsidP="005D3112">
      <w:pPr>
        <w:pStyle w:val="NormalHanging12a"/>
      </w:pPr>
      <w:r w:rsidRPr="008629D3">
        <w:lastRenderedPageBreak/>
        <w:t>–</w:t>
      </w:r>
      <w:r w:rsidRPr="008629D3">
        <w:tab/>
        <w:t>ob upoštevanju končnih poročil Organizacije za gospodarsko sodelovanje in razvoj (OECD) iz oktobra 2015 o projektu OECD/G20 za preprečevanje erozije davčne osnove in preusmerjanja dobička (BEPS),</w:t>
      </w:r>
    </w:p>
    <w:p w14:paraId="4455E385" w14:textId="77777777" w:rsidR="005D3112" w:rsidRPr="008629D3" w:rsidRDefault="005D3112" w:rsidP="005D3112">
      <w:pPr>
        <w:pStyle w:val="NormalHanging12a"/>
      </w:pPr>
      <w:r w:rsidRPr="008629D3">
        <w:t>–</w:t>
      </w:r>
      <w:r w:rsidRPr="008629D3">
        <w:tab/>
        <w:t xml:space="preserve">ob upoštevanju poročil o načrtih za prvi in drugi steber, ki jih je vključujoči okvir OECD/G20 sprejel 14. oktobra 2020, ter rezultatov ekonomske analize in ocene učinka OECD z dne 12. oktobra 2020 z naslovom </w:t>
      </w:r>
      <w:r w:rsidRPr="008629D3">
        <w:rPr>
          <w:i/>
          <w:iCs/>
        </w:rPr>
        <w:t>Tax Challenges Arising from Digitalisation – Economic Impact Assessment</w:t>
      </w:r>
      <w:r w:rsidRPr="008629D3">
        <w:t xml:space="preserve"> (Davčni izzivi, ki jih prinaša digitalizacija – ocena ekonomskega učinka),</w:t>
      </w:r>
    </w:p>
    <w:p w14:paraId="2E0640E1" w14:textId="77777777" w:rsidR="005D3112" w:rsidRPr="008629D3" w:rsidRDefault="005D3112" w:rsidP="005D3112">
      <w:pPr>
        <w:pStyle w:val="NormalHanging12a"/>
      </w:pPr>
      <w:r w:rsidRPr="008629D3">
        <w:t>–</w:t>
      </w:r>
      <w:r w:rsidRPr="008629D3">
        <w:tab/>
        <w:t>ob upoštevanju izjave vključujočega okvira OECD/G20 za preprečevanje erozije davčne osnove in preusmerjanja dobička (BESP) z dne 8. oktobra 2021 o dvostebrni rešitvi za obravnavo davčnih izzivov, ki jih prinaša digitalizacija gospodarstva,</w:t>
      </w:r>
    </w:p>
    <w:p w14:paraId="40F3D03B" w14:textId="77777777" w:rsidR="005D3112" w:rsidRPr="008629D3" w:rsidRDefault="005D3112" w:rsidP="005D3112">
      <w:pPr>
        <w:pStyle w:val="NormalHanging12a"/>
      </w:pPr>
      <w:r w:rsidRPr="008629D3">
        <w:t>–</w:t>
      </w:r>
      <w:r w:rsidRPr="008629D3">
        <w:tab/>
        <w:t>ob upoštevanju vzorčnih pravil drugega stebra vključujočega okvira OECD/G20 za preprečevanje erozije davčne osnove in preusmerjanja dobička (BESP) z dne 20. decembra 2021 za domače izvajanje globalne minimalne davčne stopnje v višini 15 %,</w:t>
      </w:r>
    </w:p>
    <w:p w14:paraId="64882EC3" w14:textId="77777777" w:rsidR="005D3112" w:rsidRPr="008629D3" w:rsidRDefault="005D3112" w:rsidP="005D3112">
      <w:pPr>
        <w:pStyle w:val="NormalHanging12a"/>
      </w:pPr>
      <w:r w:rsidRPr="008629D3">
        <w:t>–</w:t>
      </w:r>
      <w:r w:rsidRPr="008629D3">
        <w:tab/>
        <w:t>ob upoštevanju zakona Združenih držav Amerike št. 117–169 z dne 16. avgusta 2022, znanega kot akt za zmanjšanje inflacije,</w:t>
      </w:r>
    </w:p>
    <w:p w14:paraId="5776EC0B" w14:textId="77777777" w:rsidR="005D3112" w:rsidRPr="008629D3" w:rsidRDefault="005D3112" w:rsidP="005D3112">
      <w:pPr>
        <w:pStyle w:val="NormalHanging12a"/>
      </w:pPr>
      <w:r w:rsidRPr="008629D3">
        <w:t>–</w:t>
      </w:r>
      <w:r w:rsidRPr="008629D3">
        <w:tab/>
        <w:t>ob upoštevanju izjave voditeljev skupine G20 iz Ria de Janeira z dne 19. novembra 2024 in ministrske izjave skupine G20 iz Ria de Janeira o mednarodnem davčnem sodelovanju z dne 25. julija 2024,</w:t>
      </w:r>
    </w:p>
    <w:p w14:paraId="084A4FD8" w14:textId="77777777" w:rsidR="005D3112" w:rsidRPr="008629D3" w:rsidRDefault="005D3112" w:rsidP="005D3112">
      <w:pPr>
        <w:pStyle w:val="NormalHanging12a"/>
      </w:pPr>
      <w:r w:rsidRPr="008629D3">
        <w:t>–</w:t>
      </w:r>
      <w:r w:rsidRPr="008629D3">
        <w:tab/>
        <w:t>ob upoštevanju resolucije generalne skupščine OZN 79/235 z dne 24. decembra 2024 o spodbujanju vključujočega in učinkovitega mednarodnega davčnega sodelovanja na ravni OZN,</w:t>
      </w:r>
    </w:p>
    <w:p w14:paraId="25E5CFE3" w14:textId="0003C0F5" w:rsidR="005D3112" w:rsidRPr="008629D3" w:rsidRDefault="005D3112" w:rsidP="005D3112">
      <w:pPr>
        <w:pStyle w:val="NormalHanging12a"/>
      </w:pPr>
      <w:r w:rsidRPr="008629D3">
        <w:t>–</w:t>
      </w:r>
      <w:r w:rsidRPr="008629D3">
        <w:tab/>
        <w:t>ob upoštevanju sporočila Komisije z dne 15. julija 2020 z naslovom Akcijski načrt za pravično in preprosto obdavčitev, ki podpira strategijo za okrevanje (</w:t>
      </w:r>
      <w:r w:rsidR="0048013F" w:rsidRPr="008629D3">
        <w:t>COM(2020)0312</w:t>
      </w:r>
      <w:r w:rsidRPr="008629D3">
        <w:t>),</w:t>
      </w:r>
    </w:p>
    <w:p w14:paraId="7C64F6B3" w14:textId="2B0E1B59" w:rsidR="005D3112" w:rsidRPr="008629D3" w:rsidRDefault="005D3112" w:rsidP="005D3112">
      <w:pPr>
        <w:pStyle w:val="NormalHanging12a"/>
      </w:pPr>
      <w:r w:rsidRPr="008629D3">
        <w:t>–</w:t>
      </w:r>
      <w:r w:rsidRPr="008629D3">
        <w:tab/>
        <w:t>ob upoštevanju sporočila Komisije z dne 18. maja 2021 z naslovom Obdavčitev podjetij za 21. stoletje (</w:t>
      </w:r>
      <w:r w:rsidR="0048013F" w:rsidRPr="008629D3">
        <w:t>COM(2021)0251</w:t>
      </w:r>
      <w:r w:rsidRPr="008629D3">
        <w:t>),</w:t>
      </w:r>
    </w:p>
    <w:p w14:paraId="48593CEB" w14:textId="573BDC7B" w:rsidR="005D3112" w:rsidRPr="008629D3" w:rsidRDefault="005D3112" w:rsidP="005D3112">
      <w:pPr>
        <w:pStyle w:val="NormalHanging12a"/>
      </w:pPr>
      <w:r w:rsidRPr="008629D3">
        <w:t>–</w:t>
      </w:r>
      <w:r w:rsidRPr="008629D3">
        <w:tab/>
        <w:t>ob upoštevanju predloga Komisije z dne 22. decembra 2021 za Direktivo Sveta o zagotavljanju globalne minimalne davčne stopnje za mednarodne skupine v Uniji (</w:t>
      </w:r>
      <w:r w:rsidR="0048013F" w:rsidRPr="008629D3">
        <w:t>COM(2021)0823</w:t>
      </w:r>
      <w:r w:rsidRPr="008629D3">
        <w:t>) ter stališča Parlamenta o tem predlogu z dne 19. maja 2022</w:t>
      </w:r>
      <w:r w:rsidRPr="008629D3">
        <w:rPr>
          <w:rStyle w:val="FootnoteReference"/>
        </w:rPr>
        <w:footnoteReference w:id="4"/>
      </w:r>
      <w:r w:rsidRPr="008629D3">
        <w:t>,</w:t>
      </w:r>
    </w:p>
    <w:p w14:paraId="2282E202" w14:textId="77777777" w:rsidR="005D3112" w:rsidRPr="008629D3" w:rsidRDefault="005D3112" w:rsidP="005D3112">
      <w:pPr>
        <w:pStyle w:val="NormalHanging12a"/>
      </w:pPr>
      <w:r w:rsidRPr="008629D3">
        <w:t>–</w:t>
      </w:r>
      <w:r w:rsidRPr="008629D3">
        <w:tab/>
        <w:t xml:space="preserve">ob upoštevanju študije Komisije iz januarja 2022 z naslovom </w:t>
      </w:r>
      <w:r w:rsidRPr="008629D3">
        <w:rPr>
          <w:i/>
          <w:iCs/>
        </w:rPr>
        <w:t>Tax compliance costs for SMEs: An update and a complement – final report</w:t>
      </w:r>
      <w:r w:rsidRPr="008629D3">
        <w:t xml:space="preserve"> (Stroški izpolnjevanja davčnih obveznosti za MSP: posodobitev in dopolnilo – končno poročilo)</w:t>
      </w:r>
      <w:r w:rsidRPr="008629D3">
        <w:rPr>
          <w:rStyle w:val="FootnoteReference"/>
        </w:rPr>
        <w:footnoteReference w:id="5"/>
      </w:r>
      <w:r w:rsidRPr="008629D3">
        <w:t>,</w:t>
      </w:r>
    </w:p>
    <w:p w14:paraId="12252A04" w14:textId="2E86365C" w:rsidR="005D3112" w:rsidRPr="008629D3" w:rsidRDefault="005D3112" w:rsidP="005D3112">
      <w:pPr>
        <w:pStyle w:val="NormalHanging12a"/>
      </w:pPr>
      <w:r w:rsidRPr="008629D3">
        <w:lastRenderedPageBreak/>
        <w:t>–</w:t>
      </w:r>
      <w:r w:rsidRPr="008629D3">
        <w:tab/>
        <w:t>ob upoštevanju predloga Komisije z dne 11. maja 2022 za Direktivo Sveta o določitvi pravil o olajšavi za zmanjšanje naklonjenosti zadolževanju v razmerju do lastniškega kapitala in o omejitvi odbitka obresti za namene davka od dohodkov pravnih oseb (</w:t>
      </w:r>
      <w:r w:rsidR="0048013F" w:rsidRPr="008629D3">
        <w:t>COM(2022)0216</w:t>
      </w:r>
      <w:r w:rsidRPr="008629D3">
        <w:t>),</w:t>
      </w:r>
    </w:p>
    <w:p w14:paraId="36C99347" w14:textId="6DE03725" w:rsidR="005D3112" w:rsidRPr="008629D3" w:rsidRDefault="005D3112" w:rsidP="005D3112">
      <w:pPr>
        <w:pStyle w:val="NormalHanging12a"/>
      </w:pPr>
      <w:r w:rsidRPr="008629D3">
        <w:t>–</w:t>
      </w:r>
      <w:r w:rsidRPr="008629D3">
        <w:tab/>
        <w:t>ob upoštevanju predloga Komisije z dne 8. decembra 2022 o spremembi Direktive 2006/112/ES glede pravil o DDV za digitalno dobo (</w:t>
      </w:r>
      <w:r w:rsidR="0048013F" w:rsidRPr="008629D3">
        <w:t>COM(2022)0701</w:t>
      </w:r>
      <w:r w:rsidRPr="008629D3">
        <w:t>),</w:t>
      </w:r>
    </w:p>
    <w:p w14:paraId="6E23CAA1" w14:textId="4DB06A78" w:rsidR="005D3112" w:rsidRPr="008629D3" w:rsidRDefault="005D3112" w:rsidP="005D3112">
      <w:pPr>
        <w:pStyle w:val="NormalHanging12a"/>
      </w:pPr>
      <w:r w:rsidRPr="008629D3">
        <w:t>–</w:t>
      </w:r>
      <w:r w:rsidRPr="008629D3">
        <w:tab/>
        <w:t>ob upoštevanju predloga Komisije z dne 8. decembra 2022 za Uredbo Sveta o spremembi Uredbe (EU) št. 904/2010 glede ureditev upravnega sodelovanja na področju DDV, potrebnih za digitalno dobo (</w:t>
      </w:r>
      <w:r w:rsidR="0048013F" w:rsidRPr="008629D3">
        <w:t>COM(2022)0703</w:t>
      </w:r>
      <w:r w:rsidRPr="008629D3">
        <w:t>),</w:t>
      </w:r>
    </w:p>
    <w:p w14:paraId="6E217966" w14:textId="03F16A52" w:rsidR="005D3112" w:rsidRPr="008629D3" w:rsidRDefault="005D3112" w:rsidP="005D3112">
      <w:pPr>
        <w:pStyle w:val="NormalHanging12a"/>
      </w:pPr>
      <w:r w:rsidRPr="008629D3">
        <w:t>–</w:t>
      </w:r>
      <w:r w:rsidRPr="008629D3">
        <w:tab/>
        <w:t>ob upoštevanju predloga Komisije z dne 8. julija 2024 za Direktivo Sveta o spremembi Direktive 2006/112/ES glede elektronskega potrdila o oprostitvi plačila davka na dodano vrednost (</w:t>
      </w:r>
      <w:r w:rsidR="0048013F" w:rsidRPr="008629D3">
        <w:t>COM(2024)0278</w:t>
      </w:r>
      <w:r w:rsidRPr="008629D3">
        <w:t>),</w:t>
      </w:r>
    </w:p>
    <w:p w14:paraId="153B2216" w14:textId="77777777" w:rsidR="005D3112" w:rsidRPr="008629D3" w:rsidRDefault="005D3112" w:rsidP="005D3112">
      <w:pPr>
        <w:pStyle w:val="NormalHanging12a"/>
      </w:pPr>
      <w:r w:rsidRPr="008629D3">
        <w:t>–</w:t>
      </w:r>
      <w:r w:rsidRPr="008629D3">
        <w:tab/>
        <w:t>ob upoštevanju dogovora Sveta o svežnju o DDV v digitalni dobi z dne 5. novembra 2024,</w:t>
      </w:r>
    </w:p>
    <w:p w14:paraId="18976C5A" w14:textId="77777777" w:rsidR="005D3112" w:rsidRPr="008629D3" w:rsidRDefault="005D3112" w:rsidP="005D3112">
      <w:pPr>
        <w:pStyle w:val="NormalHanging12a"/>
      </w:pPr>
      <w:r w:rsidRPr="008629D3">
        <w:t>–</w:t>
      </w:r>
      <w:r w:rsidRPr="008629D3">
        <w:tab/>
        <w:t>ob upoštevanju Direktive Sveta (EU) 2025/50 z dne 10. decembra 2024 o hitrejšem in varnejšem zmanjšanju presežnih davčnih odtegljajev</w:t>
      </w:r>
      <w:r w:rsidRPr="008629D3">
        <w:rPr>
          <w:rStyle w:val="FootnoteReference"/>
        </w:rPr>
        <w:footnoteReference w:id="6"/>
      </w:r>
      <w:r w:rsidRPr="008629D3">
        <w:t xml:space="preserve"> (FASTER),</w:t>
      </w:r>
    </w:p>
    <w:p w14:paraId="042481AE" w14:textId="5F886E68" w:rsidR="005D3112" w:rsidRPr="008629D3" w:rsidRDefault="005D3112" w:rsidP="005D3112">
      <w:pPr>
        <w:pStyle w:val="NormalHanging12a"/>
      </w:pPr>
      <w:r w:rsidRPr="008629D3">
        <w:t>–</w:t>
      </w:r>
      <w:r w:rsidRPr="008629D3">
        <w:tab/>
        <w:t>ob upoštevanju predloga Komisije z dne 12. septembra 2023 za Direktivo Sveta o poslovanju v Evropi: okvir za obdavčitev dohodkov (BEFIT), (</w:t>
      </w:r>
      <w:r w:rsidR="0048013F" w:rsidRPr="008629D3">
        <w:t>COM(2023)0532</w:t>
      </w:r>
      <w:r w:rsidRPr="008629D3">
        <w:t>),</w:t>
      </w:r>
    </w:p>
    <w:p w14:paraId="078FA08B" w14:textId="1000627A" w:rsidR="005D3112" w:rsidRPr="008629D3" w:rsidRDefault="005D3112" w:rsidP="005D3112">
      <w:pPr>
        <w:pStyle w:val="NormalHanging12a"/>
      </w:pPr>
      <w:r w:rsidRPr="008629D3">
        <w:t>–</w:t>
      </w:r>
      <w:r w:rsidRPr="008629D3">
        <w:tab/>
        <w:t xml:space="preserve">ob upoštevanju predloga Komisije z dne 12. septembra 2023 za direktivo Sveta o uvedbi sistema davčnih pravil države sedeža za mikro, mala in srednja podjetja ter spremembi Direktive 2011/16/EU </w:t>
      </w:r>
      <w:r w:rsidR="0048013F" w:rsidRPr="008629D3">
        <w:t>(COM(2023)0528</w:t>
      </w:r>
      <w:r w:rsidRPr="008629D3">
        <w:t>),</w:t>
      </w:r>
    </w:p>
    <w:p w14:paraId="2C0EAE0B" w14:textId="79CE9BDD" w:rsidR="005D3112" w:rsidRPr="008629D3" w:rsidRDefault="005D3112" w:rsidP="005D3112">
      <w:pPr>
        <w:pStyle w:val="NormalHanging12a"/>
      </w:pPr>
      <w:r w:rsidRPr="008629D3">
        <w:t>–</w:t>
      </w:r>
      <w:r w:rsidRPr="008629D3">
        <w:tab/>
        <w:t>ob upoštevanju predloga Komisije z dne 12. septembra 2023 za direktivo Sveta o transfernih cenah (</w:t>
      </w:r>
      <w:r w:rsidR="0048013F" w:rsidRPr="008629D3">
        <w:t>COM(2023)0529</w:t>
      </w:r>
      <w:r w:rsidRPr="008629D3">
        <w:t>),</w:t>
      </w:r>
    </w:p>
    <w:p w14:paraId="4A37A2A7" w14:textId="77777777" w:rsidR="005D3112" w:rsidRPr="008629D3" w:rsidRDefault="005D3112" w:rsidP="005D3112">
      <w:pPr>
        <w:pStyle w:val="NormalHanging12a"/>
      </w:pPr>
      <w:r w:rsidRPr="008629D3">
        <w:t>–</w:t>
      </w:r>
      <w:r w:rsidRPr="008629D3">
        <w:tab/>
        <w:t>ob upoštevanju sklepov Sveta z dne 17. in 18. aprila 2024 o novem dogovoru o evropski konkurenčnosti,</w:t>
      </w:r>
    </w:p>
    <w:p w14:paraId="5367C585" w14:textId="77777777" w:rsidR="005D3112" w:rsidRPr="008629D3" w:rsidRDefault="005D3112" w:rsidP="005D3112">
      <w:pPr>
        <w:pStyle w:val="NormalHanging12a"/>
      </w:pPr>
      <w:r w:rsidRPr="008629D3">
        <w:t>–</w:t>
      </w:r>
      <w:r w:rsidRPr="008629D3">
        <w:tab/>
        <w:t>ob upoštevanju sklepov Sveta z dne 24. maja 2024 o enotnem trgu v korist vseh,</w:t>
      </w:r>
    </w:p>
    <w:p w14:paraId="4F116BE3" w14:textId="77777777" w:rsidR="005D3112" w:rsidRPr="008629D3" w:rsidRDefault="005D3112" w:rsidP="005D3112">
      <w:pPr>
        <w:pStyle w:val="NormalHanging12a"/>
      </w:pPr>
      <w:r w:rsidRPr="008629D3">
        <w:t>–</w:t>
      </w:r>
      <w:r w:rsidRPr="008629D3">
        <w:tab/>
        <w:t>ob upoštevanju izjave Evropskega sveta iz Budimpešte z dne 8. novembra 2024 o novem dogovoru o evropski konkurenčnosti,</w:t>
      </w:r>
    </w:p>
    <w:p w14:paraId="6A64C4DF" w14:textId="77777777" w:rsidR="005D3112" w:rsidRPr="008629D3" w:rsidRDefault="005D3112" w:rsidP="005D3112">
      <w:pPr>
        <w:pStyle w:val="NormalHanging12a"/>
      </w:pPr>
      <w:r w:rsidRPr="008629D3">
        <w:t>–</w:t>
      </w:r>
      <w:r w:rsidRPr="008629D3">
        <w:tab/>
        <w:t>ob upoštevanju sklepov Sveta z dne 11. marca 2025 o programu za prečiščenje in poenostavitev davčnih pravil kot prispevku h konkurenčnosti EU,</w:t>
      </w:r>
    </w:p>
    <w:p w14:paraId="36E17DF2" w14:textId="77777777" w:rsidR="005D3112" w:rsidRPr="008629D3" w:rsidRDefault="005D3112" w:rsidP="005D3112">
      <w:pPr>
        <w:pStyle w:val="NormalHanging12a"/>
      </w:pPr>
      <w:r w:rsidRPr="008629D3">
        <w:t>–</w:t>
      </w:r>
      <w:r w:rsidRPr="008629D3">
        <w:tab/>
        <w:t>ob upoštevanju sklepov Evropskega sveta z dne 20. marca 2025 o konkurenčnosti s poudarkom na poenostavitvi ter zmanjšanju regulativnih in upravnih bremen,</w:t>
      </w:r>
    </w:p>
    <w:p w14:paraId="03A98C14" w14:textId="77777777" w:rsidR="005D3112" w:rsidRPr="008629D3" w:rsidRDefault="005D3112" w:rsidP="005D3112">
      <w:pPr>
        <w:pStyle w:val="NormalHanging12a"/>
      </w:pPr>
      <w:r w:rsidRPr="008629D3">
        <w:t>–</w:t>
      </w:r>
      <w:r w:rsidRPr="008629D3">
        <w:tab/>
        <w:t>ob upoštevanju svoje resolucije z dne 16. februarja 2022 o izvajanju šeste direktive o DDV: kaj je potrebno za zmanjšanje razlike v DDV v Uniji?</w:t>
      </w:r>
      <w:r w:rsidRPr="008629D3">
        <w:rPr>
          <w:rStyle w:val="FootnoteReference"/>
        </w:rPr>
        <w:footnoteReference w:id="7"/>
      </w:r>
      <w:r w:rsidRPr="008629D3">
        <w:t>,</w:t>
      </w:r>
    </w:p>
    <w:p w14:paraId="1A6F829B" w14:textId="77777777" w:rsidR="005D3112" w:rsidRPr="008629D3" w:rsidRDefault="005D3112" w:rsidP="005D3112">
      <w:pPr>
        <w:pStyle w:val="NormalHanging12a"/>
      </w:pPr>
      <w:r w:rsidRPr="008629D3">
        <w:lastRenderedPageBreak/>
        <w:t>–</w:t>
      </w:r>
      <w:r w:rsidRPr="008629D3">
        <w:tab/>
        <w:t>ob upoštevanju svoje resolucije z dne 7. oktobra 2021 o reformi politike EU na področju škodljivih davčnih praks (vključno z reformo Skupine za kodeks ravnanja)</w:t>
      </w:r>
      <w:r w:rsidRPr="008629D3">
        <w:rPr>
          <w:rStyle w:val="FootnoteReference"/>
        </w:rPr>
        <w:footnoteReference w:id="8"/>
      </w:r>
      <w:r w:rsidRPr="008629D3">
        <w:t>,</w:t>
      </w:r>
    </w:p>
    <w:p w14:paraId="42F235A5" w14:textId="77777777" w:rsidR="005D3112" w:rsidRPr="008629D3" w:rsidRDefault="005D3112" w:rsidP="005D3112">
      <w:pPr>
        <w:pStyle w:val="NormalHanging12a"/>
      </w:pPr>
      <w:r w:rsidRPr="008629D3">
        <w:t>–</w:t>
      </w:r>
      <w:r w:rsidRPr="008629D3">
        <w:tab/>
        <w:t>ob upoštevanju svoje resolucije z dne 15. februarja 2022 o vplivu nacionalnih davčnih reform na gospodarstvo EU</w:t>
      </w:r>
      <w:r w:rsidRPr="008629D3">
        <w:rPr>
          <w:rStyle w:val="FootnoteReference"/>
        </w:rPr>
        <w:footnoteReference w:id="9"/>
      </w:r>
      <w:r w:rsidRPr="008629D3">
        <w:t>,</w:t>
      </w:r>
    </w:p>
    <w:p w14:paraId="6100E3C4" w14:textId="77777777" w:rsidR="005D3112" w:rsidRPr="008629D3" w:rsidRDefault="005D3112" w:rsidP="005D3112">
      <w:pPr>
        <w:pStyle w:val="NormalHanging12a"/>
      </w:pPr>
      <w:r w:rsidRPr="008629D3">
        <w:t>–</w:t>
      </w:r>
      <w:r w:rsidRPr="008629D3">
        <w:tab/>
        <w:t>ob upoštevanju svoje resolucije z dne 10. marca 2022 o evropskem okviru za davčni odtegljaj</w:t>
      </w:r>
      <w:r w:rsidRPr="008629D3">
        <w:rPr>
          <w:rStyle w:val="FootnoteReference"/>
        </w:rPr>
        <w:footnoteReference w:id="10"/>
      </w:r>
      <w:r w:rsidRPr="008629D3">
        <w:t>, v kateri poziva k standardiziranemu okviru za davčni odtegljaj,</w:t>
      </w:r>
    </w:p>
    <w:p w14:paraId="7A2EB476" w14:textId="77777777" w:rsidR="005D3112" w:rsidRPr="008629D3" w:rsidRDefault="005D3112" w:rsidP="005D3112">
      <w:pPr>
        <w:pStyle w:val="NormalHanging12a"/>
      </w:pPr>
      <w:r w:rsidRPr="008629D3">
        <w:t>–</w:t>
      </w:r>
      <w:r w:rsidRPr="008629D3">
        <w:tab/>
        <w:t>ob upoštevanju svoje resolucije z dne 4. oktobra 2022 o vplivu novih tehnologij na obdavčevanje: kriptovalute in blokovne verige</w:t>
      </w:r>
      <w:r w:rsidRPr="008629D3">
        <w:rPr>
          <w:rStyle w:val="FootnoteReference"/>
        </w:rPr>
        <w:footnoteReference w:id="11"/>
      </w:r>
      <w:r w:rsidRPr="008629D3">
        <w:t>,</w:t>
      </w:r>
    </w:p>
    <w:p w14:paraId="6CCE0009" w14:textId="77777777" w:rsidR="005D3112" w:rsidRPr="008629D3" w:rsidRDefault="005D3112" w:rsidP="005D3112">
      <w:pPr>
        <w:pStyle w:val="NormalHanging12a"/>
      </w:pPr>
      <w:r w:rsidRPr="008629D3">
        <w:t>–</w:t>
      </w:r>
      <w:r w:rsidRPr="008629D3">
        <w:tab/>
        <w:t>ob upoštevanju svoje resolucije z dne 10. marca 2022 s priporočili Komisiji o pravični in preprosti obdavčitvi, ki podpira strategijo za okrevanje (nadaljnje ukrepanje EP na podlagi akcijskega načrta Komisije iz julija in njegovih 25 pobud na področju DDV ter obdavčevanja podjetij in posameznikov)</w:t>
      </w:r>
      <w:r w:rsidRPr="008629D3">
        <w:rPr>
          <w:rStyle w:val="FootnoteReference"/>
        </w:rPr>
        <w:footnoteReference w:id="12"/>
      </w:r>
      <w:r w:rsidRPr="008629D3">
        <w:t>,</w:t>
      </w:r>
    </w:p>
    <w:p w14:paraId="35E44C23" w14:textId="77777777" w:rsidR="005D3112" w:rsidRPr="008629D3" w:rsidRDefault="005D3112" w:rsidP="005D3112">
      <w:pPr>
        <w:pStyle w:val="NormalHanging12a"/>
      </w:pPr>
      <w:r w:rsidRPr="008629D3">
        <w:t>–</w:t>
      </w:r>
      <w:r w:rsidRPr="008629D3">
        <w:tab/>
        <w:t>ob upoštevanju svoje resolucije z dne 4. maja 2022 o nadaljnjih ukrepih glede Konference o prihodnosti Evrope</w:t>
      </w:r>
      <w:r w:rsidRPr="008629D3">
        <w:rPr>
          <w:rStyle w:val="FootnoteReference"/>
        </w:rPr>
        <w:footnoteReference w:id="13"/>
      </w:r>
      <w:r w:rsidRPr="008629D3">
        <w:t>,</w:t>
      </w:r>
    </w:p>
    <w:p w14:paraId="12499FBA" w14:textId="77777777" w:rsidR="005D3112" w:rsidRPr="008629D3" w:rsidRDefault="005D3112" w:rsidP="005D3112">
      <w:pPr>
        <w:pStyle w:val="NormalHanging12a"/>
      </w:pPr>
      <w:r w:rsidRPr="008629D3">
        <w:t>–</w:t>
      </w:r>
      <w:r w:rsidRPr="008629D3">
        <w:tab/>
        <w:t xml:space="preserve">ob upoštevanju študije Skupnega raziskovalnega središča Komisije z dne 19. aprila 2022 z naslovom </w:t>
      </w:r>
      <w:r w:rsidRPr="008629D3">
        <w:rPr>
          <w:i/>
          <w:iCs/>
        </w:rPr>
        <w:t>Local taxes on economic activity in municipalities in EU Member States</w:t>
      </w:r>
      <w:r w:rsidRPr="008629D3">
        <w:t xml:space="preserve"> (Lokalni davki na gospodarsko dejavnost v občinah v državah članicah EU),</w:t>
      </w:r>
    </w:p>
    <w:p w14:paraId="2D816136" w14:textId="77777777" w:rsidR="005D3112" w:rsidRPr="008629D3" w:rsidRDefault="005D3112" w:rsidP="005D3112">
      <w:pPr>
        <w:pStyle w:val="NormalHanging12a"/>
      </w:pPr>
      <w:r w:rsidRPr="008629D3">
        <w:t>–</w:t>
      </w:r>
      <w:r w:rsidRPr="008629D3">
        <w:tab/>
        <w:t>ob upoštevanju resolucije Parlamenta z dne 15. junija 2023 o pridobljenih izkušnjah iz afere Pandorini dokumenti in drugih razkritij</w:t>
      </w:r>
      <w:r w:rsidRPr="008629D3">
        <w:rPr>
          <w:rStyle w:val="FootnoteReference"/>
        </w:rPr>
        <w:footnoteReference w:id="14"/>
      </w:r>
      <w:r w:rsidRPr="008629D3">
        <w:t>, v kateri je pozval tudi k izboljšanju poročanja in izmenjave informacij,</w:t>
      </w:r>
    </w:p>
    <w:p w14:paraId="577B28C3" w14:textId="77777777" w:rsidR="005D3112" w:rsidRPr="008629D3" w:rsidRDefault="005D3112" w:rsidP="005D3112">
      <w:pPr>
        <w:pStyle w:val="NormalHanging12a"/>
      </w:pPr>
      <w:r w:rsidRPr="008629D3">
        <w:t>–</w:t>
      </w:r>
      <w:r w:rsidRPr="008629D3">
        <w:tab/>
        <w:t>ob upoštevanju svoje resolucije z dne 12. decembra 2023 o nadaljnji reformi pravil o obdavčitvi dohodkov pravnih oseb</w:t>
      </w:r>
      <w:r w:rsidRPr="008629D3">
        <w:rPr>
          <w:rStyle w:val="FootnoteReference"/>
        </w:rPr>
        <w:footnoteReference w:id="15"/>
      </w:r>
      <w:r w:rsidRPr="008629D3">
        <w:t>,</w:t>
      </w:r>
    </w:p>
    <w:p w14:paraId="2AD79A02" w14:textId="77777777" w:rsidR="005D3112" w:rsidRPr="008629D3" w:rsidRDefault="005D3112" w:rsidP="005D3112">
      <w:pPr>
        <w:pStyle w:val="NormalHanging12a"/>
      </w:pPr>
      <w:r w:rsidRPr="008629D3">
        <w:t>–</w:t>
      </w:r>
      <w:r w:rsidRPr="008629D3">
        <w:tab/>
        <w:t>ob upoštevanju poročila z dne 9. maja 2022 o končnem izidu Konference o prihodnosti Evrope</w:t>
      </w:r>
      <w:r w:rsidRPr="008629D3">
        <w:rPr>
          <w:rStyle w:val="FootnoteReference"/>
        </w:rPr>
        <w:footnoteReference w:id="16"/>
      </w:r>
      <w:r w:rsidRPr="008629D3">
        <w:t>,</w:t>
      </w:r>
    </w:p>
    <w:p w14:paraId="2C3BF80C" w14:textId="77777777" w:rsidR="005D3112" w:rsidRPr="008629D3" w:rsidRDefault="005D3112" w:rsidP="005D3112">
      <w:pPr>
        <w:pStyle w:val="NormalHanging12a"/>
      </w:pPr>
      <w:r w:rsidRPr="008629D3">
        <w:t>–</w:t>
      </w:r>
      <w:r w:rsidRPr="008629D3">
        <w:tab/>
        <w:t xml:space="preserve">ob upoštevanju poročila Enrica Lette iz aprila 2024 z naslovom </w:t>
      </w:r>
      <w:r w:rsidRPr="008629D3">
        <w:rPr>
          <w:i/>
          <w:iCs/>
        </w:rPr>
        <w:t>Much more than a market</w:t>
      </w:r>
      <w:r w:rsidRPr="008629D3">
        <w:t xml:space="preserve"> (Veliko več kot trg)</w:t>
      </w:r>
      <w:r w:rsidRPr="008629D3">
        <w:rPr>
          <w:rStyle w:val="FootnoteReference"/>
        </w:rPr>
        <w:footnoteReference w:id="17"/>
      </w:r>
      <w:r w:rsidRPr="008629D3">
        <w:t>,</w:t>
      </w:r>
    </w:p>
    <w:p w14:paraId="13A7BC7A" w14:textId="77777777" w:rsidR="005D3112" w:rsidRPr="008629D3" w:rsidRDefault="005D3112" w:rsidP="005D3112">
      <w:pPr>
        <w:pStyle w:val="NormalHanging12a"/>
      </w:pPr>
      <w:r w:rsidRPr="008629D3">
        <w:lastRenderedPageBreak/>
        <w:t>–</w:t>
      </w:r>
      <w:r w:rsidRPr="008629D3">
        <w:tab/>
        <w:t xml:space="preserve">ob upoštevanju poročila Maria Draghija z dne 9. septembra 2024 z naslovom </w:t>
      </w:r>
      <w:r w:rsidRPr="008629D3">
        <w:rPr>
          <w:i/>
          <w:iCs/>
        </w:rPr>
        <w:t xml:space="preserve">The future of European competitiveness </w:t>
      </w:r>
      <w:r w:rsidRPr="008629D3">
        <w:t>(Prihodnost evropske konkurenčnosti)</w:t>
      </w:r>
      <w:r w:rsidRPr="008629D3">
        <w:rPr>
          <w:rStyle w:val="FootnoteReference"/>
        </w:rPr>
        <w:footnoteReference w:id="18"/>
      </w:r>
      <w:r w:rsidRPr="008629D3">
        <w:t>,</w:t>
      </w:r>
    </w:p>
    <w:p w14:paraId="24F65F2D" w14:textId="77777777" w:rsidR="005D3112" w:rsidRPr="008629D3" w:rsidRDefault="005D3112" w:rsidP="005D3112">
      <w:pPr>
        <w:pStyle w:val="NormalHanging12a"/>
      </w:pPr>
      <w:r w:rsidRPr="008629D3">
        <w:t>–</w:t>
      </w:r>
      <w:r w:rsidRPr="008629D3">
        <w:tab/>
        <w:t>ob upoštevanju člena 55 Poslovnika,</w:t>
      </w:r>
    </w:p>
    <w:p w14:paraId="1AAE066F" w14:textId="77777777" w:rsidR="005D3112" w:rsidRPr="008629D3" w:rsidRDefault="005D3112" w:rsidP="005D3112">
      <w:pPr>
        <w:pStyle w:val="NormalHanging12a"/>
      </w:pPr>
      <w:r w:rsidRPr="008629D3">
        <w:t>–</w:t>
      </w:r>
      <w:r w:rsidRPr="008629D3">
        <w:tab/>
        <w:t>ob upoštevanju poročila Odbora za ekonomske in monetarne zadeve (A10</w:t>
      </w:r>
      <w:r w:rsidRPr="008629D3">
        <w:noBreakHyphen/>
        <w:t>0155/2025),</w:t>
      </w:r>
    </w:p>
    <w:p w14:paraId="213995EF" w14:textId="77777777" w:rsidR="005D3112" w:rsidRPr="008629D3" w:rsidRDefault="005D3112" w:rsidP="005D3112">
      <w:pPr>
        <w:pStyle w:val="NormalHanging12a"/>
      </w:pPr>
      <w:r w:rsidRPr="008629D3">
        <w:t>A.</w:t>
      </w:r>
      <w:r w:rsidRPr="008629D3">
        <w:tab/>
        <w:t>ker imajo uspešne, pravične in učinkovite davčne politike ključno vlogo pri spodbujanju dolgoročne trajnostne rasti in vključujočih družb;</w:t>
      </w:r>
    </w:p>
    <w:p w14:paraId="3939C1D9" w14:textId="77777777" w:rsidR="005D3112" w:rsidRPr="008629D3" w:rsidRDefault="005D3112" w:rsidP="005D3112">
      <w:pPr>
        <w:pStyle w:val="NormalHanging12a"/>
      </w:pPr>
      <w:r w:rsidRPr="008629D3">
        <w:t>B.</w:t>
      </w:r>
      <w:r w:rsidRPr="008629D3">
        <w:tab/>
        <w:t>ker so države članice EU v letu 2023 zbrale 6.712 milijard EUR davkov (vključno z obveznimi dejanskimi socialnimi prispevki), kar je 4,7 % več kot leta 2022</w:t>
      </w:r>
      <w:r w:rsidRPr="008629D3">
        <w:rPr>
          <w:rStyle w:val="FootnoteReference"/>
        </w:rPr>
        <w:footnoteReference w:id="19"/>
      </w:r>
      <w:r w:rsidRPr="008629D3">
        <w:t>;</w:t>
      </w:r>
    </w:p>
    <w:p w14:paraId="77CE7B5E" w14:textId="77777777" w:rsidR="005D3112" w:rsidRPr="008629D3" w:rsidRDefault="005D3112" w:rsidP="005D3112">
      <w:pPr>
        <w:pStyle w:val="NormalHanging12a"/>
      </w:pPr>
      <w:r w:rsidRPr="008629D3">
        <w:t>C.</w:t>
      </w:r>
      <w:r w:rsidRPr="008629D3">
        <w:tab/>
        <w:t>ker ima EU veliko naložbeno vrzel; ker je odprava te vrzeli bistvena za trajnostno gospodarsko rast, povečanje konkurenčnosti ter doseganje ciljev zelenega in digitalnega prehoda EU;</w:t>
      </w:r>
    </w:p>
    <w:p w14:paraId="475FC7AC" w14:textId="77777777" w:rsidR="005D3112" w:rsidRPr="008629D3" w:rsidRDefault="005D3112" w:rsidP="005D3112">
      <w:pPr>
        <w:pStyle w:val="NormalHanging12a"/>
      </w:pPr>
      <w:r w:rsidRPr="008629D3">
        <w:t>D.</w:t>
      </w:r>
      <w:r w:rsidRPr="008629D3">
        <w:tab/>
        <w:t>ker je davčna obremenitev (tj. celotni davčni prihodki kot delež BDP) v EU leta 2023 znašala 39 % BDP, kar je nekoliko manj kot leta 2022</w:t>
      </w:r>
      <w:r w:rsidRPr="008629D3">
        <w:rPr>
          <w:rStyle w:val="FootnoteReference"/>
        </w:rPr>
        <w:footnoteReference w:id="20"/>
      </w:r>
      <w:r w:rsidRPr="008629D3">
        <w:t>, vendar je to še vedno precej velik delež;</w:t>
      </w:r>
    </w:p>
    <w:p w14:paraId="407BFB82" w14:textId="77777777" w:rsidR="005D3112" w:rsidRPr="008629D3" w:rsidRDefault="005D3112" w:rsidP="005D3112">
      <w:pPr>
        <w:pStyle w:val="NormalHanging12a"/>
      </w:pPr>
      <w:r w:rsidRPr="008629D3">
        <w:t>E.</w:t>
      </w:r>
      <w:r w:rsidRPr="008629D3">
        <w:tab/>
        <w:t>ker ocene kažejo, da svetovni nepobrani davčni prihodki znašajo približno 500 milijard EUR, pri čemer 100 milijard EUR ni pobrano v območju EU; ker na dodatne prihodke vplivajo primeri neizpolnjevanja davčnih obveznosti in strategije agresivnega davčnega načrtovanja; ker so države članice zaradi teh izgub prikrajšane za znatna javna finančna sredstva;</w:t>
      </w:r>
    </w:p>
    <w:p w14:paraId="6F6C84E3" w14:textId="77777777" w:rsidR="005D3112" w:rsidRPr="008629D3" w:rsidRDefault="005D3112" w:rsidP="005D3112">
      <w:pPr>
        <w:pStyle w:val="NormalHanging12a"/>
      </w:pPr>
      <w:r w:rsidRPr="008629D3">
        <w:t>F.</w:t>
      </w:r>
      <w:r w:rsidRPr="008629D3">
        <w:tab/>
        <w:t>ker je leta 2023 delež prihodkov iz DDV v BDP znašal 7,1 % BDP EU in 18, 3 % skupnih javnofinančnih prihodkov</w:t>
      </w:r>
      <w:r w:rsidRPr="008629D3">
        <w:rPr>
          <w:rStyle w:val="FootnoteReference"/>
        </w:rPr>
        <w:footnoteReference w:id="21"/>
      </w:r>
      <w:r w:rsidRPr="008629D3">
        <w:t>;</w:t>
      </w:r>
    </w:p>
    <w:p w14:paraId="3132F06D" w14:textId="77777777" w:rsidR="005D3112" w:rsidRPr="008629D3" w:rsidRDefault="005D3112" w:rsidP="005D3112">
      <w:pPr>
        <w:pStyle w:val="NormalHanging12a"/>
      </w:pPr>
      <w:r w:rsidRPr="008629D3">
        <w:t>G.</w:t>
      </w:r>
      <w:r w:rsidRPr="008629D3">
        <w:tab/>
        <w:t>ker je po podatkih Komisije</w:t>
      </w:r>
      <w:r w:rsidRPr="008629D3">
        <w:rPr>
          <w:rStyle w:val="FootnoteReference"/>
        </w:rPr>
        <w:footnoteReference w:id="22"/>
      </w:r>
      <w:r w:rsidRPr="008629D3">
        <w:t xml:space="preserve"> samo vrzel pri izpolnjevanju obveznosti v zvezi z DDV v letu 2022 znašala 89,3 milijarde EUR ali približno 7 % skupnih pričakovanih prihodkov iz naslova DDV; ker je po ocenah četrtina vrzeli pri izpolnjevanju obveznosti v zvezi z DDV neposredno povezana s kaznivimi dejanji goljufij na področju DDV</w:t>
      </w:r>
      <w:r w:rsidRPr="008629D3">
        <w:rPr>
          <w:rStyle w:val="FootnoteReference"/>
        </w:rPr>
        <w:footnoteReference w:id="23"/>
      </w:r>
      <w:r w:rsidRPr="008629D3">
        <w:t>;</w:t>
      </w:r>
    </w:p>
    <w:p w14:paraId="0A3E5819" w14:textId="77777777" w:rsidR="005D3112" w:rsidRPr="008629D3" w:rsidRDefault="005D3112" w:rsidP="005D3112">
      <w:pPr>
        <w:pStyle w:val="NormalHanging12a"/>
      </w:pPr>
      <w:r w:rsidRPr="008629D3">
        <w:lastRenderedPageBreak/>
        <w:t>H.</w:t>
      </w:r>
      <w:r w:rsidRPr="008629D3">
        <w:tab/>
        <w:t>ker se države članice različno zanašajo na obdavčitev ter se razlikujejo po davkih, ki jih pobirajo za zbiranje teh prihodkov, in načinih, kako so v zadnjem desetletju spremenile svojo davčno mešanico</w:t>
      </w:r>
      <w:r w:rsidRPr="008629D3">
        <w:rPr>
          <w:rStyle w:val="FootnoteReference"/>
        </w:rPr>
        <w:footnoteReference w:id="24"/>
      </w:r>
      <w:r w:rsidRPr="008629D3">
        <w:t>;</w:t>
      </w:r>
    </w:p>
    <w:p w14:paraId="14C66A09" w14:textId="77777777" w:rsidR="005D3112" w:rsidRPr="008629D3" w:rsidRDefault="005D3112" w:rsidP="005D3112">
      <w:pPr>
        <w:pStyle w:val="NormalHanging12a"/>
      </w:pPr>
      <w:r w:rsidRPr="008629D3">
        <w:t>I.</w:t>
      </w:r>
      <w:r w:rsidRPr="008629D3">
        <w:tab/>
        <w:t>ker stroški izpolnjevanja davčnih obveznosti pomenijo dodatno finančno breme za podjetja poleg same davčne obveznosti, saj to zahteva preusmeritev časa in virov od drugih naložbenih priložnosti;</w:t>
      </w:r>
    </w:p>
    <w:p w14:paraId="1ADEA287" w14:textId="77777777" w:rsidR="005D3112" w:rsidRPr="008629D3" w:rsidRDefault="005D3112" w:rsidP="005D3112">
      <w:pPr>
        <w:pStyle w:val="NormalHanging12a"/>
      </w:pPr>
      <w:r w:rsidRPr="008629D3">
        <w:t>J.</w:t>
      </w:r>
      <w:r w:rsidRPr="008629D3">
        <w:tab/>
        <w:t>ker skupni stroški izpolnjevanja davčnih obveznosti v 27 državah članicah EU in Združenem kraljestvu po ocenah znašajo 204 milijarde EUR, kar ustreza 1,3 % njihovega skupnega BDP; ker veliko večino teh stroškov nosijo mikropodjetja (87 %), ki jim sledijo mala podjetja (10 %), kar pomeni nesorazmerno upravno breme za manjša podjetja</w:t>
      </w:r>
      <w:r w:rsidRPr="008629D3">
        <w:rPr>
          <w:rStyle w:val="FootnoteReference"/>
        </w:rPr>
        <w:footnoteReference w:id="25"/>
      </w:r>
      <w:r w:rsidRPr="008629D3">
        <w:t>;</w:t>
      </w:r>
    </w:p>
    <w:p w14:paraId="6A0DE4EA" w14:textId="77777777" w:rsidR="005D3112" w:rsidRPr="008629D3" w:rsidRDefault="005D3112" w:rsidP="005D3112">
      <w:pPr>
        <w:pStyle w:val="NormalHanging12a"/>
      </w:pPr>
      <w:r w:rsidRPr="008629D3">
        <w:t>K.</w:t>
      </w:r>
      <w:r w:rsidRPr="008629D3">
        <w:tab/>
        <w:t>ker se države članice soočajo z velikimi izzivi, ki bi lahko vplivali na njihove davčne prihodke in davčno mešanico, kot so velike demografske spremembe, podnebna kriza, digitalizacija in avtomatizacija;</w:t>
      </w:r>
    </w:p>
    <w:p w14:paraId="3213D6FA" w14:textId="77777777" w:rsidR="005D3112" w:rsidRPr="008629D3" w:rsidRDefault="005D3112" w:rsidP="005D3112">
      <w:pPr>
        <w:pStyle w:val="NormalHanging12a"/>
      </w:pPr>
      <w:r w:rsidRPr="008629D3">
        <w:t>L.</w:t>
      </w:r>
      <w:r w:rsidRPr="008629D3">
        <w:tab/>
        <w:t>ker je v skladu s Pogodbama obdavčevanje predvsem v pristojnosti držav članic;</w:t>
      </w:r>
    </w:p>
    <w:p w14:paraId="3E2AF2DD" w14:textId="77777777" w:rsidR="005D3112" w:rsidRPr="008629D3" w:rsidRDefault="005D3112" w:rsidP="005D3112">
      <w:pPr>
        <w:pStyle w:val="NormalHanging12a"/>
      </w:pPr>
      <w:r w:rsidRPr="008629D3">
        <w:t>M.</w:t>
      </w:r>
      <w:r w:rsidRPr="008629D3">
        <w:tab/>
        <w:t>ker so vse večja mobilnost kapitala ter splošni trend globalizacije in digitalizacije v zadnjih desetletjih nenamerno vplivali na to, da so posamezne države postopoma postajale vedno bolj omejene pri zagotavljanju učinkovitosti davčnih politik;</w:t>
      </w:r>
    </w:p>
    <w:p w14:paraId="10B3CB0D" w14:textId="77777777" w:rsidR="005D3112" w:rsidRPr="008629D3" w:rsidRDefault="005D3112" w:rsidP="005D3112">
      <w:pPr>
        <w:pStyle w:val="NormalHanging12a"/>
      </w:pPr>
      <w:r w:rsidRPr="008629D3">
        <w:t>N.</w:t>
      </w:r>
      <w:r w:rsidRPr="008629D3">
        <w:tab/>
        <w:t>ker je Komisija v študiji iz leta 2022 ocenila, da so imela v letu 2019 podjetja v takratnih 28 državah članicah EU povprečne letne stroške izpolnjevanja davčnih obveznosti v višini 1,9 % svojega prometa; ker so podjetja navedla, da sta med različnimi davki tista z največjim bremenom glede izpolnjevanja obveznosti DDV in davek od dohodkov pravnih oseb;</w:t>
      </w:r>
    </w:p>
    <w:p w14:paraId="5C815F21" w14:textId="77777777" w:rsidR="005D3112" w:rsidRPr="008629D3" w:rsidRDefault="005D3112" w:rsidP="005D3112">
      <w:pPr>
        <w:pStyle w:val="NormalHanging12a"/>
      </w:pPr>
      <w:r w:rsidRPr="008629D3">
        <w:t>O.</w:t>
      </w:r>
      <w:r w:rsidRPr="008629D3">
        <w:tab/>
        <w:t>ker Mario Draghi v celovitem poročilu o gospodarskem položaju v EU opozarja na zmanjšanje produktivnost in konkurenčnosti EU ter da EU čaka počasno in boleče nazadovanje, če ne bo sprejela odločnih ukrepov, hkrati pa poudarja, da mora EU sprejeti usklajene politične ukrepe, med drugim na primer odpraviti nepotrebne ovire in zmanjšati birokratske prepreke, povezane z obdavčitvijo;</w:t>
      </w:r>
    </w:p>
    <w:p w14:paraId="6A2B51AC" w14:textId="77777777" w:rsidR="005D3112" w:rsidRPr="008629D3" w:rsidRDefault="005D3112" w:rsidP="005D3112">
      <w:pPr>
        <w:pStyle w:val="NormalHanging12a"/>
      </w:pPr>
      <w:r w:rsidRPr="008629D3">
        <w:t>P.</w:t>
      </w:r>
      <w:r w:rsidRPr="008629D3">
        <w:tab/>
        <w:t xml:space="preserve">ker razdrobljenost davčne politike in preveč zapletena zasnova davčne politike ustvarjata različne ovire za podjetja in državljane na enotnem trgu, kot so pravna negotovost, birokracija, tveganje dvojne obdavčitve in težave pri uveljavljanju vračila davka; ker takšne ovire odvračajo od čezmejne gospodarske dejavnosti na enotnem trgu in ustvarjajo tveganja za davčne organe, kot so dvojno neobdavčevanje in priložnosti za </w:t>
      </w:r>
      <w:r w:rsidRPr="008629D3">
        <w:lastRenderedPageBreak/>
        <w:t>davčno arbitražo; ker Mario Draghi v svojem celovitem poročilu poudarja tudi, da je treba za zmanjšanje razdrobljenosti kapitalskega trga odpraviti vse davčne ovire za čezmejne naložbe v EU in da bi morali imeti državljani EU možnost vlagati v druge države članice brez zapletenih postopkov obdavčevanja, ki dejansko vodijo v dvojno obdavčevanje;</w:t>
      </w:r>
    </w:p>
    <w:p w14:paraId="1AE927C7" w14:textId="77777777" w:rsidR="005D3112" w:rsidRPr="008629D3" w:rsidRDefault="005D3112" w:rsidP="005D3112">
      <w:pPr>
        <w:pStyle w:val="NormalHanging12a"/>
      </w:pPr>
      <w:r w:rsidRPr="008629D3">
        <w:t>Q.</w:t>
      </w:r>
      <w:r w:rsidRPr="008629D3">
        <w:tab/>
        <w:t>ker je v poročilu Lette poudarjeno, da je davčna razdrobljenost še vedno glavna ovira za podjetja v EU, zlasti za mala in srednja podjetja, in da je boljša usklajenost na podlagi sodelovanja pri davčnem okviru EU ključna za olajšanje prostega pretoka delavcev, blaga in storitev ter za podporo rasti in zasebnih naložb</w:t>
      </w:r>
      <w:r w:rsidRPr="008629D3">
        <w:rPr>
          <w:rStyle w:val="FootnoteReference"/>
        </w:rPr>
        <w:footnoteReference w:id="26"/>
      </w:r>
      <w:r w:rsidRPr="008629D3">
        <w:t>; ker je zanesljiva in pravična obdavčitev ključni instrument za ustvarjanje prihodkov, potrebnih za naložbe v storitve splošnega pomena in njihovo ohranjanje v vseh regijah EU;</w:t>
      </w:r>
    </w:p>
    <w:p w14:paraId="7DA7AD2B" w14:textId="77777777" w:rsidR="005D3112" w:rsidRPr="008629D3" w:rsidRDefault="005D3112" w:rsidP="005D3112">
      <w:pPr>
        <w:pStyle w:val="Normal12a24b"/>
      </w:pPr>
      <w:r w:rsidRPr="008629D3">
        <w:rPr>
          <w:rStyle w:val="BoldItalic"/>
        </w:rPr>
        <w:t>Obdavčitev in poslovno okolje</w:t>
      </w:r>
    </w:p>
    <w:p w14:paraId="24AB4D73" w14:textId="77777777" w:rsidR="005D3112" w:rsidRPr="008629D3" w:rsidRDefault="005D3112" w:rsidP="005D3112">
      <w:pPr>
        <w:pStyle w:val="NormalHanging12a"/>
      </w:pPr>
      <w:r w:rsidRPr="008629D3">
        <w:t>1.</w:t>
      </w:r>
      <w:r w:rsidRPr="008629D3">
        <w:tab/>
        <w:t>poudarja, da bi morala enostavna in predvidljiva davčna pravila davkoplačevalcem olajšati plačevanje davkov, vladam pa upravljanje in pobiranje prihodkov; poudarja, da je treba ustvariti EU, ki bo podpirala podjetja, ki bo omogočala spoštovanje veljavnih pravil ter v kateri bodo lahko proizvodni sektorji konkurirali in uspevali, delavci pa zaslužili pravično plačo ter v kateri se bo podpiral dvojni prehod; poudarja, da lahko prezapletena davčna pravila odvračajo od naložb, hkrati pa ugotavlja, da bi bilo treba pri oblikovanju davčne politike preprečiti izkrivljanje odločanja gospodarskih akterjev;</w:t>
      </w:r>
    </w:p>
    <w:p w14:paraId="5AC6EDF2" w14:textId="77777777" w:rsidR="005D3112" w:rsidRPr="008629D3" w:rsidRDefault="005D3112" w:rsidP="005D3112">
      <w:pPr>
        <w:pStyle w:val="NormalHanging12a"/>
      </w:pPr>
      <w:r w:rsidRPr="008629D3">
        <w:t>2.</w:t>
      </w:r>
      <w:r w:rsidRPr="008629D3">
        <w:tab/>
        <w:t>je globoko zaskrbljen zaradi grožnje davčni suverenosti EU, izražene v izjavah predsednika ZDA 2. aprila 2025 o DDV v državah članicah EU, ki je bila del utemeljitve za uvedbo carin na uvoz iz EU v ZDA; poudarja, da trgovinske vojne ogrožajo podjetja, ter poziva Komisijo in države članice, naj omejijo s tem povezane trgovinske pretrese in se posvetujejo z evropskimi deležniki pri sprejemanju odločitev v zvezi s takšnimi carinami;</w:t>
      </w:r>
    </w:p>
    <w:p w14:paraId="1CA34D75" w14:textId="77777777" w:rsidR="005D3112" w:rsidRPr="008629D3" w:rsidRDefault="005D3112" w:rsidP="005D3112">
      <w:pPr>
        <w:pStyle w:val="NormalHanging12a"/>
      </w:pPr>
      <w:r w:rsidRPr="008629D3">
        <w:t>3.</w:t>
      </w:r>
      <w:r w:rsidRPr="008629D3">
        <w:tab/>
        <w:t>poudarja, da so, kot je navedeno v Draghijevem poročilu, različna davčna pravila v EU velika ovira za vzpostavitev resnično enotnega trga; priznava, da mora davčni okvir EU strogo spoštovati načeli subsidiarnosti in sorazmernosti ter vključevati sodelovanje, da bi zmanjšali stroške izpolnjevanja obveznosti za podjetja; poudarja, da imajo države članice pravico, da svoje davčne sisteme prilagodijo svojim posebnim nacionalnim potrebam, pri tem pa spoštujejo skupne standarde, usklajujejo prizadevanja za boj proti davčnim goljufijam in utajam, zagotavljajo pravočasno izmenjavo informacij in spodbujajo enake konkurenčne pogoje; meni, da je te rezultate mogoče doseči zlasti z vzpostavitvijo ravnovesja med spoštovanjem nacionalnih pristojnosti in zagotavljanjem dosledne razlage;</w:t>
      </w:r>
    </w:p>
    <w:p w14:paraId="3FDF549A" w14:textId="77777777" w:rsidR="005D3112" w:rsidRPr="008629D3" w:rsidRDefault="005D3112" w:rsidP="005D3112">
      <w:pPr>
        <w:pStyle w:val="NormalHanging12a"/>
      </w:pPr>
      <w:r w:rsidRPr="008629D3">
        <w:t>4.</w:t>
      </w:r>
      <w:r w:rsidRPr="008629D3">
        <w:tab/>
        <w:t xml:space="preserve">poudarja, da znatnega napredka pri poenostavitvi izpolnjevanja davčnih obveznosti in odpravi upravnih ovir na notranjem trgu ni mogoče doseči samo s prizadevanji za harmonizacijo, temveč tudi s skupnimi orodji za izvajanje, na primer s standardiziranimi </w:t>
      </w:r>
      <w:r w:rsidRPr="008629D3">
        <w:lastRenderedPageBreak/>
        <w:t>predlogami za zbiranje podatkov in poročanje, smernicami Komisije ter dialogom in z izmenjavo dobre prakse med državami članicami;</w:t>
      </w:r>
    </w:p>
    <w:p w14:paraId="75BD5C47" w14:textId="77777777" w:rsidR="005D3112" w:rsidRPr="008629D3" w:rsidRDefault="005D3112" w:rsidP="005D3112">
      <w:pPr>
        <w:pStyle w:val="NormalHanging12a"/>
      </w:pPr>
      <w:r w:rsidRPr="008629D3">
        <w:t>5.</w:t>
      </w:r>
      <w:r w:rsidRPr="008629D3">
        <w:tab/>
        <w:t>ugotavlja, da so podjetja v EU, zlasti mala in srednja podjetja, ključna za gospodarsko rast in ustvarjanje delovnih mest po vsej celini; opozarja, da se mala in srednja podjetja zaradi zapletenih davčnih predpisov in razdrobljenih davčnih sistemov, ki povzročajo velika upravna bremena in stroške izpolnjevanja obveznosti, soočajo z velikimi fiskalnimi izzivi, pri čemer so stroški izpolnjevanja obveznosti za mala in srednja podjetja ocenjeni na približno 30 % plačanih davkov, medtem ko so za velika podjetja ocenjeni na približno 2 %, kar ovira rast in inovacije malih in srednjih podjetij; poziva Komisijo, naj v tesnem sodelovanju z nacionalnimi davčnimi organi oceni učinek sedanjih in prihodnjih predlogov na mala in srednja podjetja ter preuči rešitve za poenostavitev davčnih postopkov in zmanjšanje stroškov izpolnjevanja obveznosti; poleg tega poziva Komisijo, naj oceni, zakaj predlagana direktiva o uvedbi sistema davčnih pravil države sedeža za mala in srednja podjetja ni dobila podpore v Svetu, ter poziva h konkretnemu napredku in izvedljivim rešitvam za napredek na tem področju; poziva, naj se razvije celovit in uporabniku prijazen nabor orodij za mala in srednja ter zagonska podjetja, vključno s smernicami, predlogami in možnostmi samodejnega vlaganja napovedi za odmero DDV, davka od dohodkov pravnih oseb, davka na izplačane plače in druge obveznosti, ki bo prosto dostopen in se bo redno posodabljal;</w:t>
      </w:r>
    </w:p>
    <w:p w14:paraId="7C8A02CE" w14:textId="77777777" w:rsidR="005D3112" w:rsidRPr="008629D3" w:rsidRDefault="005D3112" w:rsidP="005D3112">
      <w:pPr>
        <w:pStyle w:val="NormalHanging12a"/>
      </w:pPr>
      <w:r w:rsidRPr="008629D3">
        <w:t>6.</w:t>
      </w:r>
      <w:r w:rsidRPr="008629D3">
        <w:tab/>
        <w:t>je seznanjen z Draghijevim poročilom o predlogih za obdavčitev posameznih sektorjev, zlasti s priporočili o znižanju stroškov za porabo električne energije, ne da bi pri tem ogrozili konkurenčnost EU, ovirali naložbe, škodovali ustvarjanju delovnih mest ali oslabili zaupanje podjetij; v zvezi s tem je seznanjen z neformalno razpravo finančnih ministrov EU iz januarja 2025 o visokih cenah energije in njihovem prednostnem razvrščanju; je seznanjen s tekočim delom v zvezi z revizijo direktive o obdavčitvi energije</w:t>
      </w:r>
      <w:r w:rsidRPr="008629D3">
        <w:rPr>
          <w:rStyle w:val="FootnoteReference"/>
        </w:rPr>
        <w:footnoteReference w:id="27"/>
      </w:r>
      <w:r w:rsidRPr="008629D3">
        <w:t>, pri čemer poudarja pomen podnebnih ambicij, sedanjih gospodarskih razmer, visokih cen energije in potreb po povezljivosti;</w:t>
      </w:r>
    </w:p>
    <w:p w14:paraId="559A9225" w14:textId="77777777" w:rsidR="005D3112" w:rsidRPr="008629D3" w:rsidRDefault="005D3112" w:rsidP="005D3112">
      <w:pPr>
        <w:pStyle w:val="Normal12a24b"/>
      </w:pPr>
      <w:r w:rsidRPr="008629D3">
        <w:rPr>
          <w:rStyle w:val="BoldItalic"/>
        </w:rPr>
        <w:t>Konkurenčnost in gospodarski razvoj</w:t>
      </w:r>
    </w:p>
    <w:p w14:paraId="25E57248" w14:textId="77777777" w:rsidR="005D3112" w:rsidRPr="008629D3" w:rsidRDefault="005D3112" w:rsidP="005D3112">
      <w:pPr>
        <w:pStyle w:val="NormalHanging12a"/>
      </w:pPr>
      <w:r w:rsidRPr="008629D3">
        <w:t>7.</w:t>
      </w:r>
      <w:r w:rsidRPr="008629D3">
        <w:tab/>
        <w:t>poudarja, da je konkurenčnost širok pojem, ki se nanaša na stopnjo produktivnosti, ta pa lahko spodbudi trajnostno rast ter posledično dohodek in blaginjo za vse; poudarja, da konkurenčno gospodarstvo ni le podjetjem prijazno, temveč omogoča tudi visoko stopnjo zaposlenosti in družbene blaginje, inovacijske zmogljivosti, ustrezne možnosti izobraževanja in infrastrukturo ter močne institucije in standarde pravne države; priznava, da je učinkovita in uspešna obdavčitev, vključno z ukrepi za omejitev škodljive davčne konkurence in tekmovanja v zniževanju standardov z vidika davčnih stopenj, bistvena za ustvarjanje javnih sredstev, potrebnih za trajnostne javne in zasebne naložbe, ki bodo okrepile konkurenčnost EU, pa tudi njeno socialno in ekonomsko kohezijo ter rast;</w:t>
      </w:r>
    </w:p>
    <w:p w14:paraId="6E5DE9A7" w14:textId="77777777" w:rsidR="005D3112" w:rsidRPr="008629D3" w:rsidRDefault="005D3112" w:rsidP="005D3112">
      <w:pPr>
        <w:pStyle w:val="NormalHanging12a"/>
      </w:pPr>
      <w:r w:rsidRPr="008629D3">
        <w:t>8.</w:t>
      </w:r>
      <w:r w:rsidRPr="008629D3">
        <w:tab/>
        <w:t xml:space="preserve">pozdravlja sklepe Evropskega sveta o novem dogovoru o evropski konkurenčnosti; v zvezi s tem obžaluje, da za izboljšanje evropske konkurenčnosti ni bilo upoštevano področje obdavčitve; poziva k boljšemu sodelovanju na davčnem področju v EU, in sicer z zmanjšanjem razdrobljenosti in zapletenosti ter tesnejšim sodelovanjem in </w:t>
      </w:r>
      <w:r w:rsidRPr="008629D3">
        <w:lastRenderedPageBreak/>
        <w:t>zaupanjem med državami članicami, saj je to bistveno, da bi evropsko gospodarstvo postalo bolj konkurenčno;</w:t>
      </w:r>
    </w:p>
    <w:p w14:paraId="23D9A009" w14:textId="77777777" w:rsidR="005D3112" w:rsidRPr="008629D3" w:rsidRDefault="005D3112" w:rsidP="005D3112">
      <w:pPr>
        <w:pStyle w:val="NormalHanging12a"/>
      </w:pPr>
      <w:r w:rsidRPr="008629D3">
        <w:t>9.</w:t>
      </w:r>
      <w:r w:rsidRPr="008629D3">
        <w:tab/>
        <w:t>poziva Komisijo in države članice, naj se dogovorijo o usklajenem pristopu, da bi se izboljšala preglednost javnofinančnih davčnih odhodkov in da bi se zagotovilo, da se z njimi stroškovno učinkovito dosega želene politične cilje v skladu s skupnimi cilji in prednostnimi nalogami EU, pri tem pa takšen pristop ne bi smel imeti nepričakovanih ali negativnih učinkov na notranji trg ter ponujati priložnosti za davčne utaje in agresivno davčno načrtovanje;</w:t>
      </w:r>
    </w:p>
    <w:p w14:paraId="6EDD3030" w14:textId="77777777" w:rsidR="005D3112" w:rsidRPr="008629D3" w:rsidRDefault="005D3112" w:rsidP="005D3112">
      <w:pPr>
        <w:pStyle w:val="NormalHanging12a"/>
      </w:pPr>
      <w:r w:rsidRPr="008629D3">
        <w:t>10.</w:t>
      </w:r>
      <w:r w:rsidRPr="008629D3">
        <w:tab/>
        <w:t>pozdravlja sklepe Evropskega sveta o prečiščenju in poenostavitvi davčnih pravil; poudarja, da bi se morale prihodnje pobude EU na področju obdavčevanja prednostno osredotočiti na upravno poenostavitev, (po potrebi) odpravo prekrivajočih se davčnih pravil, povečanje jasnosti in racionalizacijo uporabe davčnih pravil ter odpravljanje ugotovljenih razlik ali neučinkovitih elementov, ki bi lahko ovirali delovanje enotnega trga; poudarja, da bi morala Komisija olajševati in spodbujati tesnejše sodelovanje med državami članicami in nacionalnimi davčnimi upravami, da bi omogočila doslednejšo razlago zakonodaje o neposrednih in posrednih davkih;</w:t>
      </w:r>
    </w:p>
    <w:p w14:paraId="368EA71C" w14:textId="77777777" w:rsidR="005D3112" w:rsidRPr="008629D3" w:rsidRDefault="005D3112" w:rsidP="005D3112">
      <w:pPr>
        <w:pStyle w:val="NormalHanging12a"/>
      </w:pPr>
      <w:r w:rsidRPr="008629D3">
        <w:t>11.</w:t>
      </w:r>
      <w:r w:rsidRPr="008629D3">
        <w:tab/>
        <w:t>je seznanjen z raziskavo, ki jo je leta 2022 opravilo Skupno raziskovalno središče Komisije in v kateri je bilo ugotovljeno, da lahko prihodki v lokalne proračune iz naslova davkov na lokalne gospodarske dejavnosti delujejo kot spodbuda za občine, da delujejo lokalno in spodbujajo lokalne gospodarske dejavnosti; v zvezi s tem poziva Komisijo, naj okrepi raziskave in sodeluje pri vzajemnem učenju z državami članicami, da bi občine spodbudila k skrbi za njihova podjetja, s čimer bi se sprostil neizkoriščen potencial za večjo gospodarsko rast po vsej EU;</w:t>
      </w:r>
    </w:p>
    <w:p w14:paraId="19ADB8D0" w14:textId="77777777" w:rsidR="005D3112" w:rsidRPr="008629D3" w:rsidRDefault="005D3112" w:rsidP="005D3112">
      <w:pPr>
        <w:pStyle w:val="NormalHanging12a"/>
      </w:pPr>
      <w:r w:rsidRPr="008629D3">
        <w:t>12.</w:t>
      </w:r>
      <w:r w:rsidRPr="008629D3">
        <w:tab/>
        <w:t>poudarja, da lahko dobro zasnovane in upravičene davčne spodbude z ekonomsko vsebino in socialno-ekonomskimi koristmi podpirajo gospodarske dejavnosti, ki spodbujajo javne cilje, vključno z obrobnimi in geografsko prikrajšanimi območji v EU; ugotavlja, da davčne spodbude ne bi smele biti le v skladu s Pogodbama in omejitvami v zvezi s fiskalnim manevrskim prostorom, temveč tudi ne bi smele povzročiti razdrobljenosti notranjega trga, ter poziva k naboru orodij za zagotavljanje dialoga, preglednosti in usklajevanja med državami članicami glede davčnih spodbud; pozdravlja, da namerava Komisija izdati nezavezujoče smernice o davčnih spodbudah, in poziva k nadaljnji študiji o učinku izvajanja pravil drugega stebra OECD na davčne spodbude ter pripravi priporočila za zagotovitev njihove učinkovitosti v okviru drugega stebra; poudarja, kako pomembno je poskrbeti, da davčne spodbude ostanejo skladne z okvirom EU za državno pomoč; opozarja na zaveze EU glede podnebnih sprememb in stalno podporo Parlamenta tem ciljem ter poziva Komisijo in države članice, naj uskladijo prizadevanja in preučijo morebitne koristi davčnih spodbud za zelene naložbe;</w:t>
      </w:r>
    </w:p>
    <w:p w14:paraId="3897BCA9" w14:textId="77777777" w:rsidR="005D3112" w:rsidRPr="008629D3" w:rsidRDefault="005D3112" w:rsidP="005D3112">
      <w:pPr>
        <w:pStyle w:val="NormalHanging12a"/>
      </w:pPr>
      <w:r w:rsidRPr="008629D3">
        <w:t>13.</w:t>
      </w:r>
      <w:r w:rsidRPr="008629D3">
        <w:tab/>
        <w:t>opozarja, da več zakonodajnih pobud na področju obdavčitve ne napreduje; v zvezi s tem poudarja, da je treba podjetjem v EU omogočiti pravno varnost in predvidljivost; je seznanjen s pojasnili Komisije o tem, katere pobude na področju obdavčitve bodo umaknjene;</w:t>
      </w:r>
    </w:p>
    <w:p w14:paraId="302D629B" w14:textId="77777777" w:rsidR="005D3112" w:rsidRPr="008629D3" w:rsidRDefault="005D3112" w:rsidP="005D3112">
      <w:pPr>
        <w:pStyle w:val="Normal12a24b"/>
      </w:pPr>
      <w:r w:rsidRPr="008629D3">
        <w:rPr>
          <w:rStyle w:val="BoldItalic"/>
        </w:rPr>
        <w:t>Poenostavitev davčnih pravil in digitalizacija</w:t>
      </w:r>
    </w:p>
    <w:p w14:paraId="582CAB86" w14:textId="77777777" w:rsidR="005D3112" w:rsidRPr="008629D3" w:rsidRDefault="005D3112" w:rsidP="005D3112">
      <w:pPr>
        <w:pStyle w:val="NormalHanging12a"/>
      </w:pPr>
      <w:r w:rsidRPr="008629D3">
        <w:t>14.</w:t>
      </w:r>
      <w:r w:rsidRPr="008629D3">
        <w:tab/>
        <w:t xml:space="preserve">opozarja, da je prednostna naloga Komisije zagotoviti poenostavitev poslovanja v vseh politikah, vključno z obdavčitvijo v okviru njenih pristojnosti, da bi se zahteve glede </w:t>
      </w:r>
      <w:r w:rsidRPr="008629D3">
        <w:lastRenderedPageBreak/>
        <w:t>poročanja zmanjšale za vsaj 25 % (za mala in srednja podjetja pa za vsaj 35 %); v zvezi s tem poziva Komisijo, naj v tesnem in stalnem dialogu z državami članicami sistematično izvaja predhodne ocene učinka vseh novih zakonodajnih predlogov, povezanih z davki, ter preveri konkurenčnost sedanjih ukrepov, da bi količinsko opredelila pričakovano zmanjšanje upravnih bremen in zagotovila, da bodo nova pravila usklajena s cilji EU glede gospodarske rasti ter zelenega in digitalnega prehoda;</w:t>
      </w:r>
    </w:p>
    <w:p w14:paraId="44BD1E01" w14:textId="77777777" w:rsidR="005D3112" w:rsidRPr="008629D3" w:rsidRDefault="005D3112" w:rsidP="005D3112">
      <w:pPr>
        <w:pStyle w:val="NormalHanging12a"/>
      </w:pPr>
      <w:r w:rsidRPr="008629D3">
        <w:t>15.</w:t>
      </w:r>
      <w:r w:rsidRPr="008629D3">
        <w:tab/>
        <w:t>poziva Komisijo, naj ugotovi in odpravi vse primere podvajanja pri poročanju ter vzpostavi sistem za učinkovito izmenjavo podatkov med davčnimi upravami, s čimer bi davkoplačevalce razbremenila obveznosti dvojnega poročanja; v zvezi s tem ugotavlja, da bi lahko na preprost način dosegli koristne izboljšave, na primer s spremembo Direktive (EU) 2021/2101</w:t>
      </w:r>
      <w:r w:rsidRPr="008629D3">
        <w:rPr>
          <w:rStyle w:val="FootnoteReference"/>
        </w:rPr>
        <w:footnoteReference w:id="28"/>
      </w:r>
      <w:r w:rsidRPr="008629D3">
        <w:t xml:space="preserve"> o javnem poročanju po državah, da bi bila pravila EU enakovredna standardu poročanja o davčnih zadevah Global Reporting Initiative 207; poziva Komisijo, naj oceni prednosti te enakovrednosti;</w:t>
      </w:r>
    </w:p>
    <w:p w14:paraId="2634DC8A" w14:textId="77777777" w:rsidR="005D3112" w:rsidRPr="008629D3" w:rsidRDefault="005D3112" w:rsidP="005D3112">
      <w:pPr>
        <w:pStyle w:val="NormalHanging12a"/>
      </w:pPr>
      <w:r w:rsidRPr="008629D3">
        <w:t>16.</w:t>
      </w:r>
      <w:r w:rsidRPr="008629D3">
        <w:tab/>
        <w:t>poziva Komisijo in države članice, naj poenostavijo davčne obveznosti za obrambno industrijo z razširitvijo in poenostavitvijo oprostitev plačila DDV za javna naročila v okviru skupnih obrambnih pobud EU;</w:t>
      </w:r>
    </w:p>
    <w:p w14:paraId="54FD5B3F" w14:textId="77777777" w:rsidR="005D3112" w:rsidRPr="008629D3" w:rsidRDefault="005D3112" w:rsidP="005D3112">
      <w:pPr>
        <w:pStyle w:val="NormalHanging12a"/>
      </w:pPr>
      <w:r w:rsidRPr="008629D3">
        <w:t>17.</w:t>
      </w:r>
      <w:r w:rsidRPr="008629D3">
        <w:tab/>
        <w:t>poziva k vzpostavitvi vozlišča EU za davčne podatke, da bi izboljšali samodejno izmenjavo davčnih informacij in zmanjšali upravna bremena; spodbuja Komisijo in države članice, naj se oprejo na obstoječa orodja, kot sta sistem za izmenjavo informacij o DDV (VIES) ter sistem za gibanje in nadzor trošarinskega blaga (EMCS), ter preučijo, ali bi lahko njihovo uporabo razširili na področja, kot je neposredna obdavčitev; poudarja, da bi moralo takšno vozlišče omogočati skupno analizo informacij, pomembnih za postopek nadzora obdavčitve s čezmejno komponento, preprečevati podvajanje in se uporabljati kot enotna točka dostopa za davčne uprave po vsej EU;</w:t>
      </w:r>
    </w:p>
    <w:p w14:paraId="16A253CF" w14:textId="77777777" w:rsidR="005D3112" w:rsidRPr="008629D3" w:rsidRDefault="005D3112" w:rsidP="005D3112">
      <w:pPr>
        <w:pStyle w:val="NormalHanging12a"/>
      </w:pPr>
      <w:r w:rsidRPr="008629D3">
        <w:t>18.</w:t>
      </w:r>
      <w:r w:rsidRPr="008629D3">
        <w:tab/>
        <w:t>poudarja ključno vlogo, ki jo lahko ima elektronsko izdajanje računov pri povečanju preglednosti, zmanjšanju upravnih bremen ter omogočanju praktične in učinkovite uporabe sporočenih podatkov;</w:t>
      </w:r>
    </w:p>
    <w:p w14:paraId="6C75F075" w14:textId="77777777" w:rsidR="005D3112" w:rsidRPr="008629D3" w:rsidRDefault="005D3112" w:rsidP="005D3112">
      <w:pPr>
        <w:pStyle w:val="NormalHanging12a"/>
      </w:pPr>
      <w:r w:rsidRPr="008629D3">
        <w:t>19.</w:t>
      </w:r>
      <w:r w:rsidRPr="008629D3">
        <w:tab/>
        <w:t>opozarja, da davčne uprave brez zanesljivega poročanja ne bi imele osnovnih informacij, potrebnih za odkrivanje, preiskovanje in preprečevanje nezakonitih davčnih praks; poudarja, da je dostop do pravočasnih in celovitih davčnih podatkov bistven za pravičnost davčnih sistemov in zaščito javnih prihodkov;</w:t>
      </w:r>
    </w:p>
    <w:p w14:paraId="0396A48E" w14:textId="77777777" w:rsidR="005D3112" w:rsidRPr="008629D3" w:rsidRDefault="005D3112" w:rsidP="005D3112">
      <w:pPr>
        <w:pStyle w:val="NormalHanging12a"/>
      </w:pPr>
      <w:r w:rsidRPr="008629D3">
        <w:t>20.</w:t>
      </w:r>
      <w:r w:rsidRPr="008629D3">
        <w:tab/>
        <w:t>priznava, da če želimo upravičiti stroške izpolnjevanja zahtev glede poročanja, morajo biti davčne uprave dobro financirane in učinkovite ter imeti ustrezno usposobljeno osebje in sodobno digitalno infrastrukturo; poudarja, da je treba vlagati v zmogljivosti davčnih organov, da bi se obstoječe obveznosti poročanja v celoti izkoristile;</w:t>
      </w:r>
    </w:p>
    <w:p w14:paraId="45338C5D" w14:textId="77777777" w:rsidR="005D3112" w:rsidRPr="008629D3" w:rsidRDefault="005D3112" w:rsidP="005D3112">
      <w:pPr>
        <w:pStyle w:val="NormalHanging12a"/>
      </w:pPr>
      <w:r w:rsidRPr="008629D3">
        <w:t>21.</w:t>
      </w:r>
      <w:r w:rsidRPr="008629D3">
        <w:tab/>
        <w:t xml:space="preserve">opozarja, da so enostavna, stabilna in predvidljiva davčna pravila bistvena za konkurenčno gospodarstvo ter bodo prispevala k ustvarjanju delovnih mest in gospodarski rasti; poziva Komisijo, naj izda priporočila za poenostavljen in </w:t>
      </w:r>
      <w:r w:rsidRPr="008629D3">
        <w:lastRenderedPageBreak/>
        <w:t>konkurenčen davčni sistem, da bi se po potrebi zmanjšalo upravno breme za podjetja in državljane, na primer z enotno uporabo davčne identifikacijske številke v državah članicah in na področju davčnih spodbud; se zaveda, da sta davčna gotovost ter poenostavitev postopkov vračil in odbitkov ključni rešitvi za zmanjšanje upravnega bremena, zlasti za mala in srednja podjetja;</w:t>
      </w:r>
    </w:p>
    <w:p w14:paraId="659CAF23" w14:textId="343866E0" w:rsidR="005D3112" w:rsidRPr="008629D3" w:rsidRDefault="005D3112" w:rsidP="005D3112">
      <w:pPr>
        <w:pStyle w:val="NormalHanging12a"/>
      </w:pPr>
      <w:r w:rsidRPr="008629D3">
        <w:t>22.</w:t>
      </w:r>
      <w:r w:rsidRPr="008629D3">
        <w:tab/>
        <w:t>ugotavlja, kako pomembno je poenostaviti davčna pravila na vseh področjih; poudarja, da je treba povečati udeležbo malih vlagateljev na kapitalskih trgih s poenostavitvijo postopkov davčne napovedi za varčevalne in naložbene račune, zlasti kadar te račune spremljajo davčne spodbude; je seznanjen tudi s pilotnimi projekti Komisije o kooperativnem izpolnjevanju zahtev za podjetja, katerih cilj je zmanjšati revizije in izboljšati reševanje sporov za podjetja, ki dosegajo visoke standarde pri izpoln</w:t>
      </w:r>
      <w:r w:rsidR="0048013F" w:rsidRPr="008629D3">
        <w:t>j</w:t>
      </w:r>
      <w:r w:rsidRPr="008629D3">
        <w:t>evanju obveznosti;</w:t>
      </w:r>
    </w:p>
    <w:p w14:paraId="46F7CC5F" w14:textId="77777777" w:rsidR="005D3112" w:rsidRPr="008629D3" w:rsidRDefault="005D3112" w:rsidP="005D3112">
      <w:pPr>
        <w:pStyle w:val="NormalHanging12a"/>
      </w:pPr>
      <w:r w:rsidRPr="008629D3">
        <w:t>23.</w:t>
      </w:r>
      <w:r w:rsidRPr="008629D3">
        <w:tab/>
        <w:t>poudarja potencial digitalizacije, zlasti umetne inteligence, kot orodja za zmanjšanje upravnih bremen in stroškov izpolnjevanja obveznosti za podjetja, zlasti mala in srednja podjetja, ter za podporo odkrivanju goljufij na področju DDV, pri čemer je treba še vedno ohraniti človeški element za preverjanje kakovosti in zagotavljanje zaščitnih ukrepov pred tveganji diskriminacije; ugotavlja, da lahko digitalizacija izboljša tudi javno davčno upravo, če sta omogočena preglednost in zadosten nadzor nad avtomatiziranim sprejemanjem odločitev v zvezi z davki; poziva Komisijo in države članice, naj spodbujajo digitalizacijo in poenostavitev davčne uprave, hkrati pa tudi prostovoljno sodelovanje, usklajevanje ter izmenjavo primerov dobre prakse in strokovnega znanja med nacionalnimi organi, pri čemer naj Komisija deluje kot posrednik;</w:t>
      </w:r>
    </w:p>
    <w:p w14:paraId="2B683F9D" w14:textId="77777777" w:rsidR="005D3112" w:rsidRPr="008629D3" w:rsidRDefault="005D3112" w:rsidP="005D3112">
      <w:pPr>
        <w:pStyle w:val="NormalHanging12a"/>
      </w:pPr>
      <w:r w:rsidRPr="008629D3">
        <w:t>24.</w:t>
      </w:r>
      <w:r w:rsidRPr="008629D3">
        <w:tab/>
        <w:t>poudarja, da bi morale države članice dodeliti ustrezne človeške in finančne vire za izvajanje nove davčne zakonodaje in posodobitev davčnih uprav, zlasti z vlaganji v zaposlene, usposabljanje ter integrirane in interoperabilne informacijske sisteme, pa tudi s posvetovanji z zasebnim sektorjem; poziva Komisijo, naj v okviru programa Fiscalis poveča svojo podporo in preuči namenski program financiranja EU za nadaljnjo podporo takim naložbam;</w:t>
      </w:r>
    </w:p>
    <w:p w14:paraId="595D417A" w14:textId="77777777" w:rsidR="005D3112" w:rsidRPr="008629D3" w:rsidRDefault="005D3112" w:rsidP="005D3112">
      <w:pPr>
        <w:pStyle w:val="NormalHanging12a"/>
      </w:pPr>
      <w:r w:rsidRPr="008629D3">
        <w:t>25.</w:t>
      </w:r>
      <w:r w:rsidRPr="008629D3">
        <w:tab/>
        <w:t>poziva Komisijo, naj v okviru svojih pristojnosti ter v tesnem in stalnem dialogu z državami članicami oceni in poenostavi sedanji okvir DDV, da se zmanjša upravno breme, tudi za podjetja in organizacije skupnosti, okrepi konkurenčnost ter zmanjša razlika med pričakovanimi prihodki in dejansko pobranim zneskom (vrzel pri pobiranju DDV); ponovno poziva k poenostavljenemu in posodobljenemu sistemu DDV z omejitvami oprostitev in nestandardnih stopenj, da bi spodbudili pošteno konkurenco, zmanjšali stroške izpolnjevanja obveznosti in izboljšali prostovoljno izpolnjevanje obveznosti; je seznanjen s svežnjem o DDV v digitalni dobi in poziva Komisijo, naj izda jasne in dosledne smernice za podporo nemotenemu izvajanju Direktive (EU) 2025/516</w:t>
      </w:r>
      <w:r w:rsidRPr="008629D3">
        <w:rPr>
          <w:rStyle w:val="FootnoteReference"/>
        </w:rPr>
        <w:footnoteReference w:id="29"/>
      </w:r>
      <w:r w:rsidRPr="008629D3">
        <w:t xml:space="preserve">, zlasti v zvezi z zahtevo EU glede digitalnega poročanja; poudarja, da se vrzel pri izpolnjevanju obveznosti na področju DDV med državami članicami močno razlikuje, in pozdravlja sveženj o DDV v digitalni dobi kot orodje za povečanje preglednosti in zmanjšanje goljufij; poziva k usklajenemu izvajanju na nacionalni ravni, da se zagotovi skladnost in da je model sistema „vse na enem mestu“ za DDV učinkovit </w:t>
      </w:r>
      <w:r w:rsidRPr="008629D3">
        <w:lastRenderedPageBreak/>
        <w:t>in uporabniku prijazen, zlasti za mala in srednja podjetja; poziva k nadaljnjim reformam, da bi malim podjetjem olajšali elektronski vpis v register zavezancev za DDV in povečali digitalizacijo pobiranja DDV; poziva Komisijo, naj nadgradi in razširi sistem „vse na enem mestu“ za DDV za čezmejno elektronsko poslovanje med podjetji in potrošniki, da bi zmanjšala upravno breme in stroške izpolnjevanja obveznosti;</w:t>
      </w:r>
    </w:p>
    <w:p w14:paraId="69A5BE2F" w14:textId="77777777" w:rsidR="005D3112" w:rsidRPr="008629D3" w:rsidRDefault="005D3112" w:rsidP="005D3112">
      <w:pPr>
        <w:pStyle w:val="NormalHanging12a"/>
      </w:pPr>
      <w:r w:rsidRPr="008629D3">
        <w:t>26.</w:t>
      </w:r>
      <w:r w:rsidRPr="008629D3">
        <w:tab/>
        <w:t>ugotavlja, da se je nakupovalno vedenje v zadnjem desetletju močno spremenilo, saj se je med pandemijo covida-19 močno povečalo e-trgovanje, ki še ni upadlo; ugotavlja, da bi morali spletni nakupi zaradi elektronske revizijske sledi prispevati k večjemu izpolnjevanju obveznosti v zvezi z DDV, vendar je v poročilu Komisije o vrzeli pri pobiranju DDV za leto 2024 navedeno, da ta povezava ni tako jasna zaradi zapletenosti spletne prodaje; poziva Komisijo, naj oceni, ali pravni red na področju DDV glede na vse večjo priljubljenost elektronskega trgovanja ustreza svojemu namenu;</w:t>
      </w:r>
    </w:p>
    <w:p w14:paraId="167DFB40" w14:textId="77777777" w:rsidR="005D3112" w:rsidRPr="008629D3" w:rsidRDefault="005D3112" w:rsidP="005D3112">
      <w:pPr>
        <w:pStyle w:val="NormalHanging12a"/>
      </w:pPr>
      <w:r w:rsidRPr="008629D3">
        <w:t>27.</w:t>
      </w:r>
      <w:r w:rsidRPr="008629D3">
        <w:tab/>
        <w:t>poziva k izboljšanju Direktive Sveta 2008/9/ES</w:t>
      </w:r>
      <w:r w:rsidRPr="008629D3">
        <w:rPr>
          <w:rStyle w:val="FootnoteReference"/>
        </w:rPr>
        <w:footnoteReference w:id="30"/>
      </w:r>
      <w:r w:rsidRPr="008629D3">
        <w:t>; poudarja, da je treba preučiti možnost vključitve čezmejnih vračil DDV v sistem „vse na enem mestu“, da bi dodatno poenostavili izpolnjevanje obveznosti v zvezi z DDV za podjetja, ki se ukvarjajo s čezmejno trgovino, hkrati pa poskrbeli za uskladitev z obstoječimi obveznostmi v zvezi z DDV v državah članicah;</w:t>
      </w:r>
    </w:p>
    <w:p w14:paraId="7A1C887C" w14:textId="77777777" w:rsidR="005D3112" w:rsidRPr="008629D3" w:rsidRDefault="005D3112" w:rsidP="005D3112">
      <w:pPr>
        <w:pStyle w:val="NormalHanging12a"/>
      </w:pPr>
      <w:r w:rsidRPr="008629D3">
        <w:t>28.</w:t>
      </w:r>
      <w:r w:rsidRPr="008629D3">
        <w:tab/>
        <w:t>poziva k dosledni uporabi ključnih konceptov in racionalizaciji opredelitev za učinkovitejši sistem DDV, med drugim na primer k uporabi skupnih razlag za izraz instalirano in montirano blago, kot je opisano v členu 36 direktive o DDV</w:t>
      </w:r>
      <w:r w:rsidRPr="008629D3">
        <w:rPr>
          <w:rStyle w:val="FootnoteReference"/>
        </w:rPr>
        <w:footnoteReference w:id="31"/>
      </w:r>
      <w:r w:rsidRPr="008629D3">
        <w:t>, ter k dosledni uporabi opredelitev stalne poslovne enote ali drugih poslovnih enot;</w:t>
      </w:r>
    </w:p>
    <w:p w14:paraId="0C03EE74" w14:textId="77777777" w:rsidR="005D3112" w:rsidRPr="008629D3" w:rsidRDefault="005D3112" w:rsidP="005D3112">
      <w:pPr>
        <w:pStyle w:val="NormalHanging12a"/>
      </w:pPr>
      <w:r w:rsidRPr="008629D3">
        <w:t>29.</w:t>
      </w:r>
      <w:r w:rsidRPr="008629D3">
        <w:tab/>
        <w:t>poudarja, da je potreben bolj trajnosten in pravičen sistem DDV z nadaljnjim razmislekom o tem, kako bi se lahko stopnje DDV uporabljale za doseganje ciljev glede trajnostnosti; predlaga, naj Komisija oceni, ali je mogoče odpraviti DDV na blago, ki je brezplačno dobavljeno v socialno in okoljsko korist;</w:t>
      </w:r>
    </w:p>
    <w:p w14:paraId="0DDF840D" w14:textId="77777777" w:rsidR="005D3112" w:rsidRPr="008629D3" w:rsidRDefault="005D3112" w:rsidP="005D3112">
      <w:pPr>
        <w:pStyle w:val="NormalHanging12a"/>
      </w:pPr>
      <w:r w:rsidRPr="008629D3">
        <w:t>30.</w:t>
      </w:r>
      <w:r w:rsidRPr="008629D3">
        <w:tab/>
        <w:t>ugotavlja, da imajo znižane stopnje DDV sicer legitimen namen pri podpiranju širših socialnih in gospodarskih ciljev držav članic, vključno s podporo ranljivim članom družbe in otrokom, vendar njihova širša uporaba povečuje pravno negotovost in zapletenost davčnega sistema; poudarja, da lahko nižje stopnje DDV povzročijo znižanje cen za potrošnike, vendar je to odvisno tudi od drugih dejavnikov; zato meni, da bosta za namene poenostavitve koristna redno pregledovanje in ocenjevanje, katere nižje stopnje DDV so še vedno potrebne in učinkovite pri doseganju zastavljenih političnih ciljev držav članic;</w:t>
      </w:r>
    </w:p>
    <w:p w14:paraId="52D9AB22" w14:textId="77777777" w:rsidR="005D3112" w:rsidRPr="008629D3" w:rsidRDefault="005D3112" w:rsidP="005D3112">
      <w:pPr>
        <w:pStyle w:val="NormalHanging12a"/>
      </w:pPr>
      <w:r w:rsidRPr="008629D3">
        <w:t>31.</w:t>
      </w:r>
      <w:r w:rsidRPr="008629D3">
        <w:tab/>
        <w:t>ponavlja stališče Parlamenta o predlaganem sistemu davčnih pravil države sedeža za mala in srednja podjetja, predlagani direktivi „Unshell“ in predlaganih olajšavah za zmanjšanje naklonjenosti zadolževanju v razmerju do lastniškega kapitala (DEBRA);</w:t>
      </w:r>
    </w:p>
    <w:p w14:paraId="03870AFA" w14:textId="77777777" w:rsidR="005D3112" w:rsidRPr="008629D3" w:rsidRDefault="005D3112" w:rsidP="005D3112">
      <w:pPr>
        <w:pStyle w:val="NormalHanging12a"/>
      </w:pPr>
      <w:r w:rsidRPr="008629D3">
        <w:lastRenderedPageBreak/>
        <w:t>32.</w:t>
      </w:r>
      <w:r w:rsidRPr="008629D3">
        <w:tab/>
        <w:t>poudarja, da lahko zapletenost in razlike v interakciji med različnimi nacionalnimi davčnimi sistemi ustvarijo neenake konkurenčne pogoje in negativno vplivajo na delovanje notranjega trga; poudarja, da to lahko ovira čezmejne naložbe, kar je lahko še posebej neugodno za mala in srednja podjetja ter izključno domača podjetja, ki nimajo sredstev za sodelovanje v zapletenih shemah davčnega načrtovanja, in se zato soočajo z nepoštenim konkurenčnim okoljem, ki otežuje širitev;</w:t>
      </w:r>
    </w:p>
    <w:p w14:paraId="6EBCC134" w14:textId="77777777" w:rsidR="005D3112" w:rsidRPr="008629D3" w:rsidRDefault="005D3112" w:rsidP="005D3112">
      <w:pPr>
        <w:pStyle w:val="NormalHanging12a"/>
      </w:pPr>
      <w:r w:rsidRPr="008629D3">
        <w:t>33.</w:t>
      </w:r>
      <w:r w:rsidRPr="008629D3">
        <w:tab/>
        <w:t>je seznanjen z delom, opravljenim v zvezi s predlogom „Poslovanje v Evropi: okvir za obdavčitev dohodkov“ (BEFIT); opozarja, da želi Komisija s predlogom BEFIT zmanjšati zapletenost davčnih pravil in stroške izpolnjevanja obveznosti za podjetja v EU s čezmejnimi dejavnostmi; je seznanjen z njegovim potencialom za zmanjšanje razdrobljenosti in ustvarjanje enakih konkurenčnih pogojev za podjetja na notranjem trgu; poudarja, da mora vsaka pobuda EU zagotoviti dodano vrednost v pravnem in ekonomskem smislu, ter poziva k učinkovitemu in uravnoteženemu pristopu, ki bo koristil vsem državam članicam, spoštoval načelo subsidiarnosti in bo dosledno skladen z izvajanjem pravil drugega stebra OECD;</w:t>
      </w:r>
    </w:p>
    <w:p w14:paraId="5A4CE46C" w14:textId="77777777" w:rsidR="005D3112" w:rsidRPr="008629D3" w:rsidRDefault="005D3112" w:rsidP="005D3112">
      <w:pPr>
        <w:pStyle w:val="Normal12a24b"/>
      </w:pPr>
      <w:r w:rsidRPr="008629D3">
        <w:rPr>
          <w:rStyle w:val="BoldItalic"/>
        </w:rPr>
        <w:t>Prvi in drugi steber OECD ter mednarodno obdavčevanje</w:t>
      </w:r>
    </w:p>
    <w:p w14:paraId="52E3D8E0" w14:textId="77777777" w:rsidR="005D3112" w:rsidRPr="008629D3" w:rsidRDefault="005D3112" w:rsidP="005D3112">
      <w:pPr>
        <w:pStyle w:val="NormalHanging12a"/>
      </w:pPr>
      <w:r w:rsidRPr="008629D3">
        <w:t>34.</w:t>
      </w:r>
      <w:r w:rsidRPr="008629D3">
        <w:tab/>
        <w:t>ponovno poudarja, da je EU odločno zavezana izvajanju dvostebrnega pristopa iz vključujočega okvira OECD/G20, pri čemer upošteva trenutne razmere v zvezi s pravili drugega stebra, vključno z nedavnim izvršnim odlokom predsednika ZDA z dne 20. januarja 2025, v kateri je navedeno, da globalni davčni dogovor OECD v ZDA nima veljave in učinka; poziva Komisijo, naj da prednost delu, ki ohranja in ščiti sporazum, da se prepreči ponovna škodljiva davčna konkurenca na račun javnih prihodkov in interesov EU; poziva Komisijo, naj Parlament obvešča o kriznih načrtih ter naj sprejme hitre in ciljno usmerjene ukrepe za varovanje celovitosti in učinkovitosti direktive o drugem stebru</w:t>
      </w:r>
      <w:r w:rsidRPr="008629D3">
        <w:rPr>
          <w:rStyle w:val="FootnoteReference"/>
        </w:rPr>
        <w:footnoteReference w:id="32"/>
      </w:r>
      <w:r w:rsidRPr="008629D3">
        <w:t>, zaščito interesov EU in preprečevanje povračilnih ukrepov; je seznanjen z možnostjo upravne poenostavitve pri izvajanju direktive o drugem stebru;</w:t>
      </w:r>
    </w:p>
    <w:p w14:paraId="0A03FAD2" w14:textId="77777777" w:rsidR="005D3112" w:rsidRPr="008629D3" w:rsidRDefault="005D3112" w:rsidP="005D3112">
      <w:pPr>
        <w:pStyle w:val="NormalHanging12a"/>
      </w:pPr>
      <w:r w:rsidRPr="008629D3">
        <w:t>35.</w:t>
      </w:r>
      <w:r w:rsidRPr="008629D3">
        <w:tab/>
        <w:t>poudarja, da bi moral drugi steber zagotoviti globalno minimalno davčno stopnjo za mednarodne skupine podjetij in velike domače skupine v EU; pozdravlja njegov prenos v nacionalno zakonodajo; poziva k pravni jasnosti, ob upoštevanju razlik med pravili drugega stebra OECD in njihovim izvajanjem v državah članicah, zlasti pri dejavnostih ladijskega prevoza, da bi preprečili nastanek nasprotujočih si davčnih režimov, ki bi lahko povzročili zmedo; pričakuje, da se bo postopek pogajanj o upravnih smernicah in njihove objave kmalu končal ter da bo podjetjem, ki spadajo na področje uporabe drugega stebra, zagotovljena potrebna varnost; pričakuje, da bo nadaljnji razvoj v zvezi z obstoječimi varnimi pristani olajšal izpolnjevanje obveznosti, kot je razvoj stalnega varnega pristana;</w:t>
      </w:r>
    </w:p>
    <w:p w14:paraId="55B9FDEA" w14:textId="77777777" w:rsidR="005D3112" w:rsidRPr="008629D3" w:rsidRDefault="005D3112" w:rsidP="005D3112">
      <w:pPr>
        <w:pStyle w:val="NormalHanging12a"/>
      </w:pPr>
      <w:r w:rsidRPr="008629D3">
        <w:t>36.</w:t>
      </w:r>
      <w:r w:rsidRPr="008629D3">
        <w:tab/>
        <w:t>opozarja na pomembno vlogo, ki sta jo imela Evropsko javno tožilstvo (EJT) in Evropski urad za boj proti goljufijam (OLAF) pri odkrivanju in preiskovanju davčnih goljufij in utaj, ter poudarja, da je potrebno učinkovito sodelovanje med tema organoma in z nacionalnimi davčnimi organi;</w:t>
      </w:r>
    </w:p>
    <w:p w14:paraId="5B4ED99D" w14:textId="77777777" w:rsidR="005D3112" w:rsidRPr="008629D3" w:rsidRDefault="005D3112" w:rsidP="005D3112">
      <w:pPr>
        <w:pStyle w:val="NormalHanging12a"/>
      </w:pPr>
      <w:r w:rsidRPr="008629D3">
        <w:lastRenderedPageBreak/>
        <w:t>37.</w:t>
      </w:r>
      <w:r w:rsidRPr="008629D3">
        <w:tab/>
        <w:t>je seznanjen, da je OECD oktobra 2023 objavil multilateralno konvencijo, v kateri je določil tehnična pravila glede zneska A v stebru 1 in tekočih pogajanj; poziva Komisijo, naj oceni morebitne učinke davka na digitalne storitve;</w:t>
      </w:r>
    </w:p>
    <w:p w14:paraId="7AFF538B" w14:textId="77777777" w:rsidR="005D3112" w:rsidRPr="008629D3" w:rsidRDefault="005D3112" w:rsidP="005D3112">
      <w:pPr>
        <w:pStyle w:val="Normal12a24b"/>
      </w:pPr>
      <w:r w:rsidRPr="008629D3">
        <w:rPr>
          <w:rStyle w:val="BoldItalic"/>
        </w:rPr>
        <w:t>Davčne ovire na enotnem trgu</w:t>
      </w:r>
    </w:p>
    <w:p w14:paraId="3034F0D6" w14:textId="77777777" w:rsidR="005D3112" w:rsidRPr="008629D3" w:rsidRDefault="005D3112" w:rsidP="005D3112">
      <w:pPr>
        <w:pStyle w:val="NormalHanging12a"/>
      </w:pPr>
      <w:r w:rsidRPr="008629D3">
        <w:t>38.</w:t>
      </w:r>
      <w:r w:rsidRPr="008629D3">
        <w:tab/>
        <w:t>je seznanjen s poročilom Enrica Lette in omembo prostovoljnega 28. režima, katerega cilj je privabiti in obdržati inovativna zagonska podjetja v EU; ugotavlja, da razdrobljeno davčno okolje EU ustvarja zapletenost, negotovost in visoke stroške izpolnjevanja obveznosti za podjetja v EU, zlasti mala in srednja podjetja, ter poziva Komisijo, naj preuči in oceni prednosti in slabosti 28. režima; poudarja, da je treba odpraviti davčne ovire za čezmejne naložbe in zmanjšati preveliko zanašanje na zadolževanje ter pri financiranju podjetij povečati lastniški kapital; v zvezi s tem opozarja na poročilo Maria Draghija, v katerem je poudarjeno, da bi morali imeti državljani EU možnost vlagati v druge države članice brez zapletenih postopkov obdavčevanja, ki dejansko vodijo v dvojno obdavčevanje; poudarja, da je spoštovanje teh načel ključno, da bi EU postala konkurenčno in v inovacije usmerjeno naložbeno vozlišče; poudarja, da je treba preučiti možnosti za poenostavitev in standardizacijo pravil glede dokumentacije za transferne cene po vsej EU, vključno s skrbno in uravnoteženo oceno obstoječih pragov in meril pomembnosti, pri čemer je treba upoštevati posebnosti držav članic, da bi zmanjšali stroške izpolnjevanja obveznosti za transakcije, ne da bi ogrozili standarde preglednosti ter omogočili agresivno davčno načrtovanje in davčne utaje;</w:t>
      </w:r>
    </w:p>
    <w:p w14:paraId="7A080699" w14:textId="77777777" w:rsidR="005D3112" w:rsidRPr="008629D3" w:rsidRDefault="005D3112" w:rsidP="005D3112">
      <w:pPr>
        <w:pStyle w:val="NormalHanging12a"/>
      </w:pPr>
      <w:r w:rsidRPr="008629D3">
        <w:t>39.</w:t>
      </w:r>
      <w:r w:rsidRPr="008629D3">
        <w:tab/>
        <w:t>obžaluje, da v kompasu Komisije za konkurenčnost ni konkretnih smernic za odpravo davčnih ovir za čezmejne naložbe; poziva Komisijo, naj izvede ciljno usmerjene študije, v katerih bi ocenila učinke te razdrobljenosti na gospodarstvo in konkurenco, pri čemer bi bil poudarek na opredelitvi najbolj prizadetih sektorjev ter oblikovanju predlogov konkretnih ukrepov za poenostavitev davčnih sistemov in okrepitev medsebojnega zaupanja med državami članicami, zlasti za podporo malim in srednjim podjetjem;</w:t>
      </w:r>
    </w:p>
    <w:p w14:paraId="20F21904" w14:textId="77777777" w:rsidR="005D3112" w:rsidRPr="008629D3" w:rsidRDefault="005D3112" w:rsidP="005D3112">
      <w:pPr>
        <w:pStyle w:val="NormalHanging12a"/>
      </w:pPr>
      <w:r w:rsidRPr="008629D3">
        <w:t>40.</w:t>
      </w:r>
      <w:r w:rsidRPr="008629D3">
        <w:tab/>
        <w:t>pozdravlja, da je pred kratkim začela veljati direktiva FASTER</w:t>
      </w:r>
      <w:r w:rsidRPr="008629D3">
        <w:rPr>
          <w:rStyle w:val="FootnoteReference"/>
        </w:rPr>
        <w:footnoteReference w:id="33"/>
      </w:r>
      <w:r w:rsidRPr="008629D3">
        <w:t xml:space="preserve"> o davčnem odtegljaju, kar je pomemben prvi korak k posodobitvi in racionalizaciji čezmejnih davčnih postopkov v EU; je seznanjen s priporočili iz Draghijevega poročila in opozarja na priporočila Parlamenta iz njegove resolucije o okviru davčnega odtegljaja</w:t>
      </w:r>
      <w:r w:rsidRPr="008629D3">
        <w:rPr>
          <w:rStyle w:val="FootnoteReference"/>
        </w:rPr>
        <w:footnoteReference w:id="34"/>
      </w:r>
      <w:r w:rsidRPr="008629D3">
        <w:t>, katerega vzpostavitev je bistvena za zmanjšanje zapletenosti, povečanje pravne varnosti za vlagatelje in zajezitev prakse izbiranja najugodnejšega sporazuma; poudarja tudi, da bi lahko reforma davčne politike olajšala tudi nadaljnje povezovanje kapitalskih trgov v EU v okviru unije prihrankov in naložb;</w:t>
      </w:r>
    </w:p>
    <w:p w14:paraId="02B664A1" w14:textId="77777777" w:rsidR="005D3112" w:rsidRPr="008629D3" w:rsidRDefault="005D3112" w:rsidP="005D3112">
      <w:pPr>
        <w:pStyle w:val="NormalHanging12a"/>
      </w:pPr>
      <w:r w:rsidRPr="008629D3">
        <w:t>41.</w:t>
      </w:r>
      <w:r w:rsidRPr="008629D3">
        <w:tab/>
        <w:t>poziva Komisijo, naj preuči obstoječe ovire za povezovanje enotnega trga, ki temeljijo na obdavčitvi, in pripravi akcijski načrt za njihovo odpravo;</w:t>
      </w:r>
    </w:p>
    <w:p w14:paraId="2A3F347B" w14:textId="77777777" w:rsidR="005D3112" w:rsidRPr="008629D3" w:rsidRDefault="005D3112" w:rsidP="005D3112">
      <w:pPr>
        <w:pStyle w:val="NormalHanging12a"/>
      </w:pPr>
      <w:r w:rsidRPr="008629D3">
        <w:t>42.</w:t>
      </w:r>
      <w:r w:rsidRPr="008629D3">
        <w:tab/>
        <w:t xml:space="preserve">poziva k sprejemu smernic o pravicah davkoplačevalcev, da bi se opredelile davčne ovire na enotnem trgu, ki še vedno obstajajo, in priporočile dobre prakse iz vse EU, kar </w:t>
      </w:r>
      <w:r w:rsidRPr="008629D3">
        <w:lastRenderedPageBreak/>
        <w:t>bi izboljšalo izkušnje davkoplačevalcev, pri čemer pa je treba zagotoviti, da takšne smernice ne bodo omejevale zmožnosti držav članic pri sprejemanju ukrepov za preprečevanje zlorab, s katerimi želijo zagotoviti ustrezno izvrševanje svoje davčne zakonodaje; se zaveda, da Komisija ni pripravljena predstaviti načrtovanega sporočila o pravicah državljanov kot davkoplačevalcev, ki ga je napovedala v svojem akcijskem načrtu za leto 2021;</w:t>
      </w:r>
    </w:p>
    <w:p w14:paraId="55CD0ACE" w14:textId="77777777" w:rsidR="005D3112" w:rsidRPr="008629D3" w:rsidRDefault="005D3112" w:rsidP="005D3112">
      <w:pPr>
        <w:pStyle w:val="NormalHanging12a"/>
      </w:pPr>
      <w:r w:rsidRPr="008629D3">
        <w:t>43.</w:t>
      </w:r>
      <w:r w:rsidRPr="008629D3">
        <w:tab/>
        <w:t>pozdravlja sporočilo Komisije o Uniji prihrankov in naložb, zlasti pripravljenost za odpravo razlik v nacionalnih postopkih obdavčevanja, ki ustvarjajo upravno breme in ovire za čezmejne naložbe, ter za podporo ukrepom držav članic v ta namen;</w:t>
      </w:r>
    </w:p>
    <w:p w14:paraId="3624738D" w14:textId="77777777" w:rsidR="005D3112" w:rsidRPr="008629D3" w:rsidRDefault="005D3112" w:rsidP="005D3112">
      <w:pPr>
        <w:pStyle w:val="NormalHanging12a"/>
      </w:pPr>
      <w:r w:rsidRPr="008629D3">
        <w:t>44.</w:t>
      </w:r>
      <w:r w:rsidRPr="008629D3">
        <w:tab/>
        <w:t>ugotavlja, da lahko razlike v davčni obravnavi kapitalskih prihodkov povzročijo zapletenost in pravno negotovost za čezmejne vlagatelje; poudarja, da Draghijevo celovito poročilo priznava, da je treba odpraviti vse davčne ovire za čezmejne naložbe v EU, da bi zmanjšali razdrobljenost kapitalskih trgov; poudarja, kako pomembna je bolj uravnotežena davčna mešanica za gospodarsko odpornost ter poziva Komisijo in države članice, naj ocenijo prednosti nadaljnjega usklajevanja in poenostavitve na tem področju, da bi spodbudili čezmejne naložbe;</w:t>
      </w:r>
    </w:p>
    <w:p w14:paraId="2F71C596" w14:textId="77777777" w:rsidR="005D3112" w:rsidRPr="008629D3" w:rsidRDefault="005D3112" w:rsidP="005D3112">
      <w:pPr>
        <w:pStyle w:val="Normal12a24b"/>
      </w:pPr>
      <w:r w:rsidRPr="008629D3">
        <w:rPr>
          <w:rStyle w:val="BoldItalic"/>
        </w:rPr>
        <w:t>Boj proti davčnim utajam, izogibanju davkom in agresivnemu finančnemu načrtovanju</w:t>
      </w:r>
    </w:p>
    <w:p w14:paraId="3AB5CB68" w14:textId="77777777" w:rsidR="005D3112" w:rsidRPr="008629D3" w:rsidRDefault="005D3112" w:rsidP="005D3112">
      <w:pPr>
        <w:pStyle w:val="NormalHanging12a"/>
      </w:pPr>
      <w:r w:rsidRPr="008629D3">
        <w:t>45.</w:t>
      </w:r>
      <w:r w:rsidRPr="008629D3">
        <w:tab/>
        <w:t>opozarja, da je pri izvajanju pravil drugega stebra pomembno spremljati morebitne nove škodljive oblike davčne konkurence;</w:t>
      </w:r>
    </w:p>
    <w:p w14:paraId="6B492C4C" w14:textId="77777777" w:rsidR="005D3112" w:rsidRPr="008629D3" w:rsidRDefault="005D3112" w:rsidP="005D3112">
      <w:pPr>
        <w:pStyle w:val="NormalHanging12a"/>
      </w:pPr>
      <w:r w:rsidRPr="008629D3">
        <w:t>46.</w:t>
      </w:r>
      <w:r w:rsidRPr="008629D3">
        <w:tab/>
        <w:t>se zavezuje, da se bo boril proti agresivnemu davčnemu načrtovanju podjetij in posameznikov za pravično evropsko gospodarstvo, ob upoštevanju posebnega položaja in interesov malih in srednjih podjetij ter gospodinjstev z nizkimi in srednjimi dohodki; priznava, da ima agresivno davčno načrtovanje velike posledice za prihodke, kar vpliva na konkurenčne pogoje za gospodarske akterje, ogroža davčno moralo in povzroča erozijo davčne osnove držav članic; poziva Komisijo in države članice, naj izboljšajo sodelovanje med državami članicami pri reševanju vprašanja agresivnega davčnega načrtovanja, predvsem z okrepljeno izmenjavo informacij, usklajenimi revizijami in boljšim izvrševanjem; opozarja na svoje resolucije o izvajanju zahtev EU za izmenjavo davčnih informacij</w:t>
      </w:r>
      <w:r w:rsidRPr="008629D3">
        <w:rPr>
          <w:rStyle w:val="FootnoteReference"/>
        </w:rPr>
        <w:footnoteReference w:id="35"/>
      </w:r>
      <w:r w:rsidRPr="008629D3">
        <w:t>, o reformi evropskega seznama davčnih oaz</w:t>
      </w:r>
      <w:r w:rsidRPr="008629D3">
        <w:rPr>
          <w:rStyle w:val="FootnoteReference"/>
        </w:rPr>
        <w:footnoteReference w:id="36"/>
      </w:r>
      <w:r w:rsidRPr="008629D3">
        <w:t xml:space="preserve"> in o reformi politike EU o škodljivih davčnih praksah; poudarja, da bi se lahko zaradi vse večje zapletenosti davčnih režimov ustvarile neprimerne spodbude za agresivno davčno načrtovanje in davčne utaje, ki bi lahko bile nepregledne; poziva države članice in Komisijo, naj v boju proti davčnim goljufijam in agresivnemu davčnemu načrtovanju uporabljajo ustrezen pristop, ki temelji na tveganju;</w:t>
      </w:r>
    </w:p>
    <w:p w14:paraId="71353F71" w14:textId="77777777" w:rsidR="005D3112" w:rsidRPr="008629D3" w:rsidRDefault="005D3112" w:rsidP="005D3112">
      <w:pPr>
        <w:pStyle w:val="NormalHanging12a"/>
      </w:pPr>
      <w:r w:rsidRPr="008629D3">
        <w:lastRenderedPageBreak/>
        <w:t>47.</w:t>
      </w:r>
      <w:r w:rsidRPr="008629D3">
        <w:tab/>
        <w:t>poudarja pomen obstoječih mehanizmov iz direktive o upravnem sodelovanju</w:t>
      </w:r>
      <w:r w:rsidRPr="008629D3">
        <w:rPr>
          <w:rStyle w:val="FootnoteReference"/>
        </w:rPr>
        <w:footnoteReference w:id="37"/>
      </w:r>
      <w:r w:rsidRPr="008629D3">
        <w:t xml:space="preserve"> (DAC), direktive proti izogibanju davkom</w:t>
      </w:r>
      <w:r w:rsidRPr="008629D3">
        <w:rPr>
          <w:rStyle w:val="FootnoteReference"/>
        </w:rPr>
        <w:footnoteReference w:id="38"/>
      </w:r>
      <w:r w:rsidRPr="008629D3">
        <w:t xml:space="preserve"> (ATAD) in večstranskega sporazuma med pristojnimi organi (MCAA), ki so znatno izboljšali preglednost in čezmejno sodelovanje med davčnimi organi, kar je omogočilo učinkovitejši odziv na agresivno davčno načrtovanje; poudarja vse večje upravno breme in stroške izpolnjevanja obveznosti za davčne uprave in davkoplačevalce v okviru direktive o upravnem sodelovanju in direktive proti izogibanju davkom ter pozdravlja njun pregled in poenostavitev, pri čemer je treba ohraniti sedanje standarde;</w:t>
      </w:r>
    </w:p>
    <w:p w14:paraId="22CFB82E" w14:textId="77777777" w:rsidR="005D3112" w:rsidRPr="008629D3" w:rsidRDefault="005D3112" w:rsidP="005D3112">
      <w:pPr>
        <w:pStyle w:val="NormalHanging12a"/>
      </w:pPr>
      <w:r w:rsidRPr="008629D3">
        <w:t>48.</w:t>
      </w:r>
      <w:r w:rsidRPr="008629D3">
        <w:tab/>
        <w:t>poudarja, da je treba odpraviti nedoslednosti med direktivo proti izogibanju davkom in pristopom OECD iz drugega stebra, da bi po vsej EU zagotovili skladnost in pravno varnost, kar vključuje tudi preučitev racionalizacije možnosti in izjem, odobrenih državam članicam; je seznanjen z napovedjo Komisije, da bo ocenila direktivo proti izogibanju davkom z vidika drugega stebra in v tretjem četrtletju 2025 v skladu z dogovorom o drugem stebru predstavila celovito poročilo o ukrepih; poziva Komisijo, naj državam članicam zagotovi smernice za razlago splošnega pravila o preprečevanju zlorab, določenega v direktivi proti izogibanju davkom, in poziva k reviziji, da bi olajšali izvajanje te direktive in povečali njeno učinkovitost;</w:t>
      </w:r>
    </w:p>
    <w:p w14:paraId="15D9865E" w14:textId="77777777" w:rsidR="005D3112" w:rsidRPr="008629D3" w:rsidRDefault="005D3112" w:rsidP="005D3112">
      <w:pPr>
        <w:pStyle w:val="NormalHanging12a"/>
      </w:pPr>
      <w:r w:rsidRPr="008629D3">
        <w:t>49.</w:t>
      </w:r>
      <w:r w:rsidRPr="008629D3">
        <w:tab/>
        <w:t>je seznanjen z vlogo direktive o upravnem sodelovanju pri zmanjševanju davčnih utaj in izogibanja davkom ter agresivnega davčnega načrtovanja in pri povečanju preglednosti, hkrati pa poudarja zapletenost in upravno breme, zlasti v okviru šeste direktive o upravnem sodelovanju</w:t>
      </w:r>
      <w:r w:rsidRPr="008629D3">
        <w:rPr>
          <w:rStyle w:val="FootnoteReference"/>
        </w:rPr>
        <w:footnoteReference w:id="39"/>
      </w:r>
      <w:r w:rsidRPr="008629D3">
        <w:t>; poudarja, da je treba revidirati šesto direktivo o upravnem sodelovanju in poziva Komisijo, naj izvede oceno stroškov izpolnjevanja obveznosti v skladu s to direktivo, izboljša smernice in analizo tveganj ter se opre na tehnologijo za boljše zbiranje podatkov, da bi se zagotovila učinkovitost pri spodbujanju davčne preglednosti ter preprečili nesorazmerni stroški in upravna bremena; meni, da bi bilo treba pri tej ponovni oceni razmisliti o zaščiti malih in srednjih podjetij pred nepotrebnimi obveznostmi poročanja in zagotoviti večjo jasnost glede referenčnih vrednosti za čezmejne aranžmaje, o katerih se poroča; predlaga oceno morebitnega pregleda sedme direktive o upravnem sodelovanju</w:t>
      </w:r>
      <w:r w:rsidRPr="008629D3">
        <w:rPr>
          <w:rStyle w:val="FootnoteReference"/>
        </w:rPr>
        <w:footnoteReference w:id="40"/>
      </w:r>
      <w:r w:rsidRPr="008629D3">
        <w:t>, da bi preučili, ali je mogoče izmenjavo informacij zmanjšati z uvedbo poročanja v realnem času v okviru svežnja o DDV v digitalni dobi;</w:t>
      </w:r>
    </w:p>
    <w:p w14:paraId="55048CD4" w14:textId="77777777" w:rsidR="005D3112" w:rsidRPr="008629D3" w:rsidRDefault="005D3112" w:rsidP="005D3112">
      <w:pPr>
        <w:pStyle w:val="NormalHanging12a"/>
      </w:pPr>
      <w:r w:rsidRPr="008629D3">
        <w:t>50.</w:t>
      </w:r>
      <w:r w:rsidRPr="008629D3">
        <w:tab/>
        <w:t xml:space="preserve">zlasti ugotavlja, da je treba postopek pregleda izkoristiti za obravnavo sedanjih prekrivajočih se pravil ter racionalizacijo in poenostavitev uporabe skupnih pravil in konceptov; poudarja, da je standardizacija izrazov in konceptov bistvena za </w:t>
      </w:r>
      <w:r w:rsidRPr="008629D3">
        <w:lastRenderedPageBreak/>
        <w:t>poenostavitev izpolnjevanja obveznosti, saj bi lahko različne nacionalne razlage povzročile razdrobljenost in zapletenost;</w:t>
      </w:r>
    </w:p>
    <w:p w14:paraId="2A9B8233" w14:textId="77777777" w:rsidR="005D3112" w:rsidRPr="008629D3" w:rsidRDefault="005D3112" w:rsidP="005D3112">
      <w:pPr>
        <w:pStyle w:val="NormalHanging12a"/>
      </w:pPr>
      <w:r w:rsidRPr="008629D3">
        <w:t>51.</w:t>
      </w:r>
      <w:r w:rsidRPr="008629D3">
        <w:tab/>
        <w:t>poziva k okrepljenemu sodelovanju med Evropskim javnim tožilstvom in Eurofiscom, da bi okrepili izmenjavo obveščevalnih podatkov, usklajena prizadevanja za izvrševanje in čezmejne preiskave v boju proti goljufijam na področju DDV ter drugim oblikam davčnih utaj in izogibanja davkom; poudarja, da je za učinkovitejši in enotnejši odziv EU na čezmejne davčne goljufije potrebno racionalizirano sodelovanje med temi organi, pri čemer je treba izkoristiti njihove pristojnosti in strokovno znanje; poziva Komisijo in države članice, naj to sodelovanje olajšajo z izboljšanjem mehanizmov za izmenjavo podatkov, zagotovitvijo ustreznih virov in spodbujanjem skupnih preiskovalnih prizadevanj; poudarja, da je za olajšanje čezmejnih gospodarskih dejavnosti potrebno nadaljnje davčno usklajevanje med državami članicami v boju proti davčnim utajam in izogibanju davkom; meni, da mora EU poskrbeti, da se za vse uvožene proizvode ustrezno uporabljajo ustrezne carinske dajatve;</w:t>
      </w:r>
    </w:p>
    <w:p w14:paraId="2ADEA88F" w14:textId="77777777" w:rsidR="005D3112" w:rsidRPr="008629D3" w:rsidRDefault="005D3112" w:rsidP="005D3112">
      <w:pPr>
        <w:pStyle w:val="Normal12a24b"/>
      </w:pPr>
      <w:r w:rsidRPr="008629D3">
        <w:rPr>
          <w:rStyle w:val="BoldItalic"/>
        </w:rPr>
        <w:t>Čezmejna obdavčitev in mobilnost delovne sile</w:t>
      </w:r>
    </w:p>
    <w:p w14:paraId="3AF53B1C" w14:textId="77777777" w:rsidR="005D3112" w:rsidRPr="008629D3" w:rsidRDefault="005D3112" w:rsidP="005D3112">
      <w:pPr>
        <w:pStyle w:val="NormalHanging12a"/>
      </w:pPr>
      <w:r w:rsidRPr="008629D3">
        <w:t>52.</w:t>
      </w:r>
      <w:r w:rsidRPr="008629D3">
        <w:tab/>
        <w:t>poziva Komisijo, naj predstavi študijo in po potrebi sveženj ukrepov za poenostavitev davčnih pravil in odpravo davčne razdrobljenosti za čezmejne delavce in samozaposlene, da bi spodbudili konkurenčnost s poglobitvijo notranjega trga in zaščitili davčne prihodke z ustvarjanjem enakih konkurenčnih pogojev; ugotavlja, da različni nacionalni davčni sistemi ustvarjajo znatne ovire, upravna bremena, pravno negotovost in dvojno obdavčevanje, ter s tem ovirajo mobilnost delovne sile in čezmejno podjetništvo;</w:t>
      </w:r>
    </w:p>
    <w:p w14:paraId="6CE96DBF" w14:textId="77777777" w:rsidR="005D3112" w:rsidRPr="008629D3" w:rsidRDefault="005D3112" w:rsidP="005D3112">
      <w:pPr>
        <w:pStyle w:val="NormalHanging12a"/>
      </w:pPr>
      <w:r w:rsidRPr="008629D3">
        <w:t>53.</w:t>
      </w:r>
      <w:r w:rsidRPr="008629D3">
        <w:tab/>
        <w:t>ugotavlja, da se čezmejna mobilnost posameznikov povečuje hitreje kot kdaj koli prej in da tako visoka raven globalne mobilnosti močno vpliva na davčne sisteme; poudarja, da je treba to mobilnost in njen vpliv na davčne sisteme skrbno preučiti pri oblikovanju politik, ne da bi pri tem odvračali od mobilnosti in zaposlitvenih možnosti v EU; v zvezi s tem ugotavlja, da države članice uporabljajo davčne spodbude za spodbujanje mobilnosti delovne sile in čezmejnega podjetništva; vendar poudarja, da morajo države članice z jasnimi omejitvami in zaščitnimi ukrepi preprečiti tudi škodljive davčne prakse, ki privabljajo posamezne davkoplačevalce, in izkrivljanje konkurence;</w:t>
      </w:r>
    </w:p>
    <w:p w14:paraId="52242AA7" w14:textId="77777777" w:rsidR="005D3112" w:rsidRPr="008629D3" w:rsidRDefault="005D3112" w:rsidP="005D3112">
      <w:pPr>
        <w:pStyle w:val="NormalHanging12a"/>
      </w:pPr>
      <w:r w:rsidRPr="008629D3">
        <w:t>54.</w:t>
      </w:r>
      <w:r w:rsidRPr="008629D3">
        <w:tab/>
        <w:t>priznava, da svoboda gibanja in ugodnejši davčni sistemi v nekaterih državah članicah povečujejo čezmejno mobilnost visoko usposobljenih delavcev in drugih posameznikov; poudarja, kako pomembno je poskrbeti za to, da bo davčna politika na notranjem trgu ostala pravična, pregledna in združljiva z vzdržnostjo javnih financ po vsej EU; ponovno poziva Svet, naj revidira mandat Skupine za kodeks ravnanja o obdavčitvi podjetij;</w:t>
      </w:r>
    </w:p>
    <w:p w14:paraId="508522A8" w14:textId="77777777" w:rsidR="005D3112" w:rsidRPr="008629D3" w:rsidRDefault="005D3112" w:rsidP="005D3112">
      <w:pPr>
        <w:pStyle w:val="NormalHanging12a"/>
      </w:pPr>
      <w:r w:rsidRPr="008629D3">
        <w:t>55.</w:t>
      </w:r>
      <w:r w:rsidRPr="008629D3">
        <w:tab/>
        <w:t>opozarja, da imajo lahko primeri, ko čezmejni delavci opravljajo dejavnosti, kot so poslovna potovanja ali delo na daljavo, posledice za obdavčenje zaradi tveganja davčne prisotnosti ali stalne poslovne enote; ugotavlja, da bi lahko s pravilom varnega pristana za delo na daljavo, ki bi bilo usklajeno med državami članicami, delodajalcem omogočili davčno gotovost, zmanjšali upravna bremena ter poenostavili obdavčitev fizičnih oseb;</w:t>
      </w:r>
    </w:p>
    <w:p w14:paraId="1E8F66A4" w14:textId="77777777" w:rsidR="005D3112" w:rsidRPr="008629D3" w:rsidRDefault="005D3112" w:rsidP="005D3112">
      <w:pPr>
        <w:pStyle w:val="Normal12a24b"/>
      </w:pPr>
      <w:r w:rsidRPr="008629D3">
        <w:rPr>
          <w:rStyle w:val="BoldItalic"/>
        </w:rPr>
        <w:t>Obdavčitev in inovacije</w:t>
      </w:r>
    </w:p>
    <w:p w14:paraId="7E6172B9" w14:textId="77777777" w:rsidR="005D3112" w:rsidRPr="008629D3" w:rsidRDefault="005D3112" w:rsidP="005D3112">
      <w:pPr>
        <w:pStyle w:val="NormalHanging12a"/>
      </w:pPr>
      <w:r w:rsidRPr="008629D3">
        <w:lastRenderedPageBreak/>
        <w:t>56.</w:t>
      </w:r>
      <w:r w:rsidRPr="008629D3">
        <w:tab/>
        <w:t>poudarja, da so inovacije ključno gonilo gospodarske rasti, svetovne konkurenčnosti in blaginje ter da so po mnenju OECD davčne spodbude široko uporabljan in gospodarsko pomemben politični instrument za podporo inovacijam; meni, da bi morale vlade zagotoviti, da sheme davčnih spodbud za raziskave in razvoj zagotavljajo stroškovno učinkovitost, in sicer z rednim ocenjevanjem in sprejetjem ciljno usmerjenih spodbud, ki spodbujajo naložbe in rast ter krepijo konkurenčnost EU na svetovnem prizorišču, v skladu s predlogi iz Draghijevega poročila;</w:t>
      </w:r>
    </w:p>
    <w:p w14:paraId="7B7B188B" w14:textId="77777777" w:rsidR="005D3112" w:rsidRPr="008629D3" w:rsidRDefault="005D3112" w:rsidP="005D3112">
      <w:pPr>
        <w:pStyle w:val="NormalHanging12a"/>
      </w:pPr>
      <w:r w:rsidRPr="008629D3">
        <w:t>57.</w:t>
      </w:r>
      <w:r w:rsidRPr="008629D3">
        <w:tab/>
        <w:t>poziva Komisijo, naj v skladu s predlogi iz Draghijevega poročila izvede nadaljnje študije o stroškovni učinkovitosti različnih vrst davčnih spodbud za raziskave in razvoj ter inovacije pri krepitvi konkurenčnosti EU na svetovnem prizorišču, pri čemer naj zagotovi, da bodo te spodbude dobro zasnovane za doseganje zastavljenih političnih ciljev, ne da bi pri tem zmanjšali davčne prihodke in prispevali k tveganju izogibanja davkom; poziva Komisijo, naj z usklajenim pristopom z državami članicami in na podlagi skupnih meril preuči različne rešitve in mehanizme, da bi podprla raziskave in razvoj za zagonska podjetja, med drugim tudi prenosljive davčne dobropise, da bi izboljšali dostopnost in učinkovitost teh ukrepov; poziva Komisijo, naj dodatno oceni čezmejne učinke takih spodbud v drugih državah članicah, vključno s tveganji izogibanja davkom; poudarja, da je treba povečati razpoložljivost davčnih spodbud, kot so znatne davčne olajšave, dobropisi, pospešena amortizacija in dodatni odbitki; v zvezi s tem poziva Komisijo, naj izda priporočila in ustrezno vključi davčne spodbude, ki so po potrebi posebej povezane z raziskavami in razvojem, ne da bi se pri tem povečala gospodarska asimetrija v EU; poudarja, da bi bilo preudarno, če bi se spodbude za inovacije ter raziskave in razvoj uskladile s prilagojenimi spodbudami za naložbe; poziva k okrepljenemu sodelovanju in zaupanju med državami članicami, da bi spodbujali enake konkurenčne pogoje za elektronsko poslovanje, digitalne storitve in druge hitro rastoče sektorje;</w:t>
      </w:r>
    </w:p>
    <w:p w14:paraId="3C6977B8" w14:textId="77777777" w:rsidR="005D3112" w:rsidRPr="008629D3" w:rsidRDefault="005D3112" w:rsidP="005D3112">
      <w:pPr>
        <w:pStyle w:val="NormalHanging12a"/>
      </w:pPr>
      <w:r w:rsidRPr="008629D3">
        <w:t>58.</w:t>
      </w:r>
      <w:r w:rsidRPr="008629D3">
        <w:tab/>
        <w:t>poudarja, kako pomembno je poskrbeti, da davčne spodbude ostanejo v celoti skladne z veljavnim okvirom EU za državno pomoč; poudarja pomen okvira EU za državno pomoč pri ohranjanju lojalne konkurence na notranjem trgu ter zagotavljanju pravne varnosti in enakih konkurenčnih pogojev za vse države članice;</w:t>
      </w:r>
    </w:p>
    <w:p w14:paraId="40830758" w14:textId="7DBD848B" w:rsidR="0048013F" w:rsidRPr="008629D3" w:rsidRDefault="0048013F" w:rsidP="0048013F">
      <w:pPr>
        <w:pStyle w:val="NormalHanging12a"/>
        <w:ind w:left="0" w:firstLine="0"/>
        <w:jc w:val="center"/>
      </w:pPr>
      <w:r w:rsidRPr="008629D3">
        <w:t>°</w:t>
      </w:r>
    </w:p>
    <w:p w14:paraId="1E4C7434" w14:textId="7612BF83" w:rsidR="0048013F" w:rsidRPr="008629D3" w:rsidRDefault="0048013F" w:rsidP="0048013F">
      <w:pPr>
        <w:pStyle w:val="NormalHanging12a"/>
        <w:ind w:left="0" w:firstLine="0"/>
        <w:jc w:val="center"/>
      </w:pPr>
      <w:r w:rsidRPr="008629D3">
        <w:t>°     °</w:t>
      </w:r>
    </w:p>
    <w:p w14:paraId="1F1E0D8B" w14:textId="3DE114C4" w:rsidR="00E365E1" w:rsidRPr="008629D3" w:rsidRDefault="005D3112" w:rsidP="00CA4FD8">
      <w:pPr>
        <w:pStyle w:val="NormalHanging12a"/>
      </w:pPr>
      <w:r w:rsidRPr="008629D3">
        <w:t>59.</w:t>
      </w:r>
      <w:r w:rsidRPr="008629D3">
        <w:tab/>
        <w:t>naroči svoji predsednici, naj to resolucijo posreduje Svetu in Komisiji.</w:t>
      </w:r>
    </w:p>
    <w:sectPr w:rsidR="00E365E1" w:rsidRPr="008629D3" w:rsidSect="00BA7E1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811D18" w14:textId="77777777" w:rsidR="005D2E58" w:rsidRPr="00BA7E13" w:rsidRDefault="005D2E58">
      <w:r w:rsidRPr="00BA7E13">
        <w:separator/>
      </w:r>
    </w:p>
  </w:endnote>
  <w:endnote w:type="continuationSeparator" w:id="0">
    <w:p w14:paraId="53C74C8E" w14:textId="77777777" w:rsidR="005D2E58" w:rsidRPr="00BA7E13" w:rsidRDefault="005D2E58">
      <w:r w:rsidRPr="00BA7E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E04FE" w14:textId="77777777" w:rsidR="00064002" w:rsidRPr="00BA7E1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3D4CF" w14:textId="77777777" w:rsidR="00064002" w:rsidRPr="00BA7E1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46B53" w14:textId="77777777" w:rsidR="00064002" w:rsidRPr="00BA7E1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72DBB7" w14:textId="77777777" w:rsidR="005D2E58" w:rsidRPr="00BA7E13" w:rsidRDefault="005D2E58">
      <w:r w:rsidRPr="00BA7E13">
        <w:separator/>
      </w:r>
    </w:p>
  </w:footnote>
  <w:footnote w:type="continuationSeparator" w:id="0">
    <w:p w14:paraId="2D5D3811" w14:textId="77777777" w:rsidR="005D2E58" w:rsidRPr="00BA7E13" w:rsidRDefault="005D2E58">
      <w:r w:rsidRPr="00BA7E13">
        <w:continuationSeparator/>
      </w:r>
    </w:p>
  </w:footnote>
  <w:footnote w:id="1">
    <w:p w14:paraId="28808437" w14:textId="3C730D51" w:rsidR="005D3112" w:rsidRPr="00BA7E13" w:rsidRDefault="005D3112" w:rsidP="00BA7E13">
      <w:pPr>
        <w:pStyle w:val="FootnoteText"/>
        <w:ind w:left="567" w:hanging="567"/>
        <w:rPr>
          <w:sz w:val="24"/>
          <w:lang w:val="sl-SI"/>
        </w:rPr>
      </w:pPr>
      <w:r w:rsidRPr="00BA7E13">
        <w:rPr>
          <w:rStyle w:val="FootnoteReference"/>
          <w:sz w:val="24"/>
          <w:lang w:val="sl-SI"/>
        </w:rPr>
        <w:footnoteRef/>
      </w:r>
      <w:r w:rsidR="00BA7E13" w:rsidRPr="00BA7E13">
        <w:rPr>
          <w:sz w:val="24"/>
          <w:lang w:val="sl-SI"/>
        </w:rPr>
        <w:t xml:space="preserve"> </w:t>
      </w:r>
      <w:r w:rsidR="00BA7E13" w:rsidRPr="00BA7E13">
        <w:rPr>
          <w:sz w:val="24"/>
          <w:lang w:val="sl-SI"/>
        </w:rPr>
        <w:tab/>
      </w:r>
      <w:r w:rsidRPr="00BA7E13">
        <w:rPr>
          <w:sz w:val="24"/>
          <w:lang w:val="sl-SI"/>
        </w:rPr>
        <w:t xml:space="preserve">UL L 157, 26.6.2003, str. 49, ELI: </w:t>
      </w:r>
      <w:hyperlink r:id="rId1" w:history="1">
        <w:r w:rsidRPr="00BA7E13">
          <w:rPr>
            <w:rStyle w:val="Hyperlink"/>
            <w:sz w:val="24"/>
            <w:lang w:val="sl-SI"/>
          </w:rPr>
          <w:t>http://data.europa.eu/eli/dir/2003/49/oj</w:t>
        </w:r>
      </w:hyperlink>
      <w:r w:rsidRPr="00BA7E13">
        <w:rPr>
          <w:sz w:val="24"/>
          <w:lang w:val="sl-SI"/>
        </w:rPr>
        <w:t>.</w:t>
      </w:r>
    </w:p>
  </w:footnote>
  <w:footnote w:id="2">
    <w:p w14:paraId="655CF2B7" w14:textId="424B2483" w:rsidR="005D3112" w:rsidRPr="00BA7E13" w:rsidRDefault="005D3112" w:rsidP="00BA7E13">
      <w:pPr>
        <w:pStyle w:val="FootnoteText"/>
        <w:ind w:left="567" w:hanging="567"/>
        <w:rPr>
          <w:sz w:val="24"/>
          <w:lang w:val="sl-SI"/>
        </w:rPr>
      </w:pPr>
      <w:r w:rsidRPr="00BA7E13">
        <w:rPr>
          <w:rStyle w:val="FootnoteReference"/>
          <w:sz w:val="24"/>
          <w:lang w:val="sl-SI"/>
        </w:rPr>
        <w:footnoteRef/>
      </w:r>
      <w:r w:rsidR="00BA7E13" w:rsidRPr="00BA7E13">
        <w:rPr>
          <w:sz w:val="24"/>
          <w:lang w:val="sl-SI"/>
        </w:rPr>
        <w:t xml:space="preserve"> </w:t>
      </w:r>
      <w:r w:rsidR="00BA7E13" w:rsidRPr="00BA7E13">
        <w:rPr>
          <w:sz w:val="24"/>
          <w:lang w:val="sl-SI"/>
        </w:rPr>
        <w:tab/>
      </w:r>
      <w:r w:rsidRPr="00BA7E13">
        <w:rPr>
          <w:sz w:val="24"/>
          <w:lang w:val="sl-SI"/>
        </w:rPr>
        <w:t xml:space="preserve">UL L 345, 29.12.2011, str. 8, ELI: </w:t>
      </w:r>
      <w:hyperlink r:id="rId2" w:history="1">
        <w:r w:rsidRPr="00BA7E13">
          <w:rPr>
            <w:rStyle w:val="Hyperlink"/>
            <w:sz w:val="24"/>
            <w:lang w:val="sl-SI"/>
          </w:rPr>
          <w:t>http://data.europa.eu/eli/dir/2011/96/oj</w:t>
        </w:r>
      </w:hyperlink>
      <w:r w:rsidRPr="00BA7E13">
        <w:rPr>
          <w:sz w:val="24"/>
          <w:lang w:val="sl-SI"/>
        </w:rPr>
        <w:t>.</w:t>
      </w:r>
    </w:p>
  </w:footnote>
  <w:footnote w:id="3">
    <w:p w14:paraId="39D85449" w14:textId="2D31E471" w:rsidR="005D3112" w:rsidRPr="00BA7E13" w:rsidRDefault="005D3112" w:rsidP="00BA7E13">
      <w:pPr>
        <w:pStyle w:val="FootnoteText"/>
        <w:ind w:left="567" w:hanging="567"/>
        <w:rPr>
          <w:sz w:val="24"/>
          <w:lang w:val="sl-SI"/>
        </w:rPr>
      </w:pPr>
      <w:r w:rsidRPr="00BA7E13">
        <w:rPr>
          <w:rStyle w:val="FootnoteReference"/>
          <w:sz w:val="24"/>
          <w:lang w:val="sl-SI"/>
        </w:rPr>
        <w:footnoteRef/>
      </w:r>
      <w:r w:rsidR="00BA7E13" w:rsidRPr="00BA7E13">
        <w:rPr>
          <w:sz w:val="24"/>
          <w:lang w:val="sl-SI"/>
        </w:rPr>
        <w:t xml:space="preserve"> </w:t>
      </w:r>
      <w:r w:rsidR="00BA7E13" w:rsidRPr="00BA7E13">
        <w:rPr>
          <w:sz w:val="24"/>
          <w:lang w:val="sl-SI"/>
        </w:rPr>
        <w:tab/>
      </w:r>
      <w:r w:rsidRPr="00BA7E13">
        <w:rPr>
          <w:sz w:val="24"/>
          <w:lang w:val="sl-SI"/>
        </w:rPr>
        <w:t xml:space="preserve">UL L 328, 22.12.2022, str. 1, ELI: </w:t>
      </w:r>
      <w:hyperlink r:id="rId3" w:history="1">
        <w:r w:rsidRPr="00BA7E13">
          <w:rPr>
            <w:rStyle w:val="Hyperlink"/>
            <w:sz w:val="24"/>
            <w:lang w:val="sl-SI"/>
          </w:rPr>
          <w:t>http://data.europa.eu/eli/dir/2022/2523/oj</w:t>
        </w:r>
      </w:hyperlink>
      <w:r w:rsidRPr="00BA7E13">
        <w:rPr>
          <w:sz w:val="24"/>
          <w:lang w:val="sl-SI"/>
        </w:rPr>
        <w:t>.</w:t>
      </w:r>
    </w:p>
  </w:footnote>
  <w:footnote w:id="4">
    <w:p w14:paraId="3B264D63" w14:textId="4BB844F4" w:rsidR="005D3112" w:rsidRPr="00BA7E13" w:rsidRDefault="005D3112" w:rsidP="00BA7E13">
      <w:pPr>
        <w:pStyle w:val="FootnoteText"/>
        <w:ind w:left="567" w:hanging="567"/>
        <w:rPr>
          <w:sz w:val="24"/>
          <w:lang w:val="sl-SI"/>
        </w:rPr>
      </w:pPr>
      <w:r w:rsidRPr="00BA7E13">
        <w:rPr>
          <w:rStyle w:val="FootnoteReference"/>
          <w:sz w:val="24"/>
          <w:lang w:val="sl-SI"/>
        </w:rPr>
        <w:footnoteRef/>
      </w:r>
      <w:r w:rsidR="00BA7E13" w:rsidRPr="00BA7E13">
        <w:rPr>
          <w:sz w:val="24"/>
          <w:lang w:val="sl-SI"/>
        </w:rPr>
        <w:t xml:space="preserve"> </w:t>
      </w:r>
      <w:r w:rsidR="00BA7E13" w:rsidRPr="00BA7E13">
        <w:rPr>
          <w:sz w:val="24"/>
          <w:lang w:val="sl-SI"/>
        </w:rPr>
        <w:tab/>
      </w:r>
      <w:r w:rsidRPr="00BA7E13">
        <w:rPr>
          <w:sz w:val="24"/>
          <w:lang w:val="sl-SI"/>
        </w:rPr>
        <w:t>UL C 479, 16.12.2022, str. 89.</w:t>
      </w:r>
    </w:p>
  </w:footnote>
  <w:footnote w:id="5">
    <w:p w14:paraId="477392C6" w14:textId="09883F31" w:rsidR="005D3112" w:rsidRPr="00BA7E13" w:rsidRDefault="005D3112" w:rsidP="00BA7E13">
      <w:pPr>
        <w:pStyle w:val="FootnoteText"/>
        <w:ind w:left="567" w:hanging="567"/>
        <w:rPr>
          <w:sz w:val="24"/>
          <w:lang w:val="sl-SI"/>
        </w:rPr>
      </w:pPr>
      <w:r w:rsidRPr="00BA7E13">
        <w:rPr>
          <w:rStyle w:val="FootnoteReference"/>
          <w:sz w:val="24"/>
          <w:lang w:val="sl-SI"/>
        </w:rPr>
        <w:footnoteRef/>
      </w:r>
      <w:r w:rsidR="00BA7E13" w:rsidRPr="00BA7E13">
        <w:rPr>
          <w:sz w:val="24"/>
          <w:lang w:val="sl-SI"/>
        </w:rPr>
        <w:t xml:space="preserve"> </w:t>
      </w:r>
      <w:r w:rsidR="00BA7E13" w:rsidRPr="00BA7E13">
        <w:rPr>
          <w:sz w:val="24"/>
          <w:lang w:val="sl-SI"/>
        </w:rPr>
        <w:tab/>
      </w:r>
      <w:r w:rsidRPr="00BA7E13">
        <w:rPr>
          <w:sz w:val="24"/>
          <w:lang w:val="sl-SI"/>
        </w:rPr>
        <w:t xml:space="preserve">Evropska komisija: Izvajalska agencija Evropskega sveta za inovacije ter za mala in srednja podjetja, Generalni direktorat za notranji trg, industrijo, podjetništvo ter mala in srednja podjetja, KPMG, VVA, Di Legge, A. in drugi, </w:t>
      </w:r>
      <w:r w:rsidRPr="00BA7E13">
        <w:rPr>
          <w:i/>
          <w:sz w:val="24"/>
          <w:lang w:val="sl-SI"/>
        </w:rPr>
        <w:t xml:space="preserve">Tax compliance costs for SMEs – An update and a complement – Final report </w:t>
      </w:r>
      <w:r w:rsidRPr="00BA7E13">
        <w:rPr>
          <w:sz w:val="24"/>
          <w:lang w:val="sl-SI"/>
        </w:rPr>
        <w:t>(Stroški izpolnjevanja davčnih obveznosti za MSP: posodobitev in dopolnilo – končno poročilo), Urad za publikacije Evropske unije, 2022, </w:t>
      </w:r>
      <w:hyperlink r:id="rId4" w:history="1">
        <w:r w:rsidRPr="00BA7E13">
          <w:rPr>
            <w:rStyle w:val="Hyperlink"/>
            <w:sz w:val="24"/>
            <w:lang w:val="sl-SI"/>
          </w:rPr>
          <w:t>https://data.europa.eu/doi/10.2873/180570</w:t>
        </w:r>
      </w:hyperlink>
      <w:r w:rsidRPr="00BA7E13">
        <w:rPr>
          <w:sz w:val="24"/>
          <w:lang w:val="sl-SI"/>
        </w:rPr>
        <w:t>.</w:t>
      </w:r>
    </w:p>
  </w:footnote>
  <w:footnote w:id="6">
    <w:p w14:paraId="37D29E88" w14:textId="7C4A84CF" w:rsidR="005D3112" w:rsidRPr="00BA7E13" w:rsidRDefault="005D3112" w:rsidP="00BA7E13">
      <w:pPr>
        <w:pStyle w:val="FootnoteText"/>
        <w:ind w:left="567" w:hanging="567"/>
        <w:rPr>
          <w:sz w:val="24"/>
          <w:lang w:val="sl-SI"/>
        </w:rPr>
      </w:pPr>
      <w:r w:rsidRPr="00BA7E13">
        <w:rPr>
          <w:rStyle w:val="FootnoteReference"/>
          <w:sz w:val="24"/>
          <w:lang w:val="sl-SI"/>
        </w:rPr>
        <w:footnoteRef/>
      </w:r>
      <w:r w:rsidR="00BA7E13" w:rsidRPr="00BA7E13">
        <w:rPr>
          <w:sz w:val="24"/>
          <w:lang w:val="sl-SI"/>
        </w:rPr>
        <w:t xml:space="preserve"> </w:t>
      </w:r>
      <w:r w:rsidR="00BA7E13" w:rsidRPr="00BA7E13">
        <w:rPr>
          <w:sz w:val="24"/>
          <w:lang w:val="sl-SI"/>
        </w:rPr>
        <w:tab/>
      </w:r>
      <w:r w:rsidRPr="00BA7E13">
        <w:rPr>
          <w:sz w:val="24"/>
          <w:lang w:val="sl-SI"/>
        </w:rPr>
        <w:t xml:space="preserve">UL L, 2025/50, 10.1.2025, ELI: </w:t>
      </w:r>
      <w:hyperlink r:id="rId5" w:history="1">
        <w:r w:rsidRPr="00BA7E13">
          <w:rPr>
            <w:rStyle w:val="Hyperlink"/>
            <w:sz w:val="24"/>
            <w:lang w:val="sl-SI"/>
          </w:rPr>
          <w:t>http://data.europa.eu/eli/dir/2025/50/oj</w:t>
        </w:r>
      </w:hyperlink>
      <w:r w:rsidRPr="00BA7E13">
        <w:rPr>
          <w:sz w:val="24"/>
          <w:lang w:val="sl-SI"/>
        </w:rPr>
        <w:t>.</w:t>
      </w:r>
    </w:p>
  </w:footnote>
  <w:footnote w:id="7">
    <w:p w14:paraId="261890C3" w14:textId="190CF353" w:rsidR="005D3112" w:rsidRPr="00BA7E13" w:rsidRDefault="005D3112" w:rsidP="00BA7E13">
      <w:pPr>
        <w:pStyle w:val="FootnoteText"/>
        <w:ind w:left="567" w:hanging="567"/>
        <w:rPr>
          <w:sz w:val="24"/>
          <w:lang w:val="sl-SI"/>
        </w:rPr>
      </w:pPr>
      <w:r w:rsidRPr="00BA7E13">
        <w:rPr>
          <w:rStyle w:val="FootnoteReference"/>
          <w:sz w:val="24"/>
          <w:lang w:val="sl-SI"/>
        </w:rPr>
        <w:footnoteRef/>
      </w:r>
      <w:r w:rsidR="00BA7E13" w:rsidRPr="00BA7E13">
        <w:rPr>
          <w:sz w:val="24"/>
          <w:lang w:val="sl-SI"/>
        </w:rPr>
        <w:t xml:space="preserve"> </w:t>
      </w:r>
      <w:r w:rsidR="00BA7E13" w:rsidRPr="00BA7E13">
        <w:rPr>
          <w:sz w:val="24"/>
          <w:lang w:val="sl-SI"/>
        </w:rPr>
        <w:tab/>
      </w:r>
      <w:r w:rsidRPr="00BA7E13">
        <w:rPr>
          <w:sz w:val="24"/>
          <w:lang w:val="sl-SI"/>
        </w:rPr>
        <w:t>UL C 342, 6.9.2022, str. 88.</w:t>
      </w:r>
    </w:p>
  </w:footnote>
  <w:footnote w:id="8">
    <w:p w14:paraId="17765C03" w14:textId="34EDE0F7" w:rsidR="005D3112" w:rsidRPr="00BA7E13" w:rsidRDefault="005D3112" w:rsidP="00BA7E13">
      <w:pPr>
        <w:pStyle w:val="FootnoteText"/>
        <w:ind w:left="567" w:hanging="567"/>
        <w:rPr>
          <w:sz w:val="24"/>
          <w:lang w:val="sl-SI"/>
        </w:rPr>
      </w:pPr>
      <w:r w:rsidRPr="00BA7E13">
        <w:rPr>
          <w:rStyle w:val="FootnoteReference"/>
          <w:sz w:val="24"/>
          <w:lang w:val="sl-SI"/>
        </w:rPr>
        <w:footnoteRef/>
      </w:r>
      <w:r w:rsidR="00BA7E13" w:rsidRPr="00BA7E13">
        <w:rPr>
          <w:sz w:val="24"/>
          <w:lang w:val="sl-SI"/>
        </w:rPr>
        <w:t xml:space="preserve"> </w:t>
      </w:r>
      <w:r w:rsidR="00BA7E13" w:rsidRPr="00BA7E13">
        <w:rPr>
          <w:sz w:val="24"/>
          <w:lang w:val="sl-SI"/>
        </w:rPr>
        <w:tab/>
      </w:r>
      <w:r w:rsidRPr="00BA7E13">
        <w:rPr>
          <w:sz w:val="24"/>
          <w:lang w:val="sl-SI"/>
        </w:rPr>
        <w:t>UL C 132, 24.3.2022, str. 167.</w:t>
      </w:r>
    </w:p>
  </w:footnote>
  <w:footnote w:id="9">
    <w:p w14:paraId="32B4AA65" w14:textId="2E0814AC" w:rsidR="005D3112" w:rsidRPr="00BA7E13" w:rsidRDefault="005D3112" w:rsidP="00BA7E13">
      <w:pPr>
        <w:pStyle w:val="FootnoteText"/>
        <w:ind w:left="567" w:hanging="567"/>
        <w:rPr>
          <w:sz w:val="24"/>
          <w:lang w:val="sl-SI"/>
        </w:rPr>
      </w:pPr>
      <w:r w:rsidRPr="00BA7E13">
        <w:rPr>
          <w:rStyle w:val="FootnoteReference"/>
          <w:sz w:val="24"/>
          <w:lang w:val="sl-SI"/>
        </w:rPr>
        <w:footnoteRef/>
      </w:r>
      <w:r w:rsidR="00BA7E13" w:rsidRPr="00BA7E13">
        <w:rPr>
          <w:sz w:val="24"/>
          <w:lang w:val="sl-SI"/>
        </w:rPr>
        <w:t xml:space="preserve"> </w:t>
      </w:r>
      <w:r w:rsidR="00BA7E13" w:rsidRPr="00BA7E13">
        <w:rPr>
          <w:sz w:val="24"/>
          <w:lang w:val="sl-SI"/>
        </w:rPr>
        <w:tab/>
      </w:r>
      <w:r w:rsidRPr="00BA7E13">
        <w:rPr>
          <w:sz w:val="24"/>
          <w:lang w:val="sl-SI"/>
        </w:rPr>
        <w:t>UL C 342, 6.9.2022, str. 14.</w:t>
      </w:r>
    </w:p>
  </w:footnote>
  <w:footnote w:id="10">
    <w:p w14:paraId="57F9AD39" w14:textId="39620852" w:rsidR="005D3112" w:rsidRPr="00BA7E13" w:rsidRDefault="005D3112" w:rsidP="00BA7E13">
      <w:pPr>
        <w:pStyle w:val="FootnoteText"/>
        <w:ind w:left="567" w:hanging="567"/>
        <w:rPr>
          <w:sz w:val="24"/>
          <w:lang w:val="sl-SI"/>
        </w:rPr>
      </w:pPr>
      <w:r w:rsidRPr="00BA7E13">
        <w:rPr>
          <w:rStyle w:val="FootnoteReference"/>
          <w:sz w:val="24"/>
          <w:lang w:val="sl-SI"/>
        </w:rPr>
        <w:footnoteRef/>
      </w:r>
      <w:r w:rsidR="00BA7E13" w:rsidRPr="00BA7E13">
        <w:rPr>
          <w:sz w:val="24"/>
          <w:lang w:val="sl-SI"/>
        </w:rPr>
        <w:t xml:space="preserve"> </w:t>
      </w:r>
      <w:r w:rsidR="00BA7E13" w:rsidRPr="00BA7E13">
        <w:rPr>
          <w:sz w:val="24"/>
          <w:lang w:val="sl-SI"/>
        </w:rPr>
        <w:tab/>
      </w:r>
      <w:r w:rsidRPr="00BA7E13">
        <w:rPr>
          <w:sz w:val="24"/>
          <w:lang w:val="sl-SI"/>
        </w:rPr>
        <w:t>UL C 347, 9.9.2022, str. 172.</w:t>
      </w:r>
    </w:p>
  </w:footnote>
  <w:footnote w:id="11">
    <w:p w14:paraId="207736F4" w14:textId="109BBC3B" w:rsidR="005D3112" w:rsidRPr="00BA7E13" w:rsidRDefault="005D3112" w:rsidP="00BA7E13">
      <w:pPr>
        <w:pStyle w:val="FootnoteText"/>
        <w:ind w:left="567" w:hanging="567"/>
        <w:rPr>
          <w:sz w:val="24"/>
          <w:lang w:val="sl-SI"/>
        </w:rPr>
      </w:pPr>
      <w:r w:rsidRPr="00BA7E13">
        <w:rPr>
          <w:rStyle w:val="FootnoteReference"/>
          <w:sz w:val="24"/>
          <w:lang w:val="sl-SI"/>
        </w:rPr>
        <w:footnoteRef/>
      </w:r>
      <w:r w:rsidR="00BA7E13" w:rsidRPr="00BA7E13">
        <w:rPr>
          <w:sz w:val="24"/>
          <w:lang w:val="sl-SI"/>
        </w:rPr>
        <w:t xml:space="preserve"> </w:t>
      </w:r>
      <w:r w:rsidR="00BA7E13" w:rsidRPr="00BA7E13">
        <w:rPr>
          <w:sz w:val="24"/>
          <w:lang w:val="sl-SI"/>
        </w:rPr>
        <w:tab/>
      </w:r>
      <w:r w:rsidRPr="00BA7E13">
        <w:rPr>
          <w:sz w:val="24"/>
          <w:lang w:val="sl-SI"/>
        </w:rPr>
        <w:t>UL C 132, 14.4.2023, str. 15.</w:t>
      </w:r>
    </w:p>
  </w:footnote>
  <w:footnote w:id="12">
    <w:p w14:paraId="188400EA" w14:textId="6B2FF5B9" w:rsidR="005D3112" w:rsidRPr="00BA7E13" w:rsidRDefault="005D3112" w:rsidP="00BA7E13">
      <w:pPr>
        <w:pStyle w:val="FootnoteText"/>
        <w:ind w:left="567" w:hanging="567"/>
        <w:rPr>
          <w:sz w:val="24"/>
          <w:lang w:val="sl-SI"/>
        </w:rPr>
      </w:pPr>
      <w:r w:rsidRPr="00BA7E13">
        <w:rPr>
          <w:rStyle w:val="FootnoteReference"/>
          <w:sz w:val="24"/>
          <w:lang w:val="sl-SI"/>
        </w:rPr>
        <w:footnoteRef/>
      </w:r>
      <w:r w:rsidR="00BA7E13" w:rsidRPr="00BA7E13">
        <w:rPr>
          <w:sz w:val="24"/>
          <w:lang w:val="sl-SI"/>
        </w:rPr>
        <w:t xml:space="preserve"> </w:t>
      </w:r>
      <w:r w:rsidR="00BA7E13" w:rsidRPr="00BA7E13">
        <w:rPr>
          <w:sz w:val="24"/>
          <w:lang w:val="sl-SI"/>
        </w:rPr>
        <w:tab/>
      </w:r>
      <w:r w:rsidRPr="00BA7E13">
        <w:rPr>
          <w:sz w:val="24"/>
          <w:lang w:val="sl-SI"/>
        </w:rPr>
        <w:t>UL C 347, 9.9.2022, str. 211.</w:t>
      </w:r>
    </w:p>
  </w:footnote>
  <w:footnote w:id="13">
    <w:p w14:paraId="1B23D56B" w14:textId="5D81DB83" w:rsidR="005D3112" w:rsidRPr="00BA7E13" w:rsidRDefault="005D3112" w:rsidP="00BA7E13">
      <w:pPr>
        <w:pStyle w:val="FootnoteText"/>
        <w:ind w:left="567" w:hanging="567"/>
        <w:rPr>
          <w:sz w:val="24"/>
          <w:lang w:val="sl-SI"/>
        </w:rPr>
      </w:pPr>
      <w:r w:rsidRPr="00BA7E13">
        <w:rPr>
          <w:rStyle w:val="FootnoteReference"/>
          <w:sz w:val="24"/>
          <w:lang w:val="sl-SI"/>
        </w:rPr>
        <w:footnoteRef/>
      </w:r>
      <w:r w:rsidR="00BA7E13" w:rsidRPr="00BA7E13">
        <w:rPr>
          <w:sz w:val="24"/>
          <w:lang w:val="sl-SI"/>
        </w:rPr>
        <w:t xml:space="preserve"> </w:t>
      </w:r>
      <w:r w:rsidR="00BA7E13" w:rsidRPr="00BA7E13">
        <w:rPr>
          <w:sz w:val="24"/>
          <w:lang w:val="sl-SI"/>
        </w:rPr>
        <w:tab/>
      </w:r>
      <w:r w:rsidRPr="00BA7E13">
        <w:rPr>
          <w:sz w:val="24"/>
          <w:lang w:val="sl-SI"/>
        </w:rPr>
        <w:t>UL C 465, 6.12.2022, str. 109.</w:t>
      </w:r>
    </w:p>
  </w:footnote>
  <w:footnote w:id="14">
    <w:p w14:paraId="48BF3D7E" w14:textId="7826003D" w:rsidR="005D3112" w:rsidRPr="00BA7E13" w:rsidRDefault="005D3112" w:rsidP="00BA7E13">
      <w:pPr>
        <w:pStyle w:val="FootnoteText"/>
        <w:ind w:left="567" w:hanging="567"/>
        <w:rPr>
          <w:sz w:val="24"/>
          <w:lang w:val="sl-SI"/>
        </w:rPr>
      </w:pPr>
      <w:r w:rsidRPr="00BA7E13">
        <w:rPr>
          <w:rStyle w:val="FootnoteReference"/>
          <w:sz w:val="24"/>
          <w:lang w:val="sl-SI"/>
        </w:rPr>
        <w:footnoteRef/>
      </w:r>
      <w:r w:rsidR="00BA7E13" w:rsidRPr="00BA7E13">
        <w:rPr>
          <w:sz w:val="24"/>
          <w:lang w:val="sl-SI"/>
        </w:rPr>
        <w:t xml:space="preserve"> </w:t>
      </w:r>
      <w:r w:rsidR="00BA7E13" w:rsidRPr="00BA7E13">
        <w:rPr>
          <w:sz w:val="24"/>
          <w:lang w:val="sl-SI"/>
        </w:rPr>
        <w:tab/>
      </w:r>
      <w:r w:rsidRPr="00BA7E13">
        <w:rPr>
          <w:sz w:val="24"/>
          <w:lang w:val="sl-SI"/>
        </w:rPr>
        <w:t xml:space="preserve">UL C, C/2024/492, 23.1.2024, ELI: </w:t>
      </w:r>
      <w:hyperlink r:id="rId6" w:history="1">
        <w:r w:rsidRPr="00BA7E13">
          <w:rPr>
            <w:rStyle w:val="Hyperlink"/>
            <w:sz w:val="24"/>
            <w:lang w:val="sl-SI"/>
          </w:rPr>
          <w:t>http://data.europa.eu/eli/C/2024/492/oj</w:t>
        </w:r>
      </w:hyperlink>
      <w:r w:rsidRPr="00BA7E13">
        <w:rPr>
          <w:sz w:val="24"/>
          <w:lang w:val="sl-SI"/>
        </w:rPr>
        <w:t>.</w:t>
      </w:r>
    </w:p>
  </w:footnote>
  <w:footnote w:id="15">
    <w:p w14:paraId="6BA6D985" w14:textId="255E59A0" w:rsidR="005D3112" w:rsidRPr="00BA7E13" w:rsidRDefault="005D3112" w:rsidP="00BA7E13">
      <w:pPr>
        <w:pStyle w:val="FootnoteText"/>
        <w:ind w:left="567" w:hanging="567"/>
        <w:rPr>
          <w:sz w:val="24"/>
          <w:lang w:val="sl-SI"/>
        </w:rPr>
      </w:pPr>
      <w:r w:rsidRPr="00BA7E13">
        <w:rPr>
          <w:rStyle w:val="FootnoteReference"/>
          <w:sz w:val="24"/>
          <w:lang w:val="sl-SI"/>
        </w:rPr>
        <w:footnoteRef/>
      </w:r>
      <w:r w:rsidR="00BA7E13" w:rsidRPr="00BA7E13">
        <w:rPr>
          <w:sz w:val="24"/>
          <w:lang w:val="sl-SI"/>
        </w:rPr>
        <w:t xml:space="preserve"> </w:t>
      </w:r>
      <w:r w:rsidR="00BA7E13" w:rsidRPr="00BA7E13">
        <w:rPr>
          <w:sz w:val="24"/>
          <w:lang w:val="sl-SI"/>
        </w:rPr>
        <w:tab/>
      </w:r>
      <w:r w:rsidRPr="00BA7E13">
        <w:rPr>
          <w:sz w:val="24"/>
          <w:lang w:val="sl-SI"/>
        </w:rPr>
        <w:t>UL C</w:t>
      </w:r>
      <w:r w:rsidR="004521C5">
        <w:rPr>
          <w:sz w:val="24"/>
          <w:lang w:val="sl-SI"/>
        </w:rPr>
        <w:t>,</w:t>
      </w:r>
      <w:r w:rsidRPr="00BA7E13">
        <w:rPr>
          <w:sz w:val="24"/>
          <w:lang w:val="sl-SI"/>
        </w:rPr>
        <w:t xml:space="preserve"> </w:t>
      </w:r>
      <w:r w:rsidR="004521C5">
        <w:rPr>
          <w:sz w:val="24"/>
          <w:lang w:val="sl-SI"/>
        </w:rPr>
        <w:t>C/</w:t>
      </w:r>
      <w:r w:rsidRPr="00BA7E13">
        <w:rPr>
          <w:sz w:val="24"/>
          <w:lang w:val="sl-SI"/>
        </w:rPr>
        <w:t xml:space="preserve">2024/4165, 2.8.2024, ELI: </w:t>
      </w:r>
      <w:hyperlink r:id="rId7" w:history="1">
        <w:r w:rsidRPr="00BA7E13">
          <w:rPr>
            <w:rStyle w:val="Hyperlink"/>
            <w:sz w:val="24"/>
            <w:lang w:val="sl-SI"/>
          </w:rPr>
          <w:t>http://data.europa.eu/eli/C/2024/4165/oj</w:t>
        </w:r>
      </w:hyperlink>
      <w:r w:rsidRPr="00BA7E13">
        <w:rPr>
          <w:sz w:val="24"/>
          <w:lang w:val="sl-SI"/>
        </w:rPr>
        <w:t>.</w:t>
      </w:r>
    </w:p>
  </w:footnote>
  <w:footnote w:id="16">
    <w:p w14:paraId="7AF3BFD8" w14:textId="39FE7EB5" w:rsidR="005D3112" w:rsidRPr="00BA7E13" w:rsidRDefault="005D3112" w:rsidP="00BA7E13">
      <w:pPr>
        <w:pStyle w:val="FootnoteText"/>
        <w:ind w:left="567" w:hanging="567"/>
        <w:rPr>
          <w:sz w:val="24"/>
          <w:lang w:val="sl-SI"/>
        </w:rPr>
      </w:pPr>
      <w:r w:rsidRPr="00BA7E13">
        <w:rPr>
          <w:rStyle w:val="FootnoteReference"/>
          <w:sz w:val="24"/>
          <w:lang w:val="sl-SI"/>
        </w:rPr>
        <w:footnoteRef/>
      </w:r>
      <w:r w:rsidR="00BA7E13" w:rsidRPr="00BA7E13">
        <w:rPr>
          <w:sz w:val="24"/>
          <w:lang w:val="sl-SI"/>
        </w:rPr>
        <w:t xml:space="preserve"> </w:t>
      </w:r>
      <w:r w:rsidR="00BA7E13" w:rsidRPr="00BA7E13">
        <w:rPr>
          <w:sz w:val="24"/>
          <w:lang w:val="sl-SI"/>
        </w:rPr>
        <w:tab/>
      </w:r>
      <w:r w:rsidRPr="00BA7E13">
        <w:rPr>
          <w:sz w:val="24"/>
          <w:lang w:val="sl-SI"/>
        </w:rPr>
        <w:t xml:space="preserve">Svet Evropske unije: Generalni sekretariat Sveta, Konferenca o prihodnosti Evrope – Poročilo o končnem izidu – Maj 2022, Urad za publikacije Evropske unije, 2022, </w:t>
      </w:r>
      <w:hyperlink r:id="rId8" w:history="1">
        <w:r w:rsidRPr="00BA7E13">
          <w:rPr>
            <w:rStyle w:val="Hyperlink"/>
            <w:sz w:val="24"/>
            <w:lang w:val="sl-SI"/>
          </w:rPr>
          <w:t>https://data.europa.eu/doi/10.2860/637445</w:t>
        </w:r>
      </w:hyperlink>
      <w:r w:rsidRPr="00BA7E13">
        <w:rPr>
          <w:sz w:val="24"/>
          <w:lang w:val="sl-SI"/>
        </w:rPr>
        <w:t>.</w:t>
      </w:r>
    </w:p>
  </w:footnote>
  <w:footnote w:id="17">
    <w:p w14:paraId="7413BD79" w14:textId="556D5C47" w:rsidR="005D3112" w:rsidRPr="00BA7E13" w:rsidRDefault="005D3112" w:rsidP="00BA7E13">
      <w:pPr>
        <w:pStyle w:val="FootnoteText"/>
        <w:ind w:left="567" w:hanging="567"/>
        <w:rPr>
          <w:sz w:val="24"/>
          <w:lang w:val="sl-SI"/>
        </w:rPr>
      </w:pPr>
      <w:r w:rsidRPr="00BA7E13">
        <w:rPr>
          <w:rStyle w:val="FootnoteReference"/>
          <w:sz w:val="24"/>
          <w:lang w:val="sl-SI"/>
        </w:rPr>
        <w:footnoteRef/>
      </w:r>
      <w:r w:rsidR="00BA7E13" w:rsidRPr="00BA7E13">
        <w:rPr>
          <w:sz w:val="24"/>
          <w:lang w:val="sl-SI"/>
        </w:rPr>
        <w:t xml:space="preserve"> </w:t>
      </w:r>
      <w:r w:rsidR="00BA7E13" w:rsidRPr="00BA7E13">
        <w:rPr>
          <w:sz w:val="24"/>
          <w:lang w:val="sl-SI"/>
        </w:rPr>
        <w:tab/>
      </w:r>
      <w:r w:rsidRPr="00BA7E13">
        <w:rPr>
          <w:sz w:val="24"/>
          <w:lang w:val="sl-SI"/>
        </w:rPr>
        <w:t xml:space="preserve">Letta, E., Letta, E., </w:t>
      </w:r>
      <w:r w:rsidRPr="00BA7E13">
        <w:rPr>
          <w:i/>
          <w:sz w:val="24"/>
          <w:lang w:val="sl-SI"/>
        </w:rPr>
        <w:t xml:space="preserve">Much more than a market – Speed, Security, Solidarity – Empowering the Single Market to deliver a sustainable future and prosperity for all EU Citizens </w:t>
      </w:r>
      <w:r w:rsidRPr="00BA7E13">
        <w:rPr>
          <w:sz w:val="24"/>
          <w:lang w:val="sl-SI"/>
        </w:rPr>
        <w:t>(Veliko več kot trg – hitrost, varnost, solidarnost – krepitev enotnega trga za trajnostno prihodnost in blaginjo vseh državljanov EU), april 2024.</w:t>
      </w:r>
    </w:p>
  </w:footnote>
  <w:footnote w:id="18">
    <w:p w14:paraId="3458BC79" w14:textId="64D0A8D4" w:rsidR="005D3112" w:rsidRPr="00BA7E13" w:rsidRDefault="005D3112" w:rsidP="00BA7E13">
      <w:pPr>
        <w:pStyle w:val="FootnoteText"/>
        <w:ind w:left="567" w:hanging="567"/>
        <w:rPr>
          <w:sz w:val="24"/>
          <w:lang w:val="sl-SI"/>
        </w:rPr>
      </w:pPr>
      <w:r w:rsidRPr="00BA7E13">
        <w:rPr>
          <w:rStyle w:val="FootnoteReference"/>
          <w:sz w:val="24"/>
          <w:lang w:val="sl-SI"/>
        </w:rPr>
        <w:footnoteRef/>
      </w:r>
      <w:r w:rsidR="00BA7E13" w:rsidRPr="00BA7E13">
        <w:rPr>
          <w:sz w:val="24"/>
          <w:lang w:val="sl-SI"/>
        </w:rPr>
        <w:t xml:space="preserve"> </w:t>
      </w:r>
      <w:r w:rsidR="00BA7E13" w:rsidRPr="00BA7E13">
        <w:rPr>
          <w:sz w:val="24"/>
          <w:lang w:val="sl-SI"/>
        </w:rPr>
        <w:tab/>
      </w:r>
      <w:r w:rsidRPr="00BA7E13">
        <w:rPr>
          <w:sz w:val="24"/>
          <w:lang w:val="sl-SI"/>
        </w:rPr>
        <w:t xml:space="preserve">Draghi, M., </w:t>
      </w:r>
      <w:r w:rsidRPr="00BA7E13">
        <w:rPr>
          <w:i/>
          <w:sz w:val="24"/>
          <w:lang w:val="sl-SI"/>
        </w:rPr>
        <w:t>The future of European Competitiveness (Prihodnost evropske konkurenčnosti)</w:t>
      </w:r>
      <w:r w:rsidRPr="00BA7E13">
        <w:rPr>
          <w:sz w:val="24"/>
          <w:lang w:val="sl-SI"/>
        </w:rPr>
        <w:t>, 9. september 2024.</w:t>
      </w:r>
    </w:p>
  </w:footnote>
  <w:footnote w:id="19">
    <w:p w14:paraId="4B434EFD" w14:textId="2A4D7C35" w:rsidR="005D3112" w:rsidRPr="00BA7E13" w:rsidRDefault="005D3112" w:rsidP="00BA7E13">
      <w:pPr>
        <w:pStyle w:val="FootnoteText"/>
        <w:ind w:left="567" w:hanging="567"/>
        <w:rPr>
          <w:sz w:val="24"/>
          <w:lang w:val="sl-SI"/>
        </w:rPr>
      </w:pPr>
      <w:r w:rsidRPr="00BA7E13">
        <w:rPr>
          <w:rStyle w:val="FootnoteReference"/>
          <w:sz w:val="24"/>
          <w:lang w:val="sl-SI"/>
        </w:rPr>
        <w:footnoteRef/>
      </w:r>
      <w:r w:rsidR="00BA7E13" w:rsidRPr="00BA7E13">
        <w:rPr>
          <w:sz w:val="24"/>
          <w:lang w:val="sl-SI"/>
        </w:rPr>
        <w:t xml:space="preserve"> </w:t>
      </w:r>
      <w:r w:rsidR="00BA7E13" w:rsidRPr="00BA7E13">
        <w:rPr>
          <w:sz w:val="24"/>
          <w:lang w:val="sl-SI"/>
        </w:rPr>
        <w:tab/>
      </w:r>
      <w:r w:rsidRPr="00BA7E13">
        <w:rPr>
          <w:sz w:val="24"/>
          <w:lang w:val="sl-SI"/>
        </w:rPr>
        <w:t xml:space="preserve">Evropska komisija, </w:t>
      </w:r>
      <w:r w:rsidRPr="00BA7E13">
        <w:rPr>
          <w:i/>
          <w:iCs/>
          <w:sz w:val="24"/>
          <w:lang w:val="sl-SI"/>
        </w:rPr>
        <w:t xml:space="preserve">Data on Taxation Trends </w:t>
      </w:r>
      <w:r w:rsidRPr="00BA7E13">
        <w:rPr>
          <w:sz w:val="24"/>
          <w:lang w:val="sl-SI"/>
        </w:rPr>
        <w:t>(Podatki o trendih obdavčevanja), nazadnje posodobljeni 10. marca 2025.</w:t>
      </w:r>
    </w:p>
  </w:footnote>
  <w:footnote w:id="20">
    <w:p w14:paraId="703A225D" w14:textId="76D20902" w:rsidR="005D3112" w:rsidRPr="00BA7E13" w:rsidRDefault="005D3112" w:rsidP="00BA7E13">
      <w:pPr>
        <w:pStyle w:val="FootnoteText"/>
        <w:ind w:left="567" w:hanging="567"/>
        <w:rPr>
          <w:sz w:val="24"/>
          <w:lang w:val="sl-SI"/>
        </w:rPr>
      </w:pPr>
      <w:r w:rsidRPr="00BA7E13">
        <w:rPr>
          <w:rStyle w:val="FootnoteReference"/>
          <w:sz w:val="24"/>
          <w:lang w:val="sl-SI"/>
        </w:rPr>
        <w:footnoteRef/>
      </w:r>
      <w:r w:rsidR="00BA7E13" w:rsidRPr="00BA7E13">
        <w:rPr>
          <w:sz w:val="24"/>
          <w:lang w:val="sl-SI"/>
        </w:rPr>
        <w:t xml:space="preserve"> </w:t>
      </w:r>
      <w:r w:rsidR="00BA7E13" w:rsidRPr="00BA7E13">
        <w:rPr>
          <w:sz w:val="24"/>
          <w:lang w:val="sl-SI"/>
        </w:rPr>
        <w:tab/>
      </w:r>
      <w:r w:rsidRPr="00BA7E13">
        <w:rPr>
          <w:sz w:val="24"/>
          <w:lang w:val="sl-SI"/>
        </w:rPr>
        <w:t>Prav tam.</w:t>
      </w:r>
    </w:p>
  </w:footnote>
  <w:footnote w:id="21">
    <w:p w14:paraId="01453D8E" w14:textId="7ADB2934" w:rsidR="005D3112" w:rsidRPr="00BA7E13" w:rsidRDefault="005D3112" w:rsidP="00BA7E13">
      <w:pPr>
        <w:pStyle w:val="FootnoteText"/>
        <w:ind w:left="567" w:hanging="567"/>
        <w:rPr>
          <w:sz w:val="24"/>
          <w:lang w:val="sl-SI"/>
        </w:rPr>
      </w:pPr>
      <w:r w:rsidRPr="00BA7E13">
        <w:rPr>
          <w:rStyle w:val="FootnoteReference"/>
          <w:sz w:val="24"/>
          <w:lang w:val="sl-SI"/>
        </w:rPr>
        <w:footnoteRef/>
      </w:r>
      <w:r w:rsidR="00BA7E13" w:rsidRPr="00BA7E13">
        <w:rPr>
          <w:sz w:val="24"/>
          <w:lang w:val="sl-SI"/>
        </w:rPr>
        <w:t xml:space="preserve"> </w:t>
      </w:r>
      <w:r w:rsidR="00BA7E13" w:rsidRPr="00BA7E13">
        <w:rPr>
          <w:sz w:val="24"/>
          <w:lang w:val="sl-SI"/>
        </w:rPr>
        <w:tab/>
      </w:r>
      <w:r w:rsidRPr="00BA7E13">
        <w:rPr>
          <w:sz w:val="24"/>
          <w:lang w:val="sl-SI"/>
        </w:rPr>
        <w:t>Prav tam.</w:t>
      </w:r>
    </w:p>
  </w:footnote>
  <w:footnote w:id="22">
    <w:p w14:paraId="58571620" w14:textId="63154F15" w:rsidR="005D3112" w:rsidRPr="00BA7E13" w:rsidRDefault="005D3112" w:rsidP="00BA7E13">
      <w:pPr>
        <w:pStyle w:val="FootnoteText"/>
        <w:ind w:left="567" w:hanging="567"/>
        <w:rPr>
          <w:sz w:val="24"/>
          <w:lang w:val="sl-SI"/>
        </w:rPr>
      </w:pPr>
      <w:r w:rsidRPr="00BA7E13">
        <w:rPr>
          <w:rStyle w:val="FootnoteReference"/>
          <w:sz w:val="24"/>
          <w:lang w:val="sl-SI"/>
        </w:rPr>
        <w:footnoteRef/>
      </w:r>
      <w:r w:rsidR="00BA7E13" w:rsidRPr="00BA7E13">
        <w:rPr>
          <w:sz w:val="24"/>
          <w:lang w:val="sl-SI"/>
        </w:rPr>
        <w:t xml:space="preserve"> </w:t>
      </w:r>
      <w:r w:rsidR="00BA7E13" w:rsidRPr="00BA7E13">
        <w:rPr>
          <w:sz w:val="24"/>
          <w:lang w:val="sl-SI"/>
        </w:rPr>
        <w:tab/>
      </w:r>
      <w:r w:rsidRPr="00BA7E13">
        <w:rPr>
          <w:sz w:val="24"/>
          <w:lang w:val="sl-SI"/>
        </w:rPr>
        <w:t xml:space="preserve">Evropska komisija: Generalni direktorat za obdavčenje in carinsko unijo, Center for Social and Economic Research (CASE), Oxford Economics, Syntesia, Bonch-Osmolovskiy, M. in drugi., </w:t>
      </w:r>
      <w:r w:rsidRPr="00BA7E13">
        <w:rPr>
          <w:rStyle w:val="Italic"/>
          <w:sz w:val="24"/>
          <w:lang w:val="sl-SI"/>
        </w:rPr>
        <w:t>VAT gap in the EU (Vrzel pri pobiranju DDV v EU)</w:t>
      </w:r>
      <w:r w:rsidRPr="00BA7E13">
        <w:rPr>
          <w:sz w:val="24"/>
          <w:lang w:val="sl-SI"/>
        </w:rPr>
        <w:t xml:space="preserve"> –</w:t>
      </w:r>
      <w:r w:rsidRPr="00BA7E13">
        <w:rPr>
          <w:rStyle w:val="Italic"/>
          <w:sz w:val="24"/>
          <w:lang w:val="sl-SI"/>
        </w:rPr>
        <w:t xml:space="preserve"> poročilo za leto 2024</w:t>
      </w:r>
      <w:r w:rsidRPr="00BA7E13">
        <w:rPr>
          <w:sz w:val="24"/>
          <w:lang w:val="sl-SI"/>
        </w:rPr>
        <w:t xml:space="preserve">, Poniatowski, G.(urednik), Urad za publikacije Evropske unije, 2024, </w:t>
      </w:r>
      <w:hyperlink r:id="rId9" w:history="1">
        <w:r w:rsidRPr="00BA7E13">
          <w:rPr>
            <w:rStyle w:val="Hyperlink"/>
            <w:sz w:val="24"/>
            <w:lang w:val="sl-SI"/>
          </w:rPr>
          <w:t>https://data.europa.eu/doi/10.2778/2476549</w:t>
        </w:r>
      </w:hyperlink>
      <w:r w:rsidRPr="00BA7E13">
        <w:rPr>
          <w:sz w:val="24"/>
          <w:lang w:val="sl-SI"/>
        </w:rPr>
        <w:t>.</w:t>
      </w:r>
    </w:p>
  </w:footnote>
  <w:footnote w:id="23">
    <w:p w14:paraId="1FF8A38B" w14:textId="4BF567CD" w:rsidR="005D3112" w:rsidRPr="00BA7E13" w:rsidRDefault="005D3112" w:rsidP="00BA7E13">
      <w:pPr>
        <w:pStyle w:val="FootnoteText"/>
        <w:ind w:left="567" w:hanging="567"/>
        <w:rPr>
          <w:sz w:val="24"/>
          <w:lang w:val="sl-SI"/>
        </w:rPr>
      </w:pPr>
      <w:r w:rsidRPr="00BA7E13">
        <w:rPr>
          <w:rStyle w:val="FootnoteReference"/>
          <w:sz w:val="24"/>
          <w:lang w:val="sl-SI"/>
        </w:rPr>
        <w:footnoteRef/>
      </w:r>
      <w:r w:rsidR="00BA7E13" w:rsidRPr="00BA7E13">
        <w:rPr>
          <w:sz w:val="24"/>
          <w:lang w:val="sl-SI"/>
        </w:rPr>
        <w:t xml:space="preserve"> </w:t>
      </w:r>
      <w:r w:rsidR="00BA7E13" w:rsidRPr="00BA7E13">
        <w:rPr>
          <w:sz w:val="24"/>
          <w:lang w:val="sl-SI"/>
        </w:rPr>
        <w:tab/>
      </w:r>
      <w:r w:rsidRPr="00BA7E13">
        <w:rPr>
          <w:sz w:val="24"/>
          <w:lang w:val="sl-SI"/>
        </w:rPr>
        <w:t xml:space="preserve">Evropska komisija, </w:t>
      </w:r>
      <w:r w:rsidRPr="00BA7E13">
        <w:rPr>
          <w:i/>
          <w:iCs/>
          <w:sz w:val="24"/>
          <w:lang w:val="sl-SI"/>
        </w:rPr>
        <w:t>Questions and Answers: VAT Gap 2022 report</w:t>
      </w:r>
      <w:r w:rsidRPr="00BA7E13">
        <w:rPr>
          <w:sz w:val="24"/>
          <w:lang w:val="sl-SI"/>
        </w:rPr>
        <w:t xml:space="preserve"> (Vprašanja in odgovori: Poročilo o vrzeli pri pobiranju DDV za leto 2022), Spletišče Evropske komisije, 8. december 2022, </w:t>
      </w:r>
      <w:hyperlink r:id="rId10" w:history="1">
        <w:r w:rsidRPr="00BA7E13">
          <w:rPr>
            <w:rStyle w:val="Hyperlink"/>
            <w:sz w:val="24"/>
            <w:lang w:val="sl-SI"/>
          </w:rPr>
          <w:t>https://ec.europa.eu/commission/presscorner/detail/sl/qanda_22_7519</w:t>
        </w:r>
      </w:hyperlink>
      <w:r w:rsidRPr="00BA7E13">
        <w:rPr>
          <w:sz w:val="24"/>
          <w:lang w:val="sl-SI"/>
        </w:rPr>
        <w:t>.</w:t>
      </w:r>
    </w:p>
  </w:footnote>
  <w:footnote w:id="24">
    <w:p w14:paraId="20A6C93D" w14:textId="1E90725D" w:rsidR="005D3112" w:rsidRPr="00BA7E13" w:rsidRDefault="005D3112" w:rsidP="00BA7E13">
      <w:pPr>
        <w:pStyle w:val="FootnoteText"/>
        <w:ind w:left="567" w:hanging="567"/>
        <w:rPr>
          <w:sz w:val="24"/>
          <w:lang w:val="sl-SI"/>
        </w:rPr>
      </w:pPr>
      <w:r w:rsidRPr="00BA7E13">
        <w:rPr>
          <w:rStyle w:val="FootnoteReference"/>
          <w:sz w:val="24"/>
          <w:lang w:val="sl-SI"/>
        </w:rPr>
        <w:footnoteRef/>
      </w:r>
      <w:r w:rsidR="00BA7E13" w:rsidRPr="00BA7E13">
        <w:rPr>
          <w:sz w:val="24"/>
          <w:lang w:val="sl-SI"/>
        </w:rPr>
        <w:t xml:space="preserve"> </w:t>
      </w:r>
      <w:r w:rsidR="00BA7E13" w:rsidRPr="00BA7E13">
        <w:rPr>
          <w:sz w:val="24"/>
          <w:lang w:val="sl-SI"/>
        </w:rPr>
        <w:tab/>
      </w:r>
      <w:r w:rsidRPr="00BA7E13">
        <w:rPr>
          <w:sz w:val="24"/>
          <w:lang w:val="sl-SI"/>
        </w:rPr>
        <w:t xml:space="preserve">Evropska komisija: Generalni direktorat za obdavčenje in carinsko unijo, </w:t>
      </w:r>
      <w:r w:rsidRPr="00BA7E13">
        <w:rPr>
          <w:i/>
          <w:sz w:val="24"/>
          <w:lang w:val="sl-SI"/>
        </w:rPr>
        <w:t>Annual report on taxation 2024 – Review of taxation policies in the European Union</w:t>
      </w:r>
      <w:r w:rsidRPr="00BA7E13">
        <w:rPr>
          <w:sz w:val="24"/>
          <w:lang w:val="sl-SI"/>
        </w:rPr>
        <w:t xml:space="preserve"> (Letno poročilo o obdavčitvi za leto 2024 – Pregled davčnih politik v Evropski uniji) Urad za publikacije Evropske unije, 2024, </w:t>
      </w:r>
      <w:hyperlink r:id="rId11" w:history="1">
        <w:r w:rsidRPr="00BA7E13">
          <w:rPr>
            <w:rStyle w:val="Hyperlink"/>
            <w:sz w:val="24"/>
            <w:lang w:val="sl-SI"/>
          </w:rPr>
          <w:t>https://data.europa.eu/doi/10.2778/10846</w:t>
        </w:r>
      </w:hyperlink>
      <w:r w:rsidRPr="00BA7E13">
        <w:rPr>
          <w:sz w:val="24"/>
          <w:lang w:val="sl-SI"/>
        </w:rPr>
        <w:t>.</w:t>
      </w:r>
    </w:p>
  </w:footnote>
  <w:footnote w:id="25">
    <w:p w14:paraId="3982F669" w14:textId="193638C4" w:rsidR="005D3112" w:rsidRPr="00BA7E13" w:rsidRDefault="005D3112" w:rsidP="00BA7E13">
      <w:pPr>
        <w:pStyle w:val="FootnoteText"/>
        <w:ind w:left="567" w:hanging="567"/>
        <w:rPr>
          <w:sz w:val="24"/>
          <w:lang w:val="sl-SI"/>
        </w:rPr>
      </w:pPr>
      <w:r w:rsidRPr="00BA7E13">
        <w:rPr>
          <w:rStyle w:val="FootnoteReference"/>
          <w:sz w:val="24"/>
          <w:lang w:val="sl-SI"/>
        </w:rPr>
        <w:footnoteRef/>
      </w:r>
      <w:r w:rsidR="00BA7E13" w:rsidRPr="00BA7E13">
        <w:rPr>
          <w:sz w:val="24"/>
          <w:lang w:val="sl-SI"/>
        </w:rPr>
        <w:t xml:space="preserve"> </w:t>
      </w:r>
      <w:r w:rsidR="00BA7E13" w:rsidRPr="00BA7E13">
        <w:rPr>
          <w:sz w:val="24"/>
          <w:lang w:val="sl-SI"/>
        </w:rPr>
        <w:tab/>
      </w:r>
      <w:r w:rsidRPr="00BA7E13">
        <w:rPr>
          <w:sz w:val="24"/>
          <w:lang w:val="sl-SI"/>
        </w:rPr>
        <w:t xml:space="preserve">Evropska komisija: Izvajalska agencija Evropskega sveta za inovacije ter za mala in srednja podjetja, Generalni direktorat za notranji trg, industrijo, podjetništvo ter mala in srednja podjetja, KPMG, VVA, Di Legge, A. in drugi, </w:t>
      </w:r>
      <w:r w:rsidRPr="00BA7E13">
        <w:rPr>
          <w:i/>
          <w:sz w:val="24"/>
          <w:lang w:val="sl-SI"/>
        </w:rPr>
        <w:t xml:space="preserve">Tax compliance costs for SMEs – An update and a complement – Final report </w:t>
      </w:r>
      <w:r w:rsidRPr="00BA7E13">
        <w:rPr>
          <w:sz w:val="24"/>
          <w:lang w:val="sl-SI"/>
        </w:rPr>
        <w:t>(Stroški izpolnjevanja davčnih obveznosti za MSP: posodobitev in dopolnilo – končno poročilo), Urad za publikacije Evropske unije, 2022, </w:t>
      </w:r>
      <w:hyperlink r:id="rId12" w:history="1">
        <w:r w:rsidRPr="00BA7E13">
          <w:rPr>
            <w:rStyle w:val="Hyperlink"/>
            <w:sz w:val="24"/>
            <w:lang w:val="sl-SI"/>
          </w:rPr>
          <w:t>https://data.europa.eu/doi/10.2873/180570</w:t>
        </w:r>
      </w:hyperlink>
      <w:r w:rsidRPr="00BA7E13">
        <w:rPr>
          <w:sz w:val="24"/>
          <w:lang w:val="sl-SI"/>
        </w:rPr>
        <w:t>.</w:t>
      </w:r>
    </w:p>
  </w:footnote>
  <w:footnote w:id="26">
    <w:p w14:paraId="7033FE65" w14:textId="539DC007" w:rsidR="005D3112" w:rsidRPr="00BA7E13" w:rsidRDefault="005D3112" w:rsidP="00BA7E13">
      <w:pPr>
        <w:pStyle w:val="FootnoteText"/>
        <w:ind w:left="567" w:hanging="567"/>
        <w:rPr>
          <w:sz w:val="24"/>
          <w:lang w:val="sl-SI"/>
        </w:rPr>
      </w:pPr>
      <w:r w:rsidRPr="00BA7E13">
        <w:rPr>
          <w:rStyle w:val="FootnoteReference"/>
          <w:sz w:val="24"/>
          <w:lang w:val="sl-SI"/>
        </w:rPr>
        <w:footnoteRef/>
      </w:r>
      <w:r w:rsidR="00BA7E13" w:rsidRPr="00BA7E13">
        <w:rPr>
          <w:sz w:val="24"/>
          <w:lang w:val="sl-SI"/>
        </w:rPr>
        <w:t xml:space="preserve"> </w:t>
      </w:r>
      <w:r w:rsidR="00BA7E13" w:rsidRPr="00BA7E13">
        <w:rPr>
          <w:sz w:val="24"/>
          <w:lang w:val="sl-SI"/>
        </w:rPr>
        <w:tab/>
      </w:r>
      <w:r w:rsidRPr="00BA7E13">
        <w:rPr>
          <w:sz w:val="24"/>
          <w:lang w:val="sl-SI"/>
        </w:rPr>
        <w:t xml:space="preserve">Letta, E., </w:t>
      </w:r>
      <w:r w:rsidRPr="00BA7E13">
        <w:rPr>
          <w:i/>
          <w:sz w:val="24"/>
          <w:lang w:val="sl-SI"/>
        </w:rPr>
        <w:t>Much more than a market – Speed, Security, Solidarity – Empowering the Single Market to deliver a sustainable future and prosperity for all EU Citizens</w:t>
      </w:r>
      <w:r w:rsidRPr="00BA7E13">
        <w:rPr>
          <w:sz w:val="24"/>
          <w:lang w:val="sl-SI"/>
        </w:rPr>
        <w:t xml:space="preserve"> (Veliko več kot trg – hitrost, varnost, solidarnost – krepitev enotnega trga za trajnostno prihodnost in blaginjo vseh državljanov EU), april 2024, str. 91, 111.</w:t>
      </w:r>
    </w:p>
  </w:footnote>
  <w:footnote w:id="27">
    <w:p w14:paraId="15B36A3F" w14:textId="5E99DBBE" w:rsidR="005D3112" w:rsidRPr="00BA7E13" w:rsidRDefault="005D3112" w:rsidP="00BA7E13">
      <w:pPr>
        <w:pStyle w:val="FootnoteText"/>
        <w:ind w:left="567" w:hanging="567"/>
        <w:rPr>
          <w:sz w:val="24"/>
          <w:lang w:val="sl-SI"/>
        </w:rPr>
      </w:pPr>
      <w:r w:rsidRPr="00BA7E13">
        <w:rPr>
          <w:rStyle w:val="FootnoteReference"/>
          <w:sz w:val="24"/>
          <w:lang w:val="sl-SI"/>
        </w:rPr>
        <w:footnoteRef/>
      </w:r>
      <w:r w:rsidR="00BA7E13" w:rsidRPr="00BA7E13">
        <w:rPr>
          <w:sz w:val="24"/>
          <w:lang w:val="sl-SI"/>
        </w:rPr>
        <w:t xml:space="preserve"> </w:t>
      </w:r>
      <w:r w:rsidR="00BA7E13" w:rsidRPr="00BA7E13">
        <w:rPr>
          <w:sz w:val="24"/>
          <w:lang w:val="sl-SI"/>
        </w:rPr>
        <w:tab/>
      </w:r>
      <w:r w:rsidRPr="00BA7E13">
        <w:rPr>
          <w:sz w:val="24"/>
          <w:lang w:val="sl-SI"/>
        </w:rPr>
        <w:t xml:space="preserve">Direktiva Sveta 2003/96/ES z dne 27. oktobra 2003 o prestrukturiranju okvira Skupnosti za obdavčitev energentov in električne energije (UL L 283, 31.10.2003, str. 51, ELI: </w:t>
      </w:r>
      <w:hyperlink r:id="rId13" w:history="1">
        <w:r w:rsidRPr="00BA7E13">
          <w:rPr>
            <w:rStyle w:val="Hyperlink"/>
            <w:sz w:val="24"/>
            <w:lang w:val="sl-SI"/>
          </w:rPr>
          <w:t>http://data.europa.eu/eli/dir/2003/96/oj</w:t>
        </w:r>
      </w:hyperlink>
      <w:r w:rsidRPr="00BA7E13">
        <w:rPr>
          <w:sz w:val="24"/>
          <w:lang w:val="sl-SI"/>
        </w:rPr>
        <w:t>).</w:t>
      </w:r>
    </w:p>
  </w:footnote>
  <w:footnote w:id="28">
    <w:p w14:paraId="1EFFA89D" w14:textId="063E5A4F" w:rsidR="005D3112" w:rsidRPr="00BA7E13" w:rsidRDefault="005D3112" w:rsidP="00BA7E13">
      <w:pPr>
        <w:pStyle w:val="FootnoteText"/>
        <w:ind w:left="567" w:hanging="567"/>
        <w:rPr>
          <w:sz w:val="24"/>
          <w:lang w:val="sl-SI"/>
        </w:rPr>
      </w:pPr>
      <w:r w:rsidRPr="00BA7E13">
        <w:rPr>
          <w:rStyle w:val="FootnoteReference"/>
          <w:sz w:val="24"/>
          <w:lang w:val="sl-SI"/>
        </w:rPr>
        <w:footnoteRef/>
      </w:r>
      <w:r w:rsidR="00BA7E13" w:rsidRPr="00BA7E13">
        <w:rPr>
          <w:sz w:val="24"/>
          <w:lang w:val="sl-SI"/>
        </w:rPr>
        <w:t xml:space="preserve"> </w:t>
      </w:r>
      <w:r w:rsidR="00BA7E13" w:rsidRPr="00BA7E13">
        <w:rPr>
          <w:sz w:val="24"/>
          <w:lang w:val="sl-SI"/>
        </w:rPr>
        <w:tab/>
      </w:r>
      <w:r w:rsidRPr="00BA7E13">
        <w:rPr>
          <w:sz w:val="24"/>
          <w:lang w:val="sl-SI"/>
        </w:rPr>
        <w:t xml:space="preserve">Direktiva (EU) 2021/2101 Evropskega parlamenta in Sveta z dne 24. novembra 2021 o spremembi Direktive 2013/34/EU glede razkritja davčnih informacij v zvezi z dohodki s strani nekaterih podjetij in podružnic </w:t>
      </w:r>
      <w:r w:rsidR="0048013F">
        <w:rPr>
          <w:sz w:val="24"/>
          <w:lang w:val="sl-SI"/>
        </w:rPr>
        <w:t>(</w:t>
      </w:r>
      <w:r w:rsidRPr="00BA7E13">
        <w:rPr>
          <w:sz w:val="24"/>
          <w:lang w:val="sl-SI"/>
        </w:rPr>
        <w:t xml:space="preserve">UL L 429, 1.12.2021, str. 1, ELI: </w:t>
      </w:r>
      <w:hyperlink r:id="rId14" w:history="1">
        <w:r w:rsidRPr="00BA7E13">
          <w:rPr>
            <w:rStyle w:val="Hyperlink"/>
            <w:sz w:val="24"/>
            <w:lang w:val="sl-SI"/>
          </w:rPr>
          <w:t>http://data.europa.eu/eli/dir/2021/2101/oj</w:t>
        </w:r>
      </w:hyperlink>
      <w:r w:rsidRPr="00BA7E13">
        <w:rPr>
          <w:sz w:val="24"/>
          <w:lang w:val="sl-SI"/>
        </w:rPr>
        <w:t>).</w:t>
      </w:r>
    </w:p>
  </w:footnote>
  <w:footnote w:id="29">
    <w:p w14:paraId="50F44B94" w14:textId="61BF6C9A" w:rsidR="005D3112" w:rsidRPr="00BA7E13" w:rsidRDefault="005D3112" w:rsidP="00BA7E13">
      <w:pPr>
        <w:pStyle w:val="FootnoteText"/>
        <w:ind w:left="567" w:hanging="567"/>
        <w:rPr>
          <w:sz w:val="24"/>
          <w:lang w:val="sl-SI"/>
        </w:rPr>
      </w:pPr>
      <w:r w:rsidRPr="00BA7E13">
        <w:rPr>
          <w:rStyle w:val="FootnoteReference"/>
          <w:sz w:val="24"/>
          <w:lang w:val="sl-SI"/>
        </w:rPr>
        <w:footnoteRef/>
      </w:r>
      <w:r w:rsidR="00BA7E13" w:rsidRPr="00BA7E13">
        <w:rPr>
          <w:sz w:val="24"/>
          <w:lang w:val="sl-SI"/>
        </w:rPr>
        <w:t xml:space="preserve"> </w:t>
      </w:r>
      <w:r w:rsidR="00BA7E13" w:rsidRPr="00BA7E13">
        <w:rPr>
          <w:sz w:val="24"/>
          <w:lang w:val="sl-SI"/>
        </w:rPr>
        <w:tab/>
      </w:r>
      <w:r w:rsidRPr="00BA7E13">
        <w:rPr>
          <w:sz w:val="24"/>
          <w:lang w:val="sl-SI"/>
        </w:rPr>
        <w:t xml:space="preserve">Direktiva Sveta (EU) 2025/516 z dne 11. marca 2025 o spremembi Direktive 2006/112/ES glede pravil o DDV za digitalno dobo (UL L, 2025/516, 25.3.2025, ELI: </w:t>
      </w:r>
      <w:hyperlink r:id="rId15" w:history="1">
        <w:r w:rsidRPr="00BA7E13">
          <w:rPr>
            <w:rStyle w:val="Hyperlink"/>
            <w:sz w:val="24"/>
            <w:lang w:val="sl-SI"/>
          </w:rPr>
          <w:t>http://data.europa.eu/eli/dir/2025/516/oj</w:t>
        </w:r>
      </w:hyperlink>
      <w:r w:rsidRPr="00BA7E13">
        <w:rPr>
          <w:sz w:val="24"/>
          <w:lang w:val="sl-SI"/>
        </w:rPr>
        <w:t>).</w:t>
      </w:r>
    </w:p>
  </w:footnote>
  <w:footnote w:id="30">
    <w:p w14:paraId="47043D9D" w14:textId="211B4744" w:rsidR="005D3112" w:rsidRPr="00BA7E13" w:rsidRDefault="005D3112" w:rsidP="00BA7E13">
      <w:pPr>
        <w:pStyle w:val="FootnoteText"/>
        <w:ind w:left="567" w:hanging="567"/>
        <w:rPr>
          <w:sz w:val="24"/>
          <w:lang w:val="sl-SI"/>
        </w:rPr>
      </w:pPr>
      <w:r w:rsidRPr="00BA7E13">
        <w:rPr>
          <w:rStyle w:val="FootnoteReference"/>
          <w:sz w:val="24"/>
          <w:lang w:val="sl-SI"/>
        </w:rPr>
        <w:footnoteRef/>
      </w:r>
      <w:r w:rsidR="00BA7E13" w:rsidRPr="00BA7E13">
        <w:rPr>
          <w:sz w:val="24"/>
          <w:lang w:val="sl-SI"/>
        </w:rPr>
        <w:t xml:space="preserve"> </w:t>
      </w:r>
      <w:r w:rsidR="00BA7E13" w:rsidRPr="00BA7E13">
        <w:rPr>
          <w:sz w:val="24"/>
          <w:lang w:val="sl-SI"/>
        </w:rPr>
        <w:tab/>
      </w:r>
      <w:r w:rsidRPr="00BA7E13">
        <w:rPr>
          <w:sz w:val="24"/>
          <w:lang w:val="sl-SI"/>
        </w:rPr>
        <w:t>Direktiva Sveta 2008/9/ES z dne 12. februarja 2008 o podrobnih pravilih za vračilo davka na dodano vrednost, opredeljenih v Direktivi 2006/112/ES, davčnim zavezancem, ki nimajo sedeža v državi članici vračila, ampak v drugi državi članici (UL L 44, 20.2.2008, str. 23</w:t>
      </w:r>
      <w:r w:rsidR="0048013F">
        <w:rPr>
          <w:sz w:val="24"/>
          <w:lang w:val="sl-SI"/>
        </w:rPr>
        <w:t>, ELI:</w:t>
      </w:r>
      <w:r w:rsidRPr="00BA7E13">
        <w:rPr>
          <w:sz w:val="24"/>
          <w:lang w:val="sl-SI"/>
        </w:rPr>
        <w:t xml:space="preserve"> </w:t>
      </w:r>
      <w:hyperlink r:id="rId16" w:history="1">
        <w:r w:rsidRPr="00BA7E13">
          <w:rPr>
            <w:rStyle w:val="Hyperlink"/>
            <w:sz w:val="24"/>
            <w:lang w:val="sl-SI"/>
          </w:rPr>
          <w:t>http://data.europa.eu/eli/dir/2008/9/oj</w:t>
        </w:r>
      </w:hyperlink>
      <w:r w:rsidRPr="00BA7E13">
        <w:rPr>
          <w:sz w:val="24"/>
          <w:lang w:val="sl-SI"/>
        </w:rPr>
        <w:t>).</w:t>
      </w:r>
    </w:p>
  </w:footnote>
  <w:footnote w:id="31">
    <w:p w14:paraId="08BC8981" w14:textId="56015E77" w:rsidR="005D3112" w:rsidRPr="00BA7E13" w:rsidRDefault="005D3112" w:rsidP="00BA7E13">
      <w:pPr>
        <w:pStyle w:val="FootnoteText"/>
        <w:ind w:left="567" w:hanging="567"/>
        <w:rPr>
          <w:sz w:val="24"/>
          <w:lang w:val="sl-SI"/>
        </w:rPr>
      </w:pPr>
      <w:r w:rsidRPr="00BA7E13">
        <w:rPr>
          <w:rStyle w:val="FootnoteReference"/>
          <w:sz w:val="24"/>
          <w:lang w:val="sl-SI"/>
        </w:rPr>
        <w:footnoteRef/>
      </w:r>
      <w:r w:rsidR="00BA7E13" w:rsidRPr="00BA7E13">
        <w:rPr>
          <w:sz w:val="24"/>
          <w:lang w:val="sl-SI"/>
        </w:rPr>
        <w:t xml:space="preserve"> </w:t>
      </w:r>
      <w:r w:rsidR="00BA7E13" w:rsidRPr="00BA7E13">
        <w:rPr>
          <w:sz w:val="24"/>
          <w:lang w:val="sl-SI"/>
        </w:rPr>
        <w:tab/>
      </w:r>
      <w:r w:rsidRPr="00BA7E13">
        <w:rPr>
          <w:sz w:val="24"/>
          <w:lang w:val="sl-SI"/>
        </w:rPr>
        <w:t xml:space="preserve">Direktiva Sveta 2006/112/ES z dne 28. novembra 2006 o skupnem sistemu davka na dodano vrednost (UL L 347, 11.12.2006, str. 1, ELI: </w:t>
      </w:r>
      <w:hyperlink r:id="rId17" w:history="1">
        <w:r w:rsidRPr="00BA7E13">
          <w:rPr>
            <w:rStyle w:val="Hyperlink"/>
            <w:sz w:val="24"/>
            <w:lang w:val="sl-SI"/>
          </w:rPr>
          <w:t>http://data.europa.eu/eli/dir/2006/112/oj</w:t>
        </w:r>
      </w:hyperlink>
      <w:r w:rsidRPr="00BA7E13">
        <w:rPr>
          <w:sz w:val="24"/>
          <w:lang w:val="sl-SI"/>
        </w:rPr>
        <w:t>).</w:t>
      </w:r>
    </w:p>
  </w:footnote>
  <w:footnote w:id="32">
    <w:p w14:paraId="43F3C8B2" w14:textId="2DB39034" w:rsidR="005D3112" w:rsidRPr="00BA7E13" w:rsidRDefault="005D3112" w:rsidP="00BA7E13">
      <w:pPr>
        <w:pStyle w:val="FootnoteText"/>
        <w:ind w:left="567" w:hanging="567"/>
        <w:rPr>
          <w:sz w:val="24"/>
          <w:lang w:val="sl-SI"/>
        </w:rPr>
      </w:pPr>
      <w:r w:rsidRPr="00BA7E13">
        <w:rPr>
          <w:rStyle w:val="FootnoteReference"/>
          <w:sz w:val="24"/>
          <w:lang w:val="sl-SI"/>
        </w:rPr>
        <w:footnoteRef/>
      </w:r>
      <w:r w:rsidR="00BA7E13" w:rsidRPr="00BA7E13">
        <w:rPr>
          <w:sz w:val="24"/>
          <w:lang w:val="sl-SI"/>
        </w:rPr>
        <w:t xml:space="preserve"> </w:t>
      </w:r>
      <w:r w:rsidR="00BA7E13" w:rsidRPr="00BA7E13">
        <w:rPr>
          <w:sz w:val="24"/>
          <w:lang w:val="sl-SI"/>
        </w:rPr>
        <w:tab/>
      </w:r>
      <w:r w:rsidRPr="00BA7E13">
        <w:rPr>
          <w:sz w:val="24"/>
          <w:lang w:val="sl-SI"/>
        </w:rPr>
        <w:t xml:space="preserve">Direktiva Sveta (EU) 2022/2523 z dne 14. decembra 2022 o zagotavljanju globalne minimalne davčne stopnje za mednarodne skupine podjetij in velike domače skupine v Uniji (UL L 328, 22.12.2022, str. 1, ELI: </w:t>
      </w:r>
      <w:hyperlink r:id="rId18" w:history="1">
        <w:r w:rsidRPr="00BA7E13">
          <w:rPr>
            <w:rStyle w:val="Hyperlink"/>
            <w:sz w:val="24"/>
            <w:lang w:val="sl-SI"/>
          </w:rPr>
          <w:t>http://data.europa.eu/eli/dir/2022/2523/oj</w:t>
        </w:r>
      </w:hyperlink>
      <w:r w:rsidRPr="00BA7E13">
        <w:rPr>
          <w:sz w:val="24"/>
          <w:lang w:val="sl-SI"/>
        </w:rPr>
        <w:t>).</w:t>
      </w:r>
    </w:p>
  </w:footnote>
  <w:footnote w:id="33">
    <w:p w14:paraId="7A671C4B" w14:textId="65FBD3B7" w:rsidR="005D3112" w:rsidRPr="00BA7E13" w:rsidRDefault="005D3112" w:rsidP="00BA7E13">
      <w:pPr>
        <w:pStyle w:val="FootnoteText"/>
        <w:ind w:left="567" w:hanging="567"/>
        <w:rPr>
          <w:sz w:val="24"/>
          <w:lang w:val="sl-SI"/>
        </w:rPr>
      </w:pPr>
      <w:r w:rsidRPr="00BA7E13">
        <w:rPr>
          <w:rStyle w:val="FootnoteReference"/>
          <w:sz w:val="24"/>
          <w:lang w:val="sl-SI"/>
        </w:rPr>
        <w:footnoteRef/>
      </w:r>
      <w:r w:rsidR="00BA7E13" w:rsidRPr="00BA7E13">
        <w:rPr>
          <w:sz w:val="24"/>
          <w:lang w:val="sl-SI"/>
        </w:rPr>
        <w:t xml:space="preserve"> </w:t>
      </w:r>
      <w:r w:rsidR="00BA7E13" w:rsidRPr="00BA7E13">
        <w:rPr>
          <w:sz w:val="24"/>
          <w:lang w:val="sl-SI"/>
        </w:rPr>
        <w:tab/>
      </w:r>
      <w:r w:rsidRPr="00BA7E13">
        <w:rPr>
          <w:sz w:val="24"/>
          <w:lang w:val="sl-SI"/>
        </w:rPr>
        <w:t xml:space="preserve">Direktiva Sveta (EU) 2025/50 z dne 10. decembra 2024 o hitrejšem in varnejšem zmanjšanju presežnih davčnih odtegljajev (UL L, 2025/50, 10.1.2025, ELI: </w:t>
      </w:r>
      <w:hyperlink r:id="rId19" w:history="1">
        <w:r w:rsidRPr="00BA7E13">
          <w:rPr>
            <w:rStyle w:val="Hyperlink"/>
            <w:sz w:val="24"/>
            <w:lang w:val="sl-SI"/>
          </w:rPr>
          <w:t>http://data.europa.eu/eli/dir/2025/50/oj</w:t>
        </w:r>
      </w:hyperlink>
      <w:r w:rsidRPr="00BA7E13">
        <w:rPr>
          <w:sz w:val="24"/>
          <w:lang w:val="sl-SI"/>
        </w:rPr>
        <w:t>).</w:t>
      </w:r>
    </w:p>
  </w:footnote>
  <w:footnote w:id="34">
    <w:p w14:paraId="60B55BF6" w14:textId="601F379F" w:rsidR="005D3112" w:rsidRPr="00BA7E13" w:rsidRDefault="005D3112" w:rsidP="00BA7E13">
      <w:pPr>
        <w:pStyle w:val="FootnoteText"/>
        <w:ind w:left="567" w:hanging="567"/>
        <w:rPr>
          <w:sz w:val="24"/>
          <w:lang w:val="sl-SI"/>
        </w:rPr>
      </w:pPr>
      <w:r w:rsidRPr="00BA7E13">
        <w:rPr>
          <w:rStyle w:val="FootnoteReference"/>
          <w:sz w:val="24"/>
          <w:lang w:val="sl-SI"/>
        </w:rPr>
        <w:footnoteRef/>
      </w:r>
      <w:r w:rsidR="00BA7E13" w:rsidRPr="00BA7E13">
        <w:rPr>
          <w:sz w:val="24"/>
          <w:lang w:val="sl-SI"/>
        </w:rPr>
        <w:t xml:space="preserve"> </w:t>
      </w:r>
      <w:r w:rsidR="00BA7E13" w:rsidRPr="00BA7E13">
        <w:rPr>
          <w:sz w:val="24"/>
          <w:lang w:val="sl-SI"/>
        </w:rPr>
        <w:tab/>
      </w:r>
      <w:r w:rsidRPr="00BA7E13">
        <w:rPr>
          <w:sz w:val="24"/>
          <w:lang w:val="sl-SI"/>
        </w:rPr>
        <w:t>Resolucija Evropskega parlamenta z dne 10. marca 2022 o Evropskem okviru za davčni odtegljaj (UL C 347, 9.9.2022, str. 172).</w:t>
      </w:r>
    </w:p>
  </w:footnote>
  <w:footnote w:id="35">
    <w:p w14:paraId="2895C9CE" w14:textId="7672CB6A" w:rsidR="005D3112" w:rsidRPr="00BA7E13" w:rsidRDefault="005D3112" w:rsidP="00BA7E13">
      <w:pPr>
        <w:pStyle w:val="FootnoteText"/>
        <w:ind w:left="567" w:hanging="567"/>
        <w:rPr>
          <w:sz w:val="24"/>
          <w:lang w:val="sl-SI"/>
        </w:rPr>
      </w:pPr>
      <w:r w:rsidRPr="00BA7E13">
        <w:rPr>
          <w:rStyle w:val="FootnoteReference"/>
          <w:sz w:val="24"/>
          <w:lang w:val="sl-SI"/>
        </w:rPr>
        <w:footnoteRef/>
      </w:r>
      <w:r w:rsidR="00BA7E13" w:rsidRPr="00BA7E13">
        <w:rPr>
          <w:sz w:val="24"/>
          <w:lang w:val="sl-SI"/>
        </w:rPr>
        <w:t xml:space="preserve"> </w:t>
      </w:r>
      <w:r w:rsidR="00BA7E13" w:rsidRPr="00BA7E13">
        <w:rPr>
          <w:sz w:val="24"/>
          <w:lang w:val="sl-SI"/>
        </w:rPr>
        <w:tab/>
      </w:r>
      <w:r w:rsidRPr="00BA7E13">
        <w:rPr>
          <w:sz w:val="24"/>
          <w:lang w:val="sl-SI"/>
        </w:rPr>
        <w:t>Resolucija Evropskega parlamenta z dne 16. septembra 2021 o izvajanju zahtev EU za izmenjavo davčnih informacij: doseženi napredek, pridobljene izkušnje in preostale ovire (UL C 117, 11.3.2022, str. 120).</w:t>
      </w:r>
    </w:p>
  </w:footnote>
  <w:footnote w:id="36">
    <w:p w14:paraId="156BAAB9" w14:textId="74212A34" w:rsidR="005D3112" w:rsidRPr="00BA7E13" w:rsidRDefault="005D3112" w:rsidP="00BA7E13">
      <w:pPr>
        <w:pStyle w:val="FootnoteText"/>
        <w:ind w:left="567" w:hanging="567"/>
        <w:rPr>
          <w:sz w:val="24"/>
          <w:lang w:val="sl-SI"/>
        </w:rPr>
      </w:pPr>
      <w:r w:rsidRPr="00BA7E13">
        <w:rPr>
          <w:rStyle w:val="FootnoteReference"/>
          <w:sz w:val="24"/>
          <w:lang w:val="sl-SI"/>
        </w:rPr>
        <w:footnoteRef/>
      </w:r>
      <w:r w:rsidR="00BA7E13" w:rsidRPr="00BA7E13">
        <w:rPr>
          <w:sz w:val="24"/>
          <w:lang w:val="sl-SI"/>
        </w:rPr>
        <w:t xml:space="preserve"> </w:t>
      </w:r>
      <w:r w:rsidR="00BA7E13" w:rsidRPr="00BA7E13">
        <w:rPr>
          <w:sz w:val="24"/>
          <w:lang w:val="sl-SI"/>
        </w:rPr>
        <w:tab/>
      </w:r>
      <w:r w:rsidRPr="00BA7E13">
        <w:rPr>
          <w:sz w:val="24"/>
          <w:lang w:val="sl-SI"/>
        </w:rPr>
        <w:t>Resolucija Evropskega parlamenta z dne 21. januarja 2021 o reformi seznama davčnih oaz EU (UL C 456, 10.11.2021, str. 177).</w:t>
      </w:r>
    </w:p>
  </w:footnote>
  <w:footnote w:id="37">
    <w:p w14:paraId="5E81283D" w14:textId="048D68EB" w:rsidR="005D3112" w:rsidRPr="00BA7E13" w:rsidRDefault="005D3112" w:rsidP="00BA7E13">
      <w:pPr>
        <w:pStyle w:val="FootnoteText"/>
        <w:ind w:left="567" w:hanging="567"/>
        <w:rPr>
          <w:sz w:val="24"/>
          <w:lang w:val="sl-SI"/>
        </w:rPr>
      </w:pPr>
      <w:r w:rsidRPr="00BA7E13">
        <w:rPr>
          <w:rStyle w:val="FootnoteReference"/>
          <w:sz w:val="24"/>
          <w:lang w:val="sl-SI"/>
        </w:rPr>
        <w:footnoteRef/>
      </w:r>
      <w:r w:rsidR="00BA7E13" w:rsidRPr="00BA7E13">
        <w:rPr>
          <w:sz w:val="24"/>
          <w:lang w:val="sl-SI"/>
        </w:rPr>
        <w:t xml:space="preserve"> </w:t>
      </w:r>
      <w:r w:rsidR="00BA7E13" w:rsidRPr="00BA7E13">
        <w:rPr>
          <w:sz w:val="24"/>
          <w:lang w:val="sl-SI"/>
        </w:rPr>
        <w:tab/>
      </w:r>
      <w:r w:rsidRPr="00BA7E13">
        <w:rPr>
          <w:sz w:val="24"/>
          <w:lang w:val="sl-SI"/>
        </w:rPr>
        <w:t xml:space="preserve">Direktiva Sveta 2011/16/EU z dne 15. februarja 2011 o upravnem sodelovanju na področju obdavčevanja in razveljavitvi Direktive 77/799/EGS (UL L 64, 11.3.2011, str. 1, ELI: </w:t>
      </w:r>
      <w:hyperlink r:id="rId20" w:history="1">
        <w:r w:rsidRPr="00BA7E13">
          <w:rPr>
            <w:rStyle w:val="Hyperlink"/>
            <w:sz w:val="24"/>
            <w:lang w:val="sl-SI"/>
          </w:rPr>
          <w:t>http://data.europa.eu/eli/dir/2011/16/oj</w:t>
        </w:r>
      </w:hyperlink>
      <w:r w:rsidRPr="00BA7E13">
        <w:rPr>
          <w:sz w:val="24"/>
          <w:lang w:val="sl-SI"/>
        </w:rPr>
        <w:t>).</w:t>
      </w:r>
    </w:p>
  </w:footnote>
  <w:footnote w:id="38">
    <w:p w14:paraId="1BF18C5F" w14:textId="2B678641" w:rsidR="005D3112" w:rsidRPr="00BA7E13" w:rsidRDefault="005D3112" w:rsidP="00BA7E13">
      <w:pPr>
        <w:pStyle w:val="FootnoteText"/>
        <w:ind w:left="567" w:hanging="567"/>
        <w:rPr>
          <w:sz w:val="24"/>
          <w:lang w:val="sl-SI"/>
        </w:rPr>
      </w:pPr>
      <w:r w:rsidRPr="00BA7E13">
        <w:rPr>
          <w:rStyle w:val="FootnoteReference"/>
          <w:sz w:val="24"/>
          <w:lang w:val="sl-SI"/>
        </w:rPr>
        <w:footnoteRef/>
      </w:r>
      <w:r w:rsidR="00BA7E13" w:rsidRPr="00BA7E13">
        <w:rPr>
          <w:sz w:val="24"/>
          <w:lang w:val="sl-SI"/>
        </w:rPr>
        <w:t xml:space="preserve"> </w:t>
      </w:r>
      <w:r w:rsidR="00BA7E13" w:rsidRPr="00BA7E13">
        <w:rPr>
          <w:sz w:val="24"/>
          <w:lang w:val="sl-SI"/>
        </w:rPr>
        <w:tab/>
      </w:r>
      <w:r w:rsidRPr="00BA7E13">
        <w:rPr>
          <w:sz w:val="24"/>
          <w:lang w:val="sl-SI"/>
        </w:rPr>
        <w:t xml:space="preserve">Direktiva Sveta (EU) 2016/1164 z dne 12. julija 2016 o določitvi pravil proti praksam izogibanja davkom, ki neposredno vplivajo na delovanje notranjega trga (UL L 193, 19.7.2016, str. 1, ELI: </w:t>
      </w:r>
      <w:hyperlink r:id="rId21" w:history="1">
        <w:r w:rsidRPr="00BA7E13">
          <w:rPr>
            <w:rStyle w:val="Hyperlink"/>
            <w:sz w:val="24"/>
            <w:lang w:val="sl-SI"/>
          </w:rPr>
          <w:t>http://data.europa.eu/eli/dir/2016/1164/oj</w:t>
        </w:r>
      </w:hyperlink>
      <w:r w:rsidRPr="00BA7E13">
        <w:rPr>
          <w:sz w:val="24"/>
          <w:lang w:val="sl-SI"/>
        </w:rPr>
        <w:t>).</w:t>
      </w:r>
    </w:p>
  </w:footnote>
  <w:footnote w:id="39">
    <w:p w14:paraId="1CA2D4AE" w14:textId="443EDB00" w:rsidR="005D3112" w:rsidRPr="00BA7E13" w:rsidRDefault="005D3112" w:rsidP="00BA7E13">
      <w:pPr>
        <w:pStyle w:val="FootnoteText"/>
        <w:ind w:left="567" w:hanging="567"/>
        <w:rPr>
          <w:sz w:val="24"/>
          <w:lang w:val="sl-SI"/>
        </w:rPr>
      </w:pPr>
      <w:r w:rsidRPr="00BA7E13">
        <w:rPr>
          <w:rStyle w:val="FootnoteReference"/>
          <w:sz w:val="24"/>
          <w:lang w:val="sl-SI"/>
        </w:rPr>
        <w:footnoteRef/>
      </w:r>
      <w:r w:rsidR="00BA7E13" w:rsidRPr="00BA7E13">
        <w:rPr>
          <w:sz w:val="24"/>
          <w:lang w:val="sl-SI"/>
        </w:rPr>
        <w:t xml:space="preserve"> </w:t>
      </w:r>
      <w:r w:rsidR="00BA7E13" w:rsidRPr="00BA7E13">
        <w:rPr>
          <w:sz w:val="24"/>
          <w:lang w:val="sl-SI"/>
        </w:rPr>
        <w:tab/>
      </w:r>
      <w:r w:rsidRPr="00BA7E13">
        <w:rPr>
          <w:sz w:val="24"/>
          <w:lang w:val="sl-SI"/>
        </w:rPr>
        <w:t xml:space="preserve">Direktiva Sveta (EU) 2018/822 z dne 25. maja 2018 o spremembi Direktive 2011/16/EU glede obvezne avtomatične izmenjave informacij na področju obdavčenja v zvezi s čezmejnimi aranžmaji, o katerih se poroča (UL L 139, 5.6.2018, str. 1, ELI: </w:t>
      </w:r>
      <w:hyperlink r:id="rId22" w:history="1">
        <w:r w:rsidRPr="00BA7E13">
          <w:rPr>
            <w:rStyle w:val="Hyperlink"/>
            <w:sz w:val="24"/>
            <w:lang w:val="sl-SI"/>
          </w:rPr>
          <w:t>http://data.europa.eu/eli/dir/2018/822/oj</w:t>
        </w:r>
      </w:hyperlink>
      <w:r w:rsidRPr="00BA7E13">
        <w:rPr>
          <w:sz w:val="24"/>
          <w:lang w:val="sl-SI"/>
        </w:rPr>
        <w:t>).</w:t>
      </w:r>
    </w:p>
  </w:footnote>
  <w:footnote w:id="40">
    <w:p w14:paraId="2DC5EB95" w14:textId="3913F1E8" w:rsidR="005D3112" w:rsidRPr="00BA7E13" w:rsidRDefault="005D3112" w:rsidP="00BA7E13">
      <w:pPr>
        <w:pStyle w:val="FootnoteText"/>
        <w:ind w:left="567" w:hanging="567"/>
        <w:rPr>
          <w:sz w:val="24"/>
          <w:lang w:val="sl-SI"/>
        </w:rPr>
      </w:pPr>
      <w:r w:rsidRPr="00BA7E13">
        <w:rPr>
          <w:rStyle w:val="FootnoteReference"/>
          <w:sz w:val="24"/>
          <w:lang w:val="sl-SI"/>
        </w:rPr>
        <w:footnoteRef/>
      </w:r>
      <w:r w:rsidR="00BA7E13" w:rsidRPr="00BA7E13">
        <w:rPr>
          <w:sz w:val="24"/>
          <w:lang w:val="sl-SI"/>
        </w:rPr>
        <w:t xml:space="preserve"> </w:t>
      </w:r>
      <w:r w:rsidR="00BA7E13" w:rsidRPr="00BA7E13">
        <w:rPr>
          <w:sz w:val="24"/>
          <w:lang w:val="sl-SI"/>
        </w:rPr>
        <w:tab/>
      </w:r>
      <w:r w:rsidRPr="00BA7E13">
        <w:rPr>
          <w:sz w:val="24"/>
          <w:lang w:val="sl-SI"/>
        </w:rPr>
        <w:t xml:space="preserve">Direktiva Sveta (EU) 2021/514 z dne 22. marca 2021 o spremembi Direktive 2011/16/EU o upravnem sodelovanju na področju obdavčevanja (UL L 104, 25.3.2021, str. 1, ELI: </w:t>
      </w:r>
      <w:hyperlink r:id="rId23" w:history="1">
        <w:r w:rsidRPr="00BA7E13">
          <w:rPr>
            <w:rStyle w:val="Hyperlink"/>
            <w:sz w:val="24"/>
            <w:lang w:val="sl-SI"/>
          </w:rPr>
          <w:t>http://data.europa.eu/eli/dir/2021/514/oj</w:t>
        </w:r>
      </w:hyperlink>
      <w:r w:rsidRPr="00BA7E13">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8FCD1" w14:textId="77777777" w:rsidR="00064002" w:rsidRPr="00BA7E1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AB311" w14:textId="77777777" w:rsidR="00064002" w:rsidRPr="00BA7E1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A10CA" w14:textId="77777777" w:rsidR="00064002" w:rsidRPr="00BA7E1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24231675">
    <w:abstractNumId w:val="9"/>
  </w:num>
  <w:num w:numId="2" w16cid:durableId="2007315740">
    <w:abstractNumId w:val="9"/>
  </w:num>
  <w:num w:numId="3" w16cid:durableId="408115972">
    <w:abstractNumId w:val="7"/>
  </w:num>
  <w:num w:numId="4" w16cid:durableId="2128354885">
    <w:abstractNumId w:val="7"/>
  </w:num>
  <w:num w:numId="5" w16cid:durableId="539392078">
    <w:abstractNumId w:val="6"/>
  </w:num>
  <w:num w:numId="6" w16cid:durableId="1228414033">
    <w:abstractNumId w:val="6"/>
  </w:num>
  <w:num w:numId="7" w16cid:durableId="1320304594">
    <w:abstractNumId w:val="5"/>
  </w:num>
  <w:num w:numId="8" w16cid:durableId="1431926556">
    <w:abstractNumId w:val="5"/>
  </w:num>
  <w:num w:numId="9" w16cid:durableId="1657685710">
    <w:abstractNumId w:val="4"/>
  </w:num>
  <w:num w:numId="10" w16cid:durableId="1835993614">
    <w:abstractNumId w:val="4"/>
  </w:num>
  <w:num w:numId="11" w16cid:durableId="2038964451">
    <w:abstractNumId w:val="8"/>
  </w:num>
  <w:num w:numId="12" w16cid:durableId="1647007872">
    <w:abstractNumId w:val="8"/>
  </w:num>
  <w:num w:numId="13" w16cid:durableId="863396645">
    <w:abstractNumId w:val="3"/>
  </w:num>
  <w:num w:numId="14" w16cid:durableId="955915738">
    <w:abstractNumId w:val="3"/>
  </w:num>
  <w:num w:numId="15" w16cid:durableId="1412922123">
    <w:abstractNumId w:val="2"/>
  </w:num>
  <w:num w:numId="16" w16cid:durableId="1464620021">
    <w:abstractNumId w:val="2"/>
  </w:num>
  <w:num w:numId="17" w16cid:durableId="2004695482">
    <w:abstractNumId w:val="1"/>
  </w:num>
  <w:num w:numId="18" w16cid:durableId="672151917">
    <w:abstractNumId w:val="1"/>
  </w:num>
  <w:num w:numId="19" w16cid:durableId="1631935997">
    <w:abstractNumId w:val="0"/>
  </w:num>
  <w:num w:numId="20" w16cid:durableId="1505627712">
    <w:abstractNumId w:val="0"/>
  </w:num>
  <w:num w:numId="21" w16cid:durableId="1276138539">
    <w:abstractNumId w:val="9"/>
  </w:num>
  <w:num w:numId="22" w16cid:durableId="253906485">
    <w:abstractNumId w:val="7"/>
  </w:num>
  <w:num w:numId="23" w16cid:durableId="863136829">
    <w:abstractNumId w:val="6"/>
  </w:num>
  <w:num w:numId="24" w16cid:durableId="1094134992">
    <w:abstractNumId w:val="5"/>
  </w:num>
  <w:num w:numId="25" w16cid:durableId="985746232">
    <w:abstractNumId w:val="4"/>
  </w:num>
  <w:num w:numId="26" w16cid:durableId="288435643">
    <w:abstractNumId w:val="8"/>
  </w:num>
  <w:num w:numId="27" w16cid:durableId="2070883120">
    <w:abstractNumId w:val="3"/>
  </w:num>
  <w:num w:numId="28" w16cid:durableId="399908224">
    <w:abstractNumId w:val="2"/>
  </w:num>
  <w:num w:numId="29" w16cid:durableId="1394742075">
    <w:abstractNumId w:val="1"/>
  </w:num>
  <w:num w:numId="30" w16cid:durableId="701440944">
    <w:abstractNumId w:val="0"/>
  </w:num>
  <w:num w:numId="31" w16cid:durableId="2036926368">
    <w:abstractNumId w:val="9"/>
  </w:num>
  <w:num w:numId="32" w16cid:durableId="73476276">
    <w:abstractNumId w:val="7"/>
  </w:num>
  <w:num w:numId="33" w16cid:durableId="433089839">
    <w:abstractNumId w:val="6"/>
  </w:num>
  <w:num w:numId="34" w16cid:durableId="1952475168">
    <w:abstractNumId w:val="5"/>
  </w:num>
  <w:num w:numId="35" w16cid:durableId="549268414">
    <w:abstractNumId w:val="4"/>
  </w:num>
  <w:num w:numId="36" w16cid:durableId="48069338">
    <w:abstractNumId w:val="8"/>
  </w:num>
  <w:num w:numId="37" w16cid:durableId="214776518">
    <w:abstractNumId w:val="3"/>
  </w:num>
  <w:num w:numId="38" w16cid:durableId="2011523860">
    <w:abstractNumId w:val="2"/>
  </w:num>
  <w:num w:numId="39" w16cid:durableId="1700084941">
    <w:abstractNumId w:val="1"/>
  </w:num>
  <w:num w:numId="40" w16cid:durableId="104036397">
    <w:abstractNumId w:val="0"/>
  </w:num>
  <w:num w:numId="41" w16cid:durableId="2081563801">
    <w:abstractNumId w:val="10"/>
  </w:num>
  <w:num w:numId="42" w16cid:durableId="1835802574">
    <w:abstractNumId w:val="10"/>
  </w:num>
  <w:num w:numId="43" w16cid:durableId="1146046247">
    <w:abstractNumId w:val="10"/>
  </w:num>
  <w:num w:numId="44" w16cid:durableId="821475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5/2025"/>
    <w:docVar w:name="dvlangue" w:val="SL"/>
    <w:docVar w:name="dvnumam" w:val="0"/>
    <w:docVar w:name="dvpe" w:val="770.261"/>
    <w:docVar w:name="dvrapporteur" w:val="Poročevalec: "/>
    <w:docVar w:name="dvtitre" w:val="Resolucija Evropskega parlamenta z dne xx. oktobra 2025 o vlogi preprostih davčnih pravil in razdrobljenosti davkov pri evropski konkurenčnosti(2024/2118(INI))"/>
  </w:docVars>
  <w:rsids>
    <w:rsidRoot w:val="005D2E58"/>
    <w:rsid w:val="00002272"/>
    <w:rsid w:val="00064002"/>
    <w:rsid w:val="000677B9"/>
    <w:rsid w:val="000831BA"/>
    <w:rsid w:val="000A42CC"/>
    <w:rsid w:val="000E7DD9"/>
    <w:rsid w:val="0010095E"/>
    <w:rsid w:val="00125B37"/>
    <w:rsid w:val="00187494"/>
    <w:rsid w:val="001F32AE"/>
    <w:rsid w:val="00245160"/>
    <w:rsid w:val="002767FF"/>
    <w:rsid w:val="002B18FE"/>
    <w:rsid w:val="002B5493"/>
    <w:rsid w:val="002C78C8"/>
    <w:rsid w:val="00343214"/>
    <w:rsid w:val="00361C00"/>
    <w:rsid w:val="00395FA1"/>
    <w:rsid w:val="003E15D4"/>
    <w:rsid w:val="00411CCE"/>
    <w:rsid w:val="0041666E"/>
    <w:rsid w:val="00421060"/>
    <w:rsid w:val="004435C6"/>
    <w:rsid w:val="004521C5"/>
    <w:rsid w:val="00471C19"/>
    <w:rsid w:val="0048013F"/>
    <w:rsid w:val="004867E3"/>
    <w:rsid w:val="00494A28"/>
    <w:rsid w:val="004C0004"/>
    <w:rsid w:val="004C5D52"/>
    <w:rsid w:val="0050519A"/>
    <w:rsid w:val="005072A1"/>
    <w:rsid w:val="00514517"/>
    <w:rsid w:val="00545827"/>
    <w:rsid w:val="00560270"/>
    <w:rsid w:val="005C2568"/>
    <w:rsid w:val="005D2E58"/>
    <w:rsid w:val="005D3112"/>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04DF"/>
    <w:rsid w:val="00817416"/>
    <w:rsid w:val="00842779"/>
    <w:rsid w:val="008629D3"/>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48A3"/>
    <w:rsid w:val="00AB441E"/>
    <w:rsid w:val="00AB6293"/>
    <w:rsid w:val="00AE0928"/>
    <w:rsid w:val="00AF3B82"/>
    <w:rsid w:val="00B12E95"/>
    <w:rsid w:val="00B22876"/>
    <w:rsid w:val="00B558F0"/>
    <w:rsid w:val="00BA7E13"/>
    <w:rsid w:val="00BD48FE"/>
    <w:rsid w:val="00BD7BD8"/>
    <w:rsid w:val="00BE6ADC"/>
    <w:rsid w:val="00C05BFE"/>
    <w:rsid w:val="00C23CD4"/>
    <w:rsid w:val="00C61C0C"/>
    <w:rsid w:val="00C941CB"/>
    <w:rsid w:val="00CA4FD8"/>
    <w:rsid w:val="00CC2357"/>
    <w:rsid w:val="00CF071A"/>
    <w:rsid w:val="00D058B8"/>
    <w:rsid w:val="00D56C11"/>
    <w:rsid w:val="00D834A0"/>
    <w:rsid w:val="00D872DF"/>
    <w:rsid w:val="00D91E21"/>
    <w:rsid w:val="00DA7FCD"/>
    <w:rsid w:val="00DE1953"/>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DEA767"/>
  <w15:chartTrackingRefBased/>
  <w15:docId w15:val="{330C0CC7-CBAE-47F1-9000-0E734C948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D3112"/>
    <w:pPr>
      <w:spacing w:before="480" w:after="240"/>
    </w:pPr>
    <w:rPr>
      <w:snapToGrid w:val="0"/>
      <w:lang w:eastAsia="en-US"/>
    </w:rPr>
  </w:style>
  <w:style w:type="paragraph" w:customStyle="1" w:styleId="NormalHanging12a">
    <w:name w:val="NormalHanging12a"/>
    <w:basedOn w:val="Normal"/>
    <w:rsid w:val="005D3112"/>
    <w:pPr>
      <w:widowControl/>
      <w:spacing w:after="240"/>
      <w:ind w:left="567" w:hanging="567"/>
    </w:pPr>
    <w:rPr>
      <w:snapToGrid w:val="0"/>
      <w:lang w:eastAsia="en-US"/>
    </w:rPr>
  </w:style>
  <w:style w:type="character" w:customStyle="1" w:styleId="BoldItalic">
    <w:name w:val="BoldItalic"/>
    <w:uiPriority w:val="1"/>
    <w:rsid w:val="005D3112"/>
    <w:rPr>
      <w:b/>
      <w:i/>
      <w:u w:val="none"/>
    </w:rPr>
  </w:style>
  <w:style w:type="character" w:customStyle="1" w:styleId="Italic">
    <w:name w:val="Italic"/>
    <w:uiPriority w:val="1"/>
    <w:rsid w:val="005D3112"/>
    <w:rPr>
      <w:i/>
    </w:rPr>
  </w:style>
  <w:style w:type="paragraph" w:customStyle="1" w:styleId="Normal12a24b">
    <w:name w:val="Normal12a24b"/>
    <w:basedOn w:val="Normal"/>
    <w:rsid w:val="005D3112"/>
    <w:pPr>
      <w:spacing w:before="360" w:after="240"/>
    </w:pPr>
    <w:rPr>
      <w:snapToGrid w:val="0"/>
      <w:lang w:eastAsia="en-US"/>
    </w:rPr>
  </w:style>
  <w:style w:type="character" w:styleId="Hyperlink">
    <w:name w:val="Hyperlink"/>
    <w:basedOn w:val="DefaultParagraphFont"/>
    <w:rsid w:val="005D3112"/>
    <w:rPr>
      <w:color w:val="0000FF"/>
      <w:u w:val="single"/>
    </w:rPr>
  </w:style>
  <w:style w:type="paragraph" w:styleId="Revision">
    <w:name w:val="Revision"/>
    <w:hidden/>
    <w:uiPriority w:val="99"/>
    <w:semiHidden/>
    <w:rsid w:val="0048013F"/>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data.europa.eu/doi/10.2860/637445" TargetMode="External"/><Relationship Id="rId13" Type="http://schemas.openxmlformats.org/officeDocument/2006/relationships/hyperlink" Target="http://data.europa.eu/eli/dir/2003/96/oj" TargetMode="External"/><Relationship Id="rId18" Type="http://schemas.openxmlformats.org/officeDocument/2006/relationships/hyperlink" Target="http://data.europa.eu/eli/dir/2022/2523/oj" TargetMode="External"/><Relationship Id="rId3" Type="http://schemas.openxmlformats.org/officeDocument/2006/relationships/hyperlink" Target="http://data.europa.eu/eli/dir/2022/2523/oj" TargetMode="External"/><Relationship Id="rId21" Type="http://schemas.openxmlformats.org/officeDocument/2006/relationships/hyperlink" Target="http://data.europa.eu/eli/dir/2016/1164/oj" TargetMode="External"/><Relationship Id="rId7" Type="http://schemas.openxmlformats.org/officeDocument/2006/relationships/hyperlink" Target="http://data.europa.eu/eli/C/2024/4165/oj" TargetMode="External"/><Relationship Id="rId12" Type="http://schemas.openxmlformats.org/officeDocument/2006/relationships/hyperlink" Target="https://data.europa.eu/doi/10.2873/180570" TargetMode="External"/><Relationship Id="rId17" Type="http://schemas.openxmlformats.org/officeDocument/2006/relationships/hyperlink" Target="http://data.europa.eu/eli/dir/2006/112/oj" TargetMode="External"/><Relationship Id="rId2" Type="http://schemas.openxmlformats.org/officeDocument/2006/relationships/hyperlink" Target="http://data.europa.eu/eli/dir/2011/96/oj" TargetMode="External"/><Relationship Id="rId16" Type="http://schemas.openxmlformats.org/officeDocument/2006/relationships/hyperlink" Target="http://data.europa.eu/eli/dir/2008/9/oj" TargetMode="External"/><Relationship Id="rId20" Type="http://schemas.openxmlformats.org/officeDocument/2006/relationships/hyperlink" Target="http://data.europa.eu/eli/dir/2011/16/oj" TargetMode="External"/><Relationship Id="rId1" Type="http://schemas.openxmlformats.org/officeDocument/2006/relationships/hyperlink" Target="http://data.europa.eu/eli/dir/2003/49/oj" TargetMode="External"/><Relationship Id="rId6" Type="http://schemas.openxmlformats.org/officeDocument/2006/relationships/hyperlink" Target="http://data.europa.eu/eli/C/2024/492/oj" TargetMode="External"/><Relationship Id="rId11" Type="http://schemas.openxmlformats.org/officeDocument/2006/relationships/hyperlink" Target="https://data.europa.eu/doi/10.2778/10846" TargetMode="External"/><Relationship Id="rId5" Type="http://schemas.openxmlformats.org/officeDocument/2006/relationships/hyperlink" Target="http://data.europa.eu/eli/dir/2025/50/oj" TargetMode="External"/><Relationship Id="rId15" Type="http://schemas.openxmlformats.org/officeDocument/2006/relationships/hyperlink" Target="http://data.europa.eu/eli/dir/2025/516/oj" TargetMode="External"/><Relationship Id="rId23" Type="http://schemas.openxmlformats.org/officeDocument/2006/relationships/hyperlink" Target="http://data.europa.eu/eli/dir/2021/514/oj" TargetMode="External"/><Relationship Id="rId10" Type="http://schemas.openxmlformats.org/officeDocument/2006/relationships/hyperlink" Target="https://ec.europa.eu/commission/presscorner/detail/en/qanda_22_7519" TargetMode="External"/><Relationship Id="rId19" Type="http://schemas.openxmlformats.org/officeDocument/2006/relationships/hyperlink" Target="http://data.europa.eu/eli/dir/2025/50/oj" TargetMode="External"/><Relationship Id="rId4" Type="http://schemas.openxmlformats.org/officeDocument/2006/relationships/hyperlink" Target="https://data.europa.eu/doi/10.2873/180570" TargetMode="External"/><Relationship Id="rId9" Type="http://schemas.openxmlformats.org/officeDocument/2006/relationships/hyperlink" Target="https://data.europa.eu/doi/10.2778/2476549" TargetMode="External"/><Relationship Id="rId14" Type="http://schemas.openxmlformats.org/officeDocument/2006/relationships/hyperlink" Target="http://data.europa.eu/eli/dir/2021/2101/oj" TargetMode="External"/><Relationship Id="rId22" Type="http://schemas.openxmlformats.org/officeDocument/2006/relationships/hyperlink" Target="http://data.europa.eu/eli/dir/2018/8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6907</Words>
  <Characters>41435</Characters>
  <Application>Microsoft Office Word</Application>
  <DocSecurity>0</DocSecurity>
  <Lines>345</Lines>
  <Paragraphs>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TERBOVC Spela</cp:lastModifiedBy>
  <cp:revision>2</cp:revision>
  <cp:lastPrinted>2004-11-19T15:42:00Z</cp:lastPrinted>
  <dcterms:created xsi:type="dcterms:W3CDTF">2025-11-13T08:20:00Z</dcterms:created>
  <dcterms:modified xsi:type="dcterms:W3CDTF">2025-11-13T08:20:00Z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A10-0155/2025</vt:lpwstr>
  </property>
  <property fmtid="{D5CDD505-2E9C-101B-9397-08002B2CF9AE}" pid="4" name="&lt;Type&gt;">
    <vt:lpwstr>RR</vt:lpwstr>
  </property>
</Properties>
</file>