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2C32" w14:paraId="209416AA" w14:textId="77777777" w:rsidTr="0010095E">
        <w:trPr>
          <w:trHeight w:hRule="exact" w:val="1418"/>
        </w:trPr>
        <w:tc>
          <w:tcPr>
            <w:tcW w:w="6804" w:type="dxa"/>
            <w:shd w:val="clear" w:color="auto" w:fill="auto"/>
            <w:vAlign w:val="center"/>
          </w:tcPr>
          <w:p w14:paraId="306BBA5C" w14:textId="55DBB622" w:rsidR="00751A4A" w:rsidRPr="00192C32" w:rsidRDefault="001F5190" w:rsidP="0010095E">
            <w:pPr>
              <w:pStyle w:val="EPName"/>
            </w:pPr>
            <w:r w:rsidRPr="00192C32">
              <w:t>Европейски</w:t>
            </w:r>
            <w:r w:rsidR="00A44A07" w:rsidRPr="00192C32">
              <w:t xml:space="preserve"> парламент</w:t>
            </w:r>
          </w:p>
          <w:p w14:paraId="2FD92EF8" w14:textId="5573C04B" w:rsidR="00751A4A" w:rsidRPr="00192C32" w:rsidRDefault="005F1B17" w:rsidP="005F1B17">
            <w:pPr>
              <w:pStyle w:val="EPTerm"/>
              <w:rPr>
                <w:rStyle w:val="HideTWBExt"/>
                <w:noProof w:val="0"/>
                <w:vanish w:val="0"/>
                <w:color w:val="auto"/>
              </w:rPr>
            </w:pPr>
            <w:r w:rsidRPr="00192C32">
              <w:t>2024</w:t>
            </w:r>
            <w:r w:rsidR="001F5190">
              <w:t> – </w:t>
            </w:r>
            <w:r w:rsidR="00817416" w:rsidRPr="00192C32">
              <w:t>202</w:t>
            </w:r>
            <w:r w:rsidRPr="00192C32">
              <w:t>9</w:t>
            </w:r>
          </w:p>
        </w:tc>
        <w:tc>
          <w:tcPr>
            <w:tcW w:w="2268" w:type="dxa"/>
            <w:shd w:val="clear" w:color="auto" w:fill="auto"/>
          </w:tcPr>
          <w:p w14:paraId="39EBA7E0" w14:textId="77777777" w:rsidR="00751A4A" w:rsidRPr="00192C32" w:rsidRDefault="00187494" w:rsidP="0010095E">
            <w:pPr>
              <w:pStyle w:val="EPLogo"/>
            </w:pPr>
            <w:r w:rsidRPr="00192C32">
              <w:rPr>
                <w:noProof/>
                <w:lang w:eastAsia="ja-JP"/>
              </w:rPr>
              <w:drawing>
                <wp:inline distT="0" distB="0" distL="0" distR="0" wp14:anchorId="688A7581" wp14:editId="22CAD0F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C364CE0" w14:textId="77777777" w:rsidR="00D058B8" w:rsidRPr="00192C32" w:rsidRDefault="00D058B8" w:rsidP="004C5D52">
      <w:pPr>
        <w:pStyle w:val="LineTop"/>
      </w:pPr>
    </w:p>
    <w:p w14:paraId="7A301466" w14:textId="77777777" w:rsidR="00680577" w:rsidRPr="00192C32" w:rsidRDefault="00A44A07" w:rsidP="00680577">
      <w:pPr>
        <w:pStyle w:val="EPBodyTA1"/>
      </w:pPr>
      <w:r w:rsidRPr="00192C32">
        <w:t>ПРИЕТИ ТЕКСТОВЕ</w:t>
      </w:r>
    </w:p>
    <w:p w14:paraId="218B83F8" w14:textId="77777777" w:rsidR="00D058B8" w:rsidRPr="00192C32" w:rsidRDefault="00D058B8" w:rsidP="00D058B8">
      <w:pPr>
        <w:pStyle w:val="LineBottom"/>
      </w:pPr>
    </w:p>
    <w:p w14:paraId="00527EC4" w14:textId="3D7DF9E3" w:rsidR="00A44A07" w:rsidRPr="00192C32" w:rsidRDefault="00A44A07" w:rsidP="00A44A07">
      <w:pPr>
        <w:pStyle w:val="ATHeading1"/>
      </w:pPr>
      <w:bookmarkStart w:id="0" w:name="TANumber"/>
      <w:r w:rsidRPr="00192C32">
        <w:t>P10_TA(2025)0</w:t>
      </w:r>
      <w:r w:rsidR="00785701" w:rsidRPr="005A305A">
        <w:rPr>
          <w:lang w:val="ru-RU"/>
        </w:rPr>
        <w:t>228</w:t>
      </w:r>
      <w:bookmarkEnd w:id="0"/>
    </w:p>
    <w:p w14:paraId="77D5C51F" w14:textId="77777777" w:rsidR="00A44A07" w:rsidRPr="00192C32" w:rsidRDefault="00A44A07" w:rsidP="00A44A07">
      <w:pPr>
        <w:pStyle w:val="ATHeading2"/>
      </w:pPr>
      <w:bookmarkStart w:id="1" w:name="title"/>
      <w:r w:rsidRPr="00192C32">
        <w:t>Разисквания на комисията по петиции през 2024 г.</w:t>
      </w:r>
    </w:p>
    <w:p w14:paraId="5EF81EA3" w14:textId="77777777" w:rsidR="00A44A07" w:rsidRPr="00192C32" w:rsidRDefault="00A44A07" w:rsidP="00A44A07">
      <w:pPr>
        <w:rPr>
          <w:i/>
          <w:vanish/>
        </w:rPr>
      </w:pPr>
      <w:r w:rsidRPr="00192C32">
        <w:rPr>
          <w:i/>
        </w:rPr>
        <w:fldChar w:fldCharType="begin"/>
      </w:r>
      <w:r w:rsidRPr="00192C32">
        <w:rPr>
          <w:i/>
        </w:rPr>
        <w:instrText xml:space="preserve"> TC"(</w:instrText>
      </w:r>
      <w:bookmarkStart w:id="2" w:name="DocNumber"/>
      <w:r w:rsidRPr="00192C32">
        <w:rPr>
          <w:i/>
        </w:rPr>
        <w:instrText>A10-0170/2025</w:instrText>
      </w:r>
      <w:bookmarkEnd w:id="2"/>
      <w:r w:rsidRPr="00192C32">
        <w:rPr>
          <w:i/>
        </w:rPr>
        <w:instrText xml:space="preserve"> - Докладчик: Фреди Белерис)"\l3 \n&gt; \* MERGEFORMAT </w:instrText>
      </w:r>
      <w:r w:rsidRPr="00192C32">
        <w:rPr>
          <w:i/>
        </w:rPr>
        <w:fldChar w:fldCharType="end"/>
      </w:r>
    </w:p>
    <w:p w14:paraId="6FBC3C7D" w14:textId="77777777" w:rsidR="00A44A07" w:rsidRPr="00192C32" w:rsidRDefault="00A44A07" w:rsidP="00A44A07">
      <w:pPr>
        <w:rPr>
          <w:vanish/>
        </w:rPr>
      </w:pPr>
      <w:bookmarkStart w:id="3" w:name="Commission"/>
      <w:r w:rsidRPr="00192C32">
        <w:rPr>
          <w:vanish/>
        </w:rPr>
        <w:t>Комисия по петиции</w:t>
      </w:r>
      <w:bookmarkEnd w:id="3"/>
    </w:p>
    <w:p w14:paraId="2369691E" w14:textId="77777777" w:rsidR="00A44A07" w:rsidRPr="00192C32" w:rsidRDefault="00A44A07" w:rsidP="00A44A07">
      <w:pPr>
        <w:rPr>
          <w:vanish/>
        </w:rPr>
      </w:pPr>
      <w:bookmarkStart w:id="4" w:name="PE"/>
      <w:r w:rsidRPr="00192C32">
        <w:rPr>
          <w:vanish/>
        </w:rPr>
        <w:t>PE773.363</w:t>
      </w:r>
      <w:bookmarkEnd w:id="4"/>
    </w:p>
    <w:p w14:paraId="1DF27858" w14:textId="24E84A8A" w:rsidR="00A44A07" w:rsidRPr="00192C32" w:rsidRDefault="00A44A07" w:rsidP="00A44A07">
      <w:pPr>
        <w:pStyle w:val="ATHeading3"/>
      </w:pPr>
      <w:bookmarkStart w:id="5" w:name="Sujet"/>
      <w:r w:rsidRPr="00192C32">
        <w:t xml:space="preserve">Резолюция на Европейския парламент от </w:t>
      </w:r>
      <w:r w:rsidR="001F5190">
        <w:t>9 октомври</w:t>
      </w:r>
      <w:r w:rsidRPr="00192C32">
        <w:t xml:space="preserve"> 2025 г. относно резултата от разискванията на комисията по петиции през 2024 г.</w:t>
      </w:r>
      <w:bookmarkEnd w:id="5"/>
      <w:r w:rsidRPr="00192C32">
        <w:t xml:space="preserve"> </w:t>
      </w:r>
      <w:bookmarkStart w:id="6" w:name="References"/>
      <w:r w:rsidRPr="00192C32">
        <w:t>(2025/2114(INI))</w:t>
      </w:r>
      <w:bookmarkEnd w:id="6"/>
    </w:p>
    <w:p w14:paraId="2C4705CF" w14:textId="77777777" w:rsidR="00693CAE" w:rsidRPr="00192C32" w:rsidRDefault="00693CAE" w:rsidP="00693CAE">
      <w:pPr>
        <w:pStyle w:val="EPComma"/>
      </w:pPr>
      <w:r w:rsidRPr="00192C32">
        <w:rPr>
          <w:i/>
        </w:rPr>
        <w:t>Европейският парламент,</w:t>
      </w:r>
    </w:p>
    <w:p w14:paraId="3BB6978A" w14:textId="77777777" w:rsidR="00693CAE" w:rsidRPr="00192C32" w:rsidRDefault="00693CAE" w:rsidP="00693CAE">
      <w:pPr>
        <w:pStyle w:val="NormalHanging12a"/>
      </w:pPr>
      <w:r w:rsidRPr="00192C32">
        <w:t>–</w:t>
      </w:r>
      <w:r w:rsidRPr="00192C32">
        <w:tab/>
        <w:t>като взе предвид своите предходни резолюции относно разискванията в комисията по петиции,</w:t>
      </w:r>
    </w:p>
    <w:p w14:paraId="66E04B98" w14:textId="77777777" w:rsidR="00693CAE" w:rsidRPr="00192C32" w:rsidRDefault="00693CAE" w:rsidP="00693CAE">
      <w:pPr>
        <w:pStyle w:val="NormalHanging12a"/>
      </w:pPr>
      <w:r w:rsidRPr="00192C32">
        <w:t>–</w:t>
      </w:r>
      <w:r w:rsidRPr="00192C32">
        <w:tab/>
        <w:t>като взе предвид членове 10 и 11 от Договора за Европейския съюз,</w:t>
      </w:r>
    </w:p>
    <w:p w14:paraId="45C0E47A" w14:textId="77777777" w:rsidR="00693CAE" w:rsidRPr="00192C32" w:rsidRDefault="00693CAE" w:rsidP="00693CAE">
      <w:pPr>
        <w:pStyle w:val="NormalHanging12a"/>
      </w:pPr>
      <w:r w:rsidRPr="00192C32">
        <w:t>–</w:t>
      </w:r>
      <w:r w:rsidRPr="00192C32">
        <w:tab/>
        <w:t>като взе предвид членове 20, 24 и 227 от Договора за функционирането на Европейския съюз (ДФЕС) относно правото на гражданите на ЕС и на пребиваващите в ЕС лица да отправят петиция до Европейския парламент,</w:t>
      </w:r>
    </w:p>
    <w:p w14:paraId="140A097E" w14:textId="77777777" w:rsidR="00693CAE" w:rsidRPr="00192C32" w:rsidRDefault="00693CAE" w:rsidP="00693CAE">
      <w:pPr>
        <w:pStyle w:val="NormalHanging12a"/>
      </w:pPr>
      <w:r w:rsidRPr="00192C32">
        <w:t>–</w:t>
      </w:r>
      <w:r w:rsidRPr="00192C32">
        <w:tab/>
        <w:t>като взе предвид член 228 от ДФЕС относно ролята и функциите на Европейския омбудсман,</w:t>
      </w:r>
    </w:p>
    <w:p w14:paraId="601AF333" w14:textId="77777777" w:rsidR="00693CAE" w:rsidRPr="00192C32" w:rsidRDefault="00693CAE" w:rsidP="00693CAE">
      <w:pPr>
        <w:pStyle w:val="NormalHanging12a"/>
      </w:pPr>
      <w:r w:rsidRPr="00192C32">
        <w:t>–</w:t>
      </w:r>
      <w:r w:rsidRPr="00192C32">
        <w:tab/>
        <w:t>като взе предвид член 44 от Хартата на основните права на Европейския съюз относно правото на петиция до Европейския парламент,</w:t>
      </w:r>
    </w:p>
    <w:p w14:paraId="04F0CFDC" w14:textId="77777777" w:rsidR="00693CAE" w:rsidRPr="00192C32" w:rsidRDefault="00693CAE" w:rsidP="00693CAE">
      <w:pPr>
        <w:pStyle w:val="NormalHanging12a"/>
      </w:pPr>
      <w:r w:rsidRPr="00192C32">
        <w:t>–</w:t>
      </w:r>
      <w:r w:rsidRPr="00192C32">
        <w:tab/>
        <w:t>като взе предвид разпоредбите на ДФЕС относно производството за установяване на нарушение, и по-специално членове 258 и 260 от него,</w:t>
      </w:r>
    </w:p>
    <w:p w14:paraId="2562E6B7" w14:textId="77777777" w:rsidR="00693CAE" w:rsidRPr="00192C32" w:rsidRDefault="00693CAE" w:rsidP="00693CAE">
      <w:pPr>
        <w:pStyle w:val="NormalHanging12a"/>
      </w:pPr>
      <w:r w:rsidRPr="00192C32">
        <w:t>–</w:t>
      </w:r>
      <w:r w:rsidRPr="00192C32">
        <w:tab/>
        <w:t>като взе предвид член 55 и член 233, параграф 7 от своя Правилник за дейността,</w:t>
      </w:r>
    </w:p>
    <w:p w14:paraId="5E39D25F" w14:textId="77777777" w:rsidR="00693CAE" w:rsidRPr="00192C32" w:rsidRDefault="00693CAE" w:rsidP="00693CAE">
      <w:pPr>
        <w:pStyle w:val="NormalHanging12a"/>
      </w:pPr>
      <w:r w:rsidRPr="00192C32">
        <w:t>–</w:t>
      </w:r>
      <w:r w:rsidRPr="00192C32">
        <w:tab/>
        <w:t>като взе предвид доклада на комисията по петиции (A10-0170/2025),</w:t>
      </w:r>
    </w:p>
    <w:p w14:paraId="6B4862D2" w14:textId="77777777" w:rsidR="00693CAE" w:rsidRPr="00192C32" w:rsidRDefault="00693CAE" w:rsidP="00693CAE">
      <w:pPr>
        <w:pStyle w:val="NormalHanging12a"/>
      </w:pPr>
      <w:r w:rsidRPr="00192C32">
        <w:t>А.</w:t>
      </w:r>
      <w:r w:rsidRPr="00192C32">
        <w:tab/>
        <w:t xml:space="preserve">като има предвид, че след изборите за Европейски парламент, които се проведоха от 6 до 9 юни 2024 г., и учредяването на новия Парламент на 16 юли 2024 г., комисията по петиции проведе учредителното си заседание на 23 юли 2024 г.; </w:t>
      </w:r>
    </w:p>
    <w:p w14:paraId="53040A19" w14:textId="77777777" w:rsidR="00693CAE" w:rsidRPr="00192C32" w:rsidRDefault="00693CAE" w:rsidP="00693CAE">
      <w:pPr>
        <w:pStyle w:val="NormalHanging12a"/>
      </w:pPr>
      <w:r w:rsidRPr="00192C32">
        <w:t>Б.</w:t>
      </w:r>
      <w:r w:rsidRPr="00192C32">
        <w:tab/>
        <w:t>като има предвид, че целта на годишния доклад относно резултата от разискванията на комисията по петиции е да се представи анализ на получените през 2024 г. петиции и на връзките с други институции, както и да се даде точна представа за постигнатите през 2024 г. цели;</w:t>
      </w:r>
    </w:p>
    <w:p w14:paraId="5D044C01" w14:textId="77777777" w:rsidR="00693CAE" w:rsidRPr="00192C32" w:rsidRDefault="00693CAE" w:rsidP="00693CAE">
      <w:pPr>
        <w:pStyle w:val="NormalHanging12a"/>
      </w:pPr>
      <w:r w:rsidRPr="00192C32">
        <w:t>В.</w:t>
      </w:r>
      <w:r w:rsidRPr="00192C32">
        <w:tab/>
        <w:t xml:space="preserve">като има предвид, че през 2024 г. Парламентът получи 1518 петиции, което представлява увеличение с 4,3% спрямо 1452-те петиции, получени през 2023 г., и </w:t>
      </w:r>
      <w:r w:rsidRPr="00192C32">
        <w:lastRenderedPageBreak/>
        <w:t>с 19,8% спрямо 1217-те петиции, получени през 2022 г.; като има предвид, че общият брой на получените петиции продължава да бъде чувствително по-нисък от върховата бройка, достигната през 2013 г. и 2014 г., когато Парламентът получи съответно 2891 и 2715 петиции;</w:t>
      </w:r>
    </w:p>
    <w:p w14:paraId="08E4A3EC" w14:textId="77777777" w:rsidR="00693CAE" w:rsidRPr="00192C32" w:rsidRDefault="00693CAE" w:rsidP="00693CAE">
      <w:pPr>
        <w:pStyle w:val="NormalHanging12a"/>
      </w:pPr>
      <w:r w:rsidRPr="00192C32">
        <w:t>Г.</w:t>
      </w:r>
      <w:r w:rsidRPr="00192C32">
        <w:tab/>
        <w:t xml:space="preserve">като има предвид, че през 2024 г. 15 661 потребители подкрепиха петиции на </w:t>
      </w:r>
      <w:proofErr w:type="spellStart"/>
      <w:r w:rsidRPr="00192C32">
        <w:t>уебпортала</w:t>
      </w:r>
      <w:proofErr w:type="spellEnd"/>
      <w:r w:rsidRPr="00192C32">
        <w:t xml:space="preserve"> за петиции на Парламента, което представлява значителен спад спрямо 26 331 потребители през 2023 г. и 22 441 през 2022 г.; като има предвид, че броят на щракванията за подкрепа също спадна — на 17 745 през 2024 г. спрямо 29 287 през 2023 г. и 27 927 през 2022 г.;</w:t>
      </w:r>
    </w:p>
    <w:p w14:paraId="46715B3E" w14:textId="77777777" w:rsidR="00693CAE" w:rsidRPr="00192C32" w:rsidRDefault="00693CAE" w:rsidP="00693CAE">
      <w:pPr>
        <w:pStyle w:val="NormalHanging12a"/>
      </w:pPr>
      <w:r w:rsidRPr="00192C32">
        <w:t>Д.</w:t>
      </w:r>
      <w:r w:rsidRPr="00192C32">
        <w:tab/>
        <w:t>като има предвид, че общият брой на петициите остава скромен спрямо общото население на ЕС, което показва, че е необходимо да се увеличат още усилията за повишаване на осведомеността на гражданите относно правото им на петиция и евентуалната полза от петициите като средство за привличане на вниманието на институциите на ЕС и държавите членки към въпроси, които засягат гражданите пряко; като има предвид, че комисията по петиции, която е много популярна сред младите хора по време на събития като Срещите на европейската младеж (EYE) в Страсбург, е ефективно средство за насърчаване на това право и за повишаване на осведомеността относно неговото значение сред гражданите, особено сред младите хора; като има предвид, че поради това е от съществено значение да се гарантира активно и систематично присъствие на комисията по петиции във всяко издание на EYE, за да се повиши нейната видимост и достъпност; като има предвид, че при упражняване на правото си на петиция гражданите очакват институциите на ЕС да предоставят добавена стойност чрез намиране на решения за техните проблеми; като има предвид, че това право на петиция трябва също така да насърчава основни принципи като добрата администрация на европейските институции, свободата на изразяване и зачитането на демократичното изразяване;</w:t>
      </w:r>
    </w:p>
    <w:p w14:paraId="05C63072" w14:textId="77777777" w:rsidR="00693CAE" w:rsidRPr="00192C32" w:rsidRDefault="00693CAE" w:rsidP="00693CAE">
      <w:pPr>
        <w:pStyle w:val="NormalHanging12a"/>
      </w:pPr>
      <w:r w:rsidRPr="00192C32">
        <w:t>Е.</w:t>
      </w:r>
      <w:r w:rsidRPr="00192C32">
        <w:tab/>
        <w:t>като има предвид, че критериите за допустимост на петициите са посочени в член 227 от ДФЕС и в член 232, параграф 1 от Правилника за дейността на Европейския парламент, които изискват петициите да се подават индивидуално или съвместно с други лица от гражданин на ЕС или от физическо или юридическо лице, което пребивава или има седалище на територията на държава членка, относно въпроси, които се отнасят до областите на компетентност на ЕС и които засягат пряко вносителите на петиции, като последното условие има много широко тълкуване;</w:t>
      </w:r>
    </w:p>
    <w:p w14:paraId="1F3D2D81" w14:textId="77777777" w:rsidR="00693CAE" w:rsidRPr="00192C32" w:rsidRDefault="00693CAE" w:rsidP="00693CAE">
      <w:pPr>
        <w:pStyle w:val="NormalHanging12a"/>
      </w:pPr>
      <w:r w:rsidRPr="00192C32">
        <w:t>Ж.</w:t>
      </w:r>
      <w:r w:rsidRPr="00192C32">
        <w:tab/>
        <w:t xml:space="preserve">като има предвид, че от общо 1 518 петиции, внесени през 2024 г., 611 бяха обявени за недопустими, а 31 бяха оттеглени; като има предвид, че високият и покачващ се процент на недопустимите петиции през 2024 г. (40,25%) потвърждава, че все още има широко разпространено разбиране на обхвата на областите на компетентност на ЕС; като има предвид, че за да се намали броят на недопустимите петиции, е необходимо да се положат още усилия за допълнително изясняване на обхвата на сферите на дейност на ЕС; </w:t>
      </w:r>
    </w:p>
    <w:p w14:paraId="09076829" w14:textId="77777777" w:rsidR="00693CAE" w:rsidRPr="00192C32" w:rsidRDefault="00693CAE" w:rsidP="00693CAE">
      <w:pPr>
        <w:pStyle w:val="NormalHanging12a"/>
      </w:pPr>
      <w:r w:rsidRPr="00192C32">
        <w:t>З.</w:t>
      </w:r>
      <w:r w:rsidRPr="00192C32">
        <w:tab/>
        <w:t xml:space="preserve">като има предвид, че правото на петиция до Парламента е основно право на гражданите на ЕС и че то предлага както на гражданите, така и на пребиваващите в ЕС лица, открит, демократичен и прозрачен механизъм пряко да се обърнат към избраните от тях представители; като има предвид, че много хора с увреждания </w:t>
      </w:r>
      <w:r w:rsidRPr="00192C32">
        <w:lastRenderedPageBreak/>
        <w:t xml:space="preserve">нямат равен достъп до информация и комуникация поради ограничената наличност на достъпни формати и поради факта, че националните </w:t>
      </w:r>
      <w:proofErr w:type="spellStart"/>
      <w:r w:rsidRPr="00192C32">
        <w:t>жестомимични</w:t>
      </w:r>
      <w:proofErr w:type="spellEnd"/>
      <w:r w:rsidRPr="00192C32">
        <w:t xml:space="preserve"> езици не се признават за част от многоезичието на ЕС; като има предвид, че този съществен инструмент дава възможност на гражданите да участват активно и ефективно в живота на Съюза; като има предвид, че чрез петициите гражданите на ЕС могат да подават жалби във връзка с неприлагане на правото на ЕС и да спомагат за установяване на нарушения на правото на ЕС в съответствие със суверенитета на държавите членки и прилагането на Договорите за ЕС;</w:t>
      </w:r>
    </w:p>
    <w:p w14:paraId="7C33AC81" w14:textId="77777777" w:rsidR="00693CAE" w:rsidRPr="00192C32" w:rsidRDefault="00693CAE" w:rsidP="00693CAE">
      <w:pPr>
        <w:pStyle w:val="NormalHanging12a"/>
      </w:pPr>
      <w:r w:rsidRPr="00192C32">
        <w:t>И.</w:t>
      </w:r>
      <w:r w:rsidRPr="00192C32">
        <w:tab/>
        <w:t>като има предвид, че в международен план Парламентът от дълго време е в челните редици при разработването на процедурата за внасяне и разглеждане на петиции и че той разполага с най-отворената и прозрачна система на внасяне и разглеждане на петиции в Европа, благодарение на което вносителите на петиции могат да участват пълноценно в неговите дейности; като има предвид, че онлайн платформата за петиции би могла да стане по-интуитивна, така че потребителите да могат да се ориентират по-лесно; като има предвид, че включването на ИИ би могло да опрости научните изследвания и да подобри достъпността на петициите чрез предлагане на по-усъвършенствани функции спрямо настоящия формат;</w:t>
      </w:r>
    </w:p>
    <w:p w14:paraId="656DD93B" w14:textId="77777777" w:rsidR="00693CAE" w:rsidRPr="00192C32" w:rsidRDefault="00693CAE" w:rsidP="00693CAE">
      <w:pPr>
        <w:pStyle w:val="NormalHanging12a"/>
      </w:pPr>
      <w:r w:rsidRPr="00192C32">
        <w:t>Й.</w:t>
      </w:r>
      <w:r w:rsidRPr="00192C32">
        <w:tab/>
        <w:t>като има предвид, че комисията по петиции подчертава значението на по-голямата прозрачност при разглеждането на петициите, включително систематичната обратна информация за вносителите на петиции на ключови етапи от процедурата и ясен график за последващи действия от страна на институциите на ЕС;</w:t>
      </w:r>
    </w:p>
    <w:p w14:paraId="42339CC0" w14:textId="77777777" w:rsidR="00693CAE" w:rsidRPr="00192C32" w:rsidRDefault="00693CAE" w:rsidP="00693CAE">
      <w:pPr>
        <w:pStyle w:val="NormalHanging12a"/>
      </w:pPr>
      <w:r w:rsidRPr="00192C32">
        <w:t>К.</w:t>
      </w:r>
      <w:r w:rsidRPr="00192C32">
        <w:tab/>
        <w:t>като има предвид, че дейността на комисията по петиции се основава на данните от вносителите на петиции и на предоставяната от тях информация; като има предвид, че информацията, както и експертният опит, предоставян от Комисията, държавите членки и други органи, са от съществено значение за работата на комисията по петиции; като има предвид, че допустимите петиции често осигуряват принос, който е ценен за работата на другите парламентарни комисии; като има предвид, че следователно петициите могат също така да играят роля в законодателния процес, като предоставят конкретна обратна връзка относно въздействието на политиките на ЕС и дават възможност на политиките да отговорят на възникващите потребности;</w:t>
      </w:r>
    </w:p>
    <w:p w14:paraId="5111564E" w14:textId="77777777" w:rsidR="00693CAE" w:rsidRPr="00192C32" w:rsidRDefault="00693CAE" w:rsidP="00693CAE">
      <w:pPr>
        <w:pStyle w:val="NormalHanging12a"/>
      </w:pPr>
      <w:r w:rsidRPr="00192C32">
        <w:t>Л.</w:t>
      </w:r>
      <w:r w:rsidRPr="00192C32">
        <w:tab/>
        <w:t>като има предвид, че правото на петиция укрепва способността на Парламента да реагира на жалби и опасения, свързани със зачитането на основните права на ЕС и спазването на правото на Съюза в държавите членки; като има предвид, че петициите биха могли да са полезен източник на информация за случаи на неправилно прилагане или нарушения на правото на ЕС и дават възможност на Парламента и на другите институции да оценяват транспонирането и прилагането на правото на ЕС и неговото въздействие върху правата на гражданите на ЕС и на лицата, пребиваващи в ЕС;</w:t>
      </w:r>
    </w:p>
    <w:p w14:paraId="2128BF09" w14:textId="39550B66" w:rsidR="00693CAE" w:rsidRPr="00192C32" w:rsidRDefault="00693CAE" w:rsidP="00693CAE">
      <w:pPr>
        <w:pStyle w:val="NormalHanging12a"/>
      </w:pPr>
      <w:r w:rsidRPr="00192C32">
        <w:t>М.</w:t>
      </w:r>
      <w:r w:rsidRPr="00192C32">
        <w:tab/>
        <w:t xml:space="preserve">като има предвид, че всяка петиция се разглежда и обработва внимателно, ефективно и прозрачно; като има предвид, че всички вносители на петиция имат право да получат в разумен срок и на своя език или на езика, използван в петицията, отговор с информация относно решението за допустимост и предприетите от комисията по петиции последващи действия; като има предвид, че петиция 1056/2016, обсъдена на 19 март 2024 г., изисква от Парламента да </w:t>
      </w:r>
      <w:r w:rsidRPr="00192C32">
        <w:lastRenderedPageBreak/>
        <w:t xml:space="preserve">разреши внасянето на петиции на националните </w:t>
      </w:r>
      <w:proofErr w:type="spellStart"/>
      <w:r w:rsidRPr="00192C32">
        <w:t>жестомимични</w:t>
      </w:r>
      <w:proofErr w:type="spellEnd"/>
      <w:r w:rsidRPr="00192C32">
        <w:t xml:space="preserve"> езици, използвани в ЕС;</w:t>
      </w:r>
    </w:p>
    <w:p w14:paraId="333587CC" w14:textId="77777777" w:rsidR="00693CAE" w:rsidRPr="00192C32" w:rsidRDefault="00693CAE" w:rsidP="00693CAE">
      <w:pPr>
        <w:pStyle w:val="NormalHanging12a"/>
      </w:pPr>
      <w:r w:rsidRPr="00192C32">
        <w:t>Н.</w:t>
      </w:r>
      <w:r w:rsidRPr="00192C32">
        <w:tab/>
        <w:t>като има предвид, че комисията по петиции отдава изключително голямо значение на разглеждането и публичното обсъждане на петициите по време на своите заседания; като има предвид, че вносителите на петиции имат право да представят своите петиции и често вземат думата по време на обсъждането, като по този начин допринасят активно за работата на комисията по петиции; като има предвид, че през 2024 г. комисията по петиции проведе осем заседания, в допълнение към учредителното си заседание, на които бяха обсъдени 106 петиции със 106 присъстващи вносители на петиции, които участваха активно, като взеха думата;</w:t>
      </w:r>
    </w:p>
    <w:p w14:paraId="27A77A8C" w14:textId="77777777" w:rsidR="00693CAE" w:rsidRPr="00192C32" w:rsidRDefault="00693CAE" w:rsidP="00693CAE">
      <w:pPr>
        <w:pStyle w:val="NormalHanging12a"/>
      </w:pPr>
      <w:r w:rsidRPr="00192C32">
        <w:t>О.</w:t>
      </w:r>
      <w:r w:rsidRPr="00192C32">
        <w:tab/>
        <w:t>като има предвид, че основните поводи за безпокойство, изразявани в петициите, внесени през 2024 г., са свързани с околната среда, основните права, върховенството на закона (включително правото на добра администрация, правото на достъп до документи, свободата на изразяване на мнение и свободата на информация), вътрешния пазар, правосъдието, правата на потребителите и здравето;</w:t>
      </w:r>
    </w:p>
    <w:p w14:paraId="5F1513BD" w14:textId="77777777" w:rsidR="00693CAE" w:rsidRPr="00192C32" w:rsidRDefault="00693CAE" w:rsidP="00693CAE">
      <w:pPr>
        <w:pStyle w:val="NormalHanging12a"/>
      </w:pPr>
      <w:r w:rsidRPr="00192C32">
        <w:t>П.</w:t>
      </w:r>
      <w:r w:rsidRPr="00192C32">
        <w:tab/>
        <w:t>като има предвид, че при приемането на дневния ред за своите заседания комисията по петиции се стреми да обсъжда петициите и темите, които са с висока степен на значимост за разискванията на равнището на ЕС, както и на необходимостта от поддържане на балансирано географско покритие на темите съобразно получените петиции;</w:t>
      </w:r>
    </w:p>
    <w:p w14:paraId="46A3336B" w14:textId="77777777" w:rsidR="00693CAE" w:rsidRPr="00192C32" w:rsidRDefault="00693CAE" w:rsidP="00693CAE">
      <w:pPr>
        <w:pStyle w:val="NormalHanging12a"/>
      </w:pPr>
      <w:r w:rsidRPr="00192C32">
        <w:t>Р.</w:t>
      </w:r>
      <w:r w:rsidRPr="00192C32">
        <w:tab/>
        <w:t xml:space="preserve">като има предвид, че през 2024 г. 82% от петициите до Парламента са подадени чрез </w:t>
      </w:r>
      <w:proofErr w:type="spellStart"/>
      <w:r w:rsidRPr="00192C32">
        <w:t>уебпортала</w:t>
      </w:r>
      <w:proofErr w:type="spellEnd"/>
      <w:r w:rsidRPr="00192C32">
        <w:t xml:space="preserve"> за петиции на Парламента, което е почти същата стойност като отчетените за 2023 г. 82,4%, като по този начин отново се потвърждава, че порталът е най-често използваният канал, чрез който гражданите внасят петиции до Парламента;</w:t>
      </w:r>
    </w:p>
    <w:p w14:paraId="7DF87013" w14:textId="77777777" w:rsidR="00693CAE" w:rsidRPr="00192C32" w:rsidRDefault="00693CAE" w:rsidP="00693CAE">
      <w:pPr>
        <w:pStyle w:val="NormalHanging12a"/>
      </w:pPr>
      <w:r w:rsidRPr="00192C32">
        <w:t>С.</w:t>
      </w:r>
      <w:r w:rsidRPr="00192C32">
        <w:tab/>
        <w:t xml:space="preserve">като има предвид, че на обновения </w:t>
      </w:r>
      <w:proofErr w:type="spellStart"/>
      <w:r w:rsidRPr="00192C32">
        <w:t>уебпортал</w:t>
      </w:r>
      <w:proofErr w:type="spellEnd"/>
      <w:r w:rsidRPr="00192C32">
        <w:t xml:space="preserve"> за петиции автоматично се публикуват сведения относно приемането на петиции и промени в статута, допълнителна информация (напр. държава, теми) и резюмета на всички 24 официални езика на ЕС; като има предвид, че отново през 2024 г. всички петиции бяха подготвени и публикувани своевременно, в срок от няколко дни от одобряването им, а на всички вътрешни и външни искания за подкрепа във връзка с използването и съдържанието на </w:t>
      </w:r>
      <w:proofErr w:type="spellStart"/>
      <w:r w:rsidRPr="00192C32">
        <w:t>уебпортала</w:t>
      </w:r>
      <w:proofErr w:type="spellEnd"/>
      <w:r w:rsidRPr="00192C32">
        <w:t xml:space="preserve"> за петиции беше отговорено успешно, своевременно и на всички официални езици на ЕС;</w:t>
      </w:r>
    </w:p>
    <w:p w14:paraId="3EF091CC" w14:textId="77777777" w:rsidR="00693CAE" w:rsidRPr="00192C32" w:rsidRDefault="00693CAE" w:rsidP="00693CAE">
      <w:pPr>
        <w:pStyle w:val="NormalHanging12a"/>
      </w:pPr>
      <w:r w:rsidRPr="00192C32">
        <w:t>Т.</w:t>
      </w:r>
      <w:r w:rsidRPr="00192C32">
        <w:tab/>
        <w:t>като има предвид, че през 2024 г. не са проведени констативни посещения за петициите, за които е в ход разследване, поради прекъсването на работата във връзка с провеждането на европейските избори; като има предвид, че комисията извърши последващата оценка и прие два доклада относно предишните констативни посещения, които бяха проведени през 2023 г.; като има предвид, че през първата половина на 2025 г. бяха планирани две констативни посещения;</w:t>
      </w:r>
    </w:p>
    <w:p w14:paraId="2E16138E" w14:textId="77777777" w:rsidR="00693CAE" w:rsidRPr="00192C32" w:rsidRDefault="00693CAE" w:rsidP="00693CAE">
      <w:pPr>
        <w:pStyle w:val="NormalHanging12a"/>
      </w:pPr>
      <w:r w:rsidRPr="00192C32">
        <w:t>У.</w:t>
      </w:r>
      <w:r w:rsidRPr="00192C32">
        <w:tab/>
        <w:t xml:space="preserve">като има предвид, че на 4 ноември 2024 г. комисията по петиции участва в изслушването за потвърждаване на кандидата за член на Комисията, отговарящ за търговията и икономическата сигурност и за междуинституционалните </w:t>
      </w:r>
      <w:r w:rsidRPr="00192C32">
        <w:lastRenderedPageBreak/>
        <w:t xml:space="preserve">отношения и прозрачността, </w:t>
      </w:r>
      <w:proofErr w:type="spellStart"/>
      <w:r w:rsidRPr="00192C32">
        <w:t>Марош</w:t>
      </w:r>
      <w:proofErr w:type="spellEnd"/>
      <w:r w:rsidRPr="00192C32">
        <w:t xml:space="preserve"> Шефчович, като поканена комисия; като има предвид, че в отговор на въпросите с искане за писмен и устен отговор, зададени му от комисията по петиции в контекста на изслушването за потвърждаване, </w:t>
      </w:r>
      <w:proofErr w:type="spellStart"/>
      <w:r w:rsidRPr="00192C32">
        <w:t>Марош</w:t>
      </w:r>
      <w:proofErr w:type="spellEnd"/>
      <w:r w:rsidRPr="00192C32">
        <w:t xml:space="preserve"> Шефчович пое редица ангажименти относно процеса на внасяне и разглеждане на петиции и прозрачността на действията на Комисията по правоприлагане; </w:t>
      </w:r>
    </w:p>
    <w:p w14:paraId="1FF8FD43" w14:textId="77777777" w:rsidR="00693CAE" w:rsidRPr="00192C32" w:rsidRDefault="00693CAE" w:rsidP="00693CAE">
      <w:pPr>
        <w:pStyle w:val="NormalHanging12a"/>
      </w:pPr>
      <w:r w:rsidRPr="00192C32">
        <w:t>Ф.</w:t>
      </w:r>
      <w:r w:rsidRPr="00192C32">
        <w:tab/>
        <w:t xml:space="preserve">като има предвид, че съгласно Правилника за дейността на Парламента комисията по петиции отговаря също така за отношенията с Европейския омбудсман, който разследва жалби относно лошо управление в институциите и органите на ЕС; като има предвид, че през 2024 г. комисията по петиции изигра ключова роля в организирането на изборите за Европейски омбудсман, като проведе публично изслушване на кандидатите съгласно член 237 от Правилника за дейността на Парламента; като има предвид, че на 17 декември 2024 г. Тереза </w:t>
      </w:r>
      <w:proofErr w:type="spellStart"/>
      <w:r w:rsidRPr="00192C32">
        <w:t>Анжиньо</w:t>
      </w:r>
      <w:proofErr w:type="spellEnd"/>
      <w:r w:rsidRPr="00192C32">
        <w:t xml:space="preserve"> беше избрана за Европейски омбудсман за парламентарния мандат 2024 — 2029 г.; </w:t>
      </w:r>
    </w:p>
    <w:p w14:paraId="2E18C28A" w14:textId="77777777" w:rsidR="00693CAE" w:rsidRPr="00192C32" w:rsidRDefault="00693CAE" w:rsidP="00693CAE">
      <w:pPr>
        <w:pStyle w:val="NormalHanging12a"/>
      </w:pPr>
      <w:r w:rsidRPr="00192C32">
        <w:t>Х.</w:t>
      </w:r>
      <w:r w:rsidRPr="00192C32">
        <w:tab/>
        <w:t xml:space="preserve">като има предвид, че през 2024 г. отношенията между комисията по петиции и Европейския омбудсман останаха конструктивни, както показва активното участие на предишния Европейски омбудсман Емили О’Райли в заседанията на комисията; като има предвид, че тя представи годишния си доклад за 2023 г. на комисията по петиции на нейното заседание на 4 септември 2024 г. и взе участие в нейния годишен семинар относно правата на хората с увреждания, състоял се на 2 декември 2024 г.; </w:t>
      </w:r>
    </w:p>
    <w:p w14:paraId="06EC01C0" w14:textId="77777777" w:rsidR="00693CAE" w:rsidRPr="00192C32" w:rsidRDefault="00693CAE" w:rsidP="00693CAE">
      <w:pPr>
        <w:pStyle w:val="NormalHanging12a"/>
      </w:pPr>
      <w:r w:rsidRPr="00192C32">
        <w:t>Ц.</w:t>
      </w:r>
      <w:r w:rsidRPr="00192C32">
        <w:tab/>
        <w:t>като има предвид, че комисията по петиции е член на Европейската мрежа на омбудсманите, която включва също така Европейския омбудсман, националните и регионалните омбудсмани и сходни органи в държавите членки, държавите кандидатки и другите държави от Европейското икономическо пространство и има за цел насърчаване на обмена на информация относно правото и политиките на ЕС, както и споделяне на най-добри практики;</w:t>
      </w:r>
    </w:p>
    <w:p w14:paraId="270BDF85" w14:textId="77777777" w:rsidR="00693CAE" w:rsidRPr="00192C32" w:rsidRDefault="00693CAE" w:rsidP="00693CAE">
      <w:pPr>
        <w:pStyle w:val="NormalHanging12a"/>
      </w:pPr>
      <w:r w:rsidRPr="00192C32">
        <w:t>1.</w:t>
      </w:r>
      <w:r w:rsidRPr="00192C32">
        <w:tab/>
        <w:t>припомня важната роля на комисията по петиции за защитата и насърчаването на правата на гражданите на ЕС и на пребиваващите в ЕС лица, като изтъква, че трябва да се гарантира, че опасенията и жалбите на вносителите на петиции се разглеждат своевременно, ефективно и подобаващо и че вносителите на петиции биват информирани своевременно относно предприетите действия и напредъка по внесените от тях петиции; изразява съжаление обаче, че това невинаги е така на практика; припомня, че всички петиции трябва да се разглеждат чрез открит, демократичен и прозрачен процес на внасяне и разглеждане на петиции, който комисията се очаква да поддържа последователно; препоръчва преразглеждане на вътрешните процедури, за да се гарантира, че сходни или повтарящи се петиции се групират заедно и разглеждат по-ефективно, като същевременно се гарантира правото на всеки вносител на петиция да бъде изслушан отделно;</w:t>
      </w:r>
    </w:p>
    <w:p w14:paraId="0D8AB0B6" w14:textId="77777777" w:rsidR="00693CAE" w:rsidRPr="00192C32" w:rsidRDefault="00693CAE" w:rsidP="00693CAE">
      <w:pPr>
        <w:pStyle w:val="NormalHanging12a"/>
      </w:pPr>
      <w:r w:rsidRPr="00192C32">
        <w:t>2.</w:t>
      </w:r>
      <w:r w:rsidRPr="00192C32">
        <w:tab/>
        <w:t xml:space="preserve">отново подчертава значението на непрекъснатия обществен дебат относно сферите на дейност на ЕС, за да се гарантира, че гражданите са надлежно информирани относно обхвата на правомощията на Съюза и различните равнища на вземане на решения с цел намаляване на броя на недопустимите петиции; отново призовава за по-широки кампании за повишаване на осведомеността, особено в отдалечените региони, както и сред недостатъчно представените групи граждани, включително младите хора, жените, общностите в селските и </w:t>
      </w:r>
      <w:r w:rsidRPr="00192C32">
        <w:lastRenderedPageBreak/>
        <w:t>островните райони, чрез активното участие на съществуващите комуникационни служби на ЕС на цялата територия на Съюза, за да се спомогне за повишаване на осведомеността на гражданите относно правото им на петиция, както и относно обхвата на отговорностите на ЕС и правомощията на комисията по петиции; призовава за по-ясна, свободна от специализиран жаргон комуникация с вносителите на петиции и за по-добро публично обяснение на ролята и ограниченията на комисията по петиции, особено за уязвимите потребители или потребителите, които подават петиция за първи път;</w:t>
      </w:r>
    </w:p>
    <w:p w14:paraId="1CA9DCDC" w14:textId="77777777" w:rsidR="00693CAE" w:rsidRPr="00192C32" w:rsidRDefault="00693CAE" w:rsidP="00693CAE">
      <w:pPr>
        <w:pStyle w:val="NormalHanging12a"/>
      </w:pPr>
      <w:r w:rsidRPr="00192C32">
        <w:t>3.</w:t>
      </w:r>
      <w:r w:rsidRPr="00192C32">
        <w:tab/>
        <w:t>припомня европейското измерение на комисията по петиции, към която могат да се обръщат гражданите от всичките 27 държави членки по въпроси, попадащи в обхвата на Договорите на ЕС и правото на ЕС; счита, че комисията по петиции, при зачитане на суверенитета и националните особености, има специална отговорност да поддържа това европейско измерение и да показва на гражданите добавената стойност на европейското единство и интеграция;</w:t>
      </w:r>
    </w:p>
    <w:p w14:paraId="3B8A93E0" w14:textId="77777777" w:rsidR="00693CAE" w:rsidRPr="00192C32" w:rsidRDefault="00693CAE" w:rsidP="00693CAE">
      <w:pPr>
        <w:pStyle w:val="NormalHanging12a"/>
      </w:pPr>
      <w:r w:rsidRPr="00192C32">
        <w:t>4.</w:t>
      </w:r>
      <w:r w:rsidRPr="00192C32">
        <w:tab/>
        <w:t>посочва, че петициите са уникална възможност за Парламента и другите институции на ЕС да установяват пряка връзка с гражданите на ЕС и да поддържат редовен диалог с тях, особено в случаи, когато те са засегнати от неправилно прилагане или нарушение на правото на ЕС; подчертава необходимостта от задълбочено сътрудничество между институциите на ЕС и националните, регионалните и местните органи по разследванията във връзка с прилагането и спазването на правото на ЕС; счита, че това сътрудничество е жизненоважно за разглеждане и отстраняване на причините за опасенията на гражданите във връзка с прилагането на правото на ЕС и че то допринася за укрепването на демократичната легитимност и отчетност на Съюза; поради това призовава за съдържателно участие на представители на държавите членки в заседанията на комисията и за своевременни и подробни отговори на исканията за разяснения или информация, изпращани от комисията по петиции до национални органи, така че да бъдат гарантирани последващи действия във връзка с петициите;</w:t>
      </w:r>
    </w:p>
    <w:p w14:paraId="4E57DBCE" w14:textId="77777777" w:rsidR="00693CAE" w:rsidRPr="00192C32" w:rsidRDefault="00693CAE" w:rsidP="00693CAE">
      <w:pPr>
        <w:pStyle w:val="NormalHanging12a"/>
      </w:pPr>
      <w:r w:rsidRPr="00192C32">
        <w:t>5.</w:t>
      </w:r>
      <w:r w:rsidRPr="00192C32">
        <w:tab/>
        <w:t>припомня, че в началото на 2024 г. комисията по петиции получи значителен брой петиции, в които се изразява загриженост относно предполагаеми заплахи за принципите на правовата държава в Испания; приема за сведение съвместното разискване, проведено през януари 2024 г., относно няколко петиции, отнасящи се до събития в Испания, по-специално във връзка с предложението на правителството за закон за амнистия и неговите потенциални последици за испанската правна рамка и правната рамка на ЕС;</w:t>
      </w:r>
    </w:p>
    <w:p w14:paraId="1B98491A" w14:textId="77777777" w:rsidR="00693CAE" w:rsidRPr="00192C32" w:rsidRDefault="00693CAE" w:rsidP="00693CAE">
      <w:pPr>
        <w:pStyle w:val="NormalHanging12a"/>
      </w:pPr>
      <w:r w:rsidRPr="00192C32">
        <w:t>6.</w:t>
      </w:r>
      <w:r w:rsidRPr="00192C32">
        <w:tab/>
        <w:t xml:space="preserve">припомня, че петициите допринасят значително за упражняването на ролята на Комисията като пазител на Договорите, като предоставят на гражданите допълнителен инструмент за подаване на сигнали за предполагаеми нарушения на правото на ЕС; изтъква, че конструктивното сътрудничество между комисията по петиции и Комисията посредством навременни и подробни отговори от страна на Комисията, основани на задълбочено разглеждане на въпросите, повдигнати в петициите, е от съществено значение за гарантиране на успешното разглеждане на петициите; отново заявява, че тези отговори, които се изпращат на вносителите на петиции, следва да бъдат ясни, прости и съпричастни, за да се постигне по-добро разбиране; </w:t>
      </w:r>
    </w:p>
    <w:p w14:paraId="3C392710" w14:textId="77777777" w:rsidR="00693CAE" w:rsidRPr="00192C32" w:rsidRDefault="00693CAE" w:rsidP="00693CAE">
      <w:pPr>
        <w:pStyle w:val="NormalHanging12a"/>
      </w:pPr>
      <w:r w:rsidRPr="00192C32">
        <w:lastRenderedPageBreak/>
        <w:t>7.</w:t>
      </w:r>
      <w:r w:rsidRPr="00192C32">
        <w:tab/>
        <w:t xml:space="preserve">приветства създаването на нова уебстраница на Комисията относно производствата за установяване на нарушение, транспонирането на директиви и диалога чрез EU </w:t>
      </w:r>
      <w:proofErr w:type="spellStart"/>
      <w:r w:rsidRPr="00192C32">
        <w:t>Pilot</w:t>
      </w:r>
      <w:proofErr w:type="spellEnd"/>
      <w:r w:rsidRPr="00192C32">
        <w:t xml:space="preserve">; въпреки това отново призовава Комисията редовно да информира комисията по петиции за напредъка по производства за установяване на нарушение и да гарантира, че комисията по петиции получава достъп до съответната информация относно производствата за установяване на нарушение и относно процедурите по EU </w:t>
      </w:r>
      <w:proofErr w:type="spellStart"/>
      <w:r w:rsidRPr="00192C32">
        <w:t>Pilot</w:t>
      </w:r>
      <w:proofErr w:type="spellEnd"/>
      <w:r w:rsidRPr="00192C32">
        <w:t>, които са свързани с петиции в процес на разглеждане; отново заявява необходимостта от повишаване на прозрачността на производствата за установяване на нарушение, както и от подобряване на комуникацията с вносителите на петиции относно актуалното състояние на тези процедури, и подчертава, че това ще бъде от полза за процеса на внасяне и разглеждане на петиции; приветства инициативата на Комисията за включване на петициите в публичния регистър на Комисията, съдържащ решенията по производства за установяване на нарушение, както и включването в портала за петиции на връзка към публичния регистър на Комисията; приветства ангажимента на члена на Комисията Шефчович за укрепване на връзката между публичния регистър на Комисията и портала на Парламента за петиции; отново призовава Комисията да включи всички тези изисквания в Рамковото споразумение за отношенията между Европейския парламент и Европейската комисия</w:t>
      </w:r>
      <w:r w:rsidRPr="00192C32">
        <w:rPr>
          <w:rStyle w:val="FootnoteReference"/>
        </w:rPr>
        <w:footnoteReference w:id="1"/>
      </w:r>
      <w:r w:rsidRPr="00192C32">
        <w:t>;</w:t>
      </w:r>
    </w:p>
    <w:p w14:paraId="779C68A0" w14:textId="77777777" w:rsidR="00693CAE" w:rsidRPr="00192C32" w:rsidRDefault="00693CAE" w:rsidP="00693CAE">
      <w:pPr>
        <w:pStyle w:val="NormalHanging12a"/>
      </w:pPr>
      <w:r w:rsidRPr="00192C32">
        <w:t>8.</w:t>
      </w:r>
      <w:r w:rsidRPr="00192C32">
        <w:tab/>
        <w:t>призовава за независима и периодична оценка на качеството и яснотата на отговорите на Комисията на петициите, като се обръща специално внимание на четивността, уместността и чувствителността към контекста на вносителите на петиции, за да се гарантира, че гражданите получават съдържателна и уважителна ангажираност;</w:t>
      </w:r>
    </w:p>
    <w:p w14:paraId="4666BDD5" w14:textId="77777777" w:rsidR="00693CAE" w:rsidRPr="00192C32" w:rsidRDefault="00693CAE" w:rsidP="00693CAE">
      <w:pPr>
        <w:pStyle w:val="NormalHanging12a"/>
      </w:pPr>
      <w:r w:rsidRPr="00192C32">
        <w:t>9.</w:t>
      </w:r>
      <w:r w:rsidRPr="00192C32">
        <w:tab/>
        <w:t>счита, че е необходимо по-активно сътрудничество между държавите членки и комисията по петиции, което може да бъде от полза за деблокиране на тези петиции, които изискват бърз отговор и реакция от страна на националните органи;</w:t>
      </w:r>
    </w:p>
    <w:p w14:paraId="6E8D6A05" w14:textId="77777777" w:rsidR="00693CAE" w:rsidRPr="00192C32" w:rsidRDefault="00693CAE" w:rsidP="00693CAE">
      <w:pPr>
        <w:pStyle w:val="NormalHanging12a"/>
      </w:pPr>
      <w:r w:rsidRPr="00192C32">
        <w:t>10.</w:t>
      </w:r>
      <w:r w:rsidRPr="00192C32">
        <w:tab/>
        <w:t>припомня, че базата данни e-</w:t>
      </w:r>
      <w:proofErr w:type="spellStart"/>
      <w:r w:rsidRPr="00192C32">
        <w:t>Petition</w:t>
      </w:r>
      <w:proofErr w:type="spellEnd"/>
      <w:r w:rsidRPr="00192C32">
        <w:t xml:space="preserve"> е важен вътрешен инструмент, който дава достъп на членовете на комисията по петиции до цялата необходима информация за проследяване на текущото състояние на всяка петиция, както и възможност да вземат информирани решения относно разглеждането на петициите; отбелязва, че базата данни e-</w:t>
      </w:r>
      <w:proofErr w:type="spellStart"/>
      <w:r w:rsidRPr="00192C32">
        <w:t>Petition</w:t>
      </w:r>
      <w:proofErr w:type="spellEnd"/>
      <w:r w:rsidRPr="00192C32">
        <w:t xml:space="preserve"> също така играе важна роля в комуникацията с вносителите на петиции; подчертава необходимостта от по-нататъшно модернизиране на цифровите инструменти на комисията по петиции и предлага да се проучи отговорно и ръководено от човека използване на изкуствения интелект, за да се подобри допълнително обработването на петициите;</w:t>
      </w:r>
    </w:p>
    <w:p w14:paraId="42293342" w14:textId="77777777" w:rsidR="00693CAE" w:rsidRPr="00192C32" w:rsidRDefault="00693CAE" w:rsidP="00693CAE">
      <w:pPr>
        <w:pStyle w:val="NormalHanging12a"/>
      </w:pPr>
      <w:r w:rsidRPr="00192C32">
        <w:t>11.</w:t>
      </w:r>
      <w:r w:rsidRPr="00192C32">
        <w:tab/>
        <w:t xml:space="preserve">припомня ангажимента на Комисията за създаване на междуинституционален ИТ инструмент между Комисията и Парламента, предназначен за споделяне на информация и документи относно всички последващи действия, предприемани във връзка с петиции, като производства за установяване на нарушение, законодателни предложения или отговори на националните органи, като по този начин ще се повишат прозрачността и ефективността на разглеждането на </w:t>
      </w:r>
      <w:r w:rsidRPr="00192C32">
        <w:lastRenderedPageBreak/>
        <w:t>петиции, като в по-широк контекст този инструмент ще допринесе за повишаване на доверието на гражданите в институциите на ЕС и в европейския проект; призовава за бързото внедряване на такъв междуинституционален ИТ инструмент;</w:t>
      </w:r>
    </w:p>
    <w:p w14:paraId="41A0451E" w14:textId="77777777" w:rsidR="00693CAE" w:rsidRPr="00192C32" w:rsidRDefault="00693CAE" w:rsidP="00693CAE">
      <w:pPr>
        <w:pStyle w:val="NormalHanging12a"/>
      </w:pPr>
      <w:r w:rsidRPr="00192C32">
        <w:t>12.</w:t>
      </w:r>
      <w:r w:rsidRPr="00192C32">
        <w:tab/>
        <w:t>припомня, че сътрудничеството с други комисии на Парламента е от съществено значение за всеобхватното разглеждане на петициите; отбелязва, че през 2024 г. до други комисии са изпратени 30 искания за становище и 450 искания за информация; отбелязва, че до края на 2024 г. са получени 26 становища;</w:t>
      </w:r>
      <w:r w:rsidRPr="00192C32">
        <w:rPr>
          <w:color w:val="FF0000"/>
        </w:rPr>
        <w:t xml:space="preserve"> </w:t>
      </w:r>
      <w:r w:rsidRPr="00192C32">
        <w:t>припомня, че вносителите на петиции са информирани за решенията да се поискат становища от други комисии с оглед на разглеждането на техните петиции; подчертава, че парламентарните комисии следва да увеличат усилията си, за да допринасят активно за разглеждането на петициите, като предоставят своя експертен опит, така че Парламентът да може да реагира по-бързо и изчерпателно на тревогите на гражданите;</w:t>
      </w:r>
    </w:p>
    <w:p w14:paraId="3C885715" w14:textId="77777777" w:rsidR="00693CAE" w:rsidRPr="00192C32" w:rsidRDefault="00693CAE" w:rsidP="00693CAE">
      <w:pPr>
        <w:pStyle w:val="NormalHanging12a"/>
      </w:pPr>
      <w:r w:rsidRPr="00192C32">
        <w:t>13.</w:t>
      </w:r>
      <w:r w:rsidRPr="00192C32">
        <w:tab/>
        <w:t xml:space="preserve">е убеден, че мрежата за петиции е полезен инструмент за улесняване на последващите действия по петициите в рамките на парламентарната и законодателната работа; счита, че редовните заседания на мрежата за петиции са от решаващо значение, за да бъде повишена видимостта на дейностите на комисията по петиции и да се гарантира по-добро разбиране за нейната работа и мисия, както и за да се укрепи сътрудничеството с другите парламентарни комисии; </w:t>
      </w:r>
    </w:p>
    <w:p w14:paraId="55818988" w14:textId="77777777" w:rsidR="00693CAE" w:rsidRPr="00192C32" w:rsidRDefault="00693CAE" w:rsidP="00693CAE">
      <w:pPr>
        <w:pStyle w:val="NormalHanging12a"/>
      </w:pPr>
      <w:r w:rsidRPr="00192C32">
        <w:t>14.</w:t>
      </w:r>
      <w:r w:rsidRPr="00192C32">
        <w:tab/>
        <w:t>отбелязва, че през 2024 г. околната среда e продължила да бъде основен повод за загриженост за вносителите на петиции, като в над 20% от петициите се повдигат въпроси, свързани с околната среда; отбелязва значителния брой петиции, в които се осъждат нарушения на законодателството на ЕС в областта на околната среда в няколко държави членки; отбелязва, че въпросите, докладвани от вносителите на петиции и обсъдени в комисията, включват защитата на вълците в ЕС, дългосрочното токсично въздействие на пестицидите и нарушаването на Директивата за емисиите от промишлеността</w:t>
      </w:r>
      <w:r w:rsidRPr="00192C32">
        <w:rPr>
          <w:rStyle w:val="FootnoteReference"/>
        </w:rPr>
        <w:footnoteReference w:id="2"/>
      </w:r>
      <w:r w:rsidRPr="00192C32">
        <w:t>, произтичащо от управлението на стоманодобивен завод; подчертава, че е важно да се отговори на очакванията на гражданите на ЕС по отношение на опазването на околната среда, и настоятелно призовава Комисията, заедно с държавите членки, да обезпечи правилното прилагане на законодателството на ЕС в областта на околната среда;</w:t>
      </w:r>
    </w:p>
    <w:p w14:paraId="65861C7E" w14:textId="77777777" w:rsidR="00693CAE" w:rsidRPr="00192C32" w:rsidRDefault="00693CAE" w:rsidP="00693CAE">
      <w:pPr>
        <w:pStyle w:val="NormalHanging12a"/>
      </w:pPr>
      <w:r w:rsidRPr="00192C32">
        <w:t>15.</w:t>
      </w:r>
      <w:r w:rsidRPr="00192C32">
        <w:tab/>
        <w:t xml:space="preserve">отбелязва, че комисията по петиции е разгледала други въпроси, като например защитата на правата на децата, включително безопасността онлайн, както и подобряването на хуманното отношение към животните; обръща внимание на петициите, в които се изтъкват нарушения на правата на пътниците; отбелязва също така, че множество петиции повдигат опасения относно защитата на данните, и по-специално относно прилагането на Общия регламент относно </w:t>
      </w:r>
      <w:r w:rsidRPr="00192C32">
        <w:lastRenderedPageBreak/>
        <w:t>защитата на данните</w:t>
      </w:r>
      <w:r w:rsidRPr="00192C32">
        <w:rPr>
          <w:rStyle w:val="FootnoteReference"/>
        </w:rPr>
        <w:footnoteReference w:id="3"/>
      </w:r>
      <w:r w:rsidRPr="00192C32">
        <w:t>; подчертава също така броя на петициите във връзка с жилищната криза в държавите членки; отбелязва, че комисията по петиции се е занимавала с отговорностите на дружествата, работещи с изкопаеми горива, за кризата, свързана с разходите за живот, с опасения, свързани с безопасността на железопътния транспорт, както и със защитата на правата на работниците; отбелязва разглеждането на петициите относно културата и националното наследство; припомня, че комисията по петиции обсъди няколко петиции относно отмяната на разрешения за постоянно пребиваване на руски граждани в Латвия; отбелязва, че комисията по петиции е получила значителен брой петиции относно принципите на правовата държава в държавите членки, които са били обсъдени в комисията; отбелязва внесените петиции относно условията за приемане на имигранти и лица, търсещи убежище, в държавите членки, и отбелязва петициите, в които се съобщава за случаи на дискриминация; очаква надлежни последващи действия и актуализирана информация от Комисията по всички тези петиции;</w:t>
      </w:r>
    </w:p>
    <w:p w14:paraId="64FFF1CD" w14:textId="24BC8FD4" w:rsidR="00693CAE" w:rsidRPr="00192C32" w:rsidRDefault="00693CAE" w:rsidP="00693CAE">
      <w:pPr>
        <w:pStyle w:val="NormalHanging12a"/>
      </w:pPr>
      <w:r w:rsidRPr="00192C32">
        <w:t>16.</w:t>
      </w:r>
      <w:r w:rsidRPr="00192C32">
        <w:tab/>
        <w:t xml:space="preserve">подчертава важния принос на комисията по петиции за защитата на правата на лицата с увреждания, както стана ясно от разглеждането на редица петиции на тази тема, включително разглеждането на Петиция 1056/2016 относно внасянето на петиции на националните </w:t>
      </w:r>
      <w:proofErr w:type="spellStart"/>
      <w:r w:rsidRPr="00192C32">
        <w:t>жестомимични</w:t>
      </w:r>
      <w:proofErr w:type="spellEnd"/>
      <w:r w:rsidRPr="00192C32">
        <w:t xml:space="preserve"> езици; в този контекст признава усилията на службите на Парламента и отбелязва, че трябва да се намери не само най-доброто, но и най-достъпното техническо решение за лишените от слух граждани, за да може да се комуникира с тях на техния роден език чрез националните </w:t>
      </w:r>
      <w:proofErr w:type="spellStart"/>
      <w:r w:rsidRPr="00192C32">
        <w:t>жестомимични</w:t>
      </w:r>
      <w:proofErr w:type="spellEnd"/>
      <w:r w:rsidRPr="00192C32">
        <w:t xml:space="preserve"> езици; отправя искане за изменение на Правилника за дейността в тясно сътрудничество с комисията по конституционни въпроси (AFCO) с цел премахване на задължението за комуникация изключително в писмен вид с ползващите </w:t>
      </w:r>
      <w:proofErr w:type="spellStart"/>
      <w:r w:rsidRPr="00192C32">
        <w:t>жестомимичен</w:t>
      </w:r>
      <w:proofErr w:type="spellEnd"/>
      <w:r w:rsidRPr="00192C32">
        <w:t xml:space="preserve"> език граждани, които са лишени от слух или с увреден слух, така че по тяхно искане те да могат да използват своя </w:t>
      </w:r>
      <w:proofErr w:type="spellStart"/>
      <w:r w:rsidRPr="00192C32">
        <w:t>жестомимичен</w:t>
      </w:r>
      <w:proofErr w:type="spellEnd"/>
      <w:r w:rsidRPr="00192C32">
        <w:t xml:space="preserve"> език в рамките на процедурата; отбелязва, че образованието на учениците с увреждания, отказът на здравни услуги за хората с увреждания и достъпността на обществените пространства и услуги са били повод за допълнителна загриженост за вносителите на петиции през 2024 г.; припомня проведен от комисията по петиции на 2 декември 2024 г. годишен семинар от относно правата на хората с увреждания, който беше посветен на актуалното състояние на стратегията за правата на хората с увреждания за периода 2021 — 2030 г., и настоятелно призовава за бързо интегриране на констатациите от петициите в междинния преглед на Стратегията за правата на хората с увреждания за периода 2021—2030 г., с измерими цели и бюджетни ангажименти;</w:t>
      </w:r>
    </w:p>
    <w:p w14:paraId="49EC321E" w14:textId="77777777" w:rsidR="00693CAE" w:rsidRPr="00192C32" w:rsidRDefault="00693CAE" w:rsidP="00693CAE">
      <w:pPr>
        <w:pStyle w:val="NormalHanging12a"/>
      </w:pPr>
      <w:r w:rsidRPr="00192C32">
        <w:t>17.</w:t>
      </w:r>
      <w:r w:rsidRPr="00192C32">
        <w:tab/>
        <w:t xml:space="preserve">подчертава специфичната роля на защитник, която комисията по петиции изпълнява в ЕС в контекста на Конвенцията на ООН за правата на хората с увреждания; посочва важната текуща работа на комисията във връзка с петициите относно проблеми, свързани с увреждания; припомня, че в Директива (ЕС) 2024/2841 за установяване на европейската карта за хора с увреждания и на европейската карта за паркиране за хора с увреждания е включено позоваване на </w:t>
      </w:r>
      <w:r w:rsidRPr="00192C32">
        <w:lastRenderedPageBreak/>
        <w:t>петициите относно необходимостта от карта за хора с увреждания за целия Съюз</w:t>
      </w:r>
      <w:r w:rsidRPr="00192C32">
        <w:rPr>
          <w:rStyle w:val="FootnoteReference"/>
        </w:rPr>
        <w:footnoteReference w:id="4"/>
      </w:r>
      <w:r w:rsidRPr="00192C32">
        <w:t>; подчертава, че петициите могат да допринасят значително за законодателния процес;</w:t>
      </w:r>
    </w:p>
    <w:p w14:paraId="054B9147" w14:textId="77777777" w:rsidR="00693CAE" w:rsidRPr="00192C32" w:rsidRDefault="00693CAE" w:rsidP="00693CAE">
      <w:pPr>
        <w:pStyle w:val="NormalHanging12a"/>
        <w:rPr>
          <w:rFonts w:eastAsia="Calibri"/>
        </w:rPr>
      </w:pPr>
      <w:r w:rsidRPr="00192C32">
        <w:t>18.</w:t>
      </w:r>
      <w:r w:rsidRPr="00192C32">
        <w:tab/>
        <w:t>припомня факта, че отношенията с Европейския омбудсман са една от отговорностите, възложени на комисията по петиции съгласно Правилника за дейността на Парламента; подчертава ролята на комисията по петиции в процеса на избиране на Европейския омбудсман, по-специално в организирането на публичното изслушване с всички отговарящи на условията кандидати, проведено на 3 декември 2024 г., което беше отворено за всички членове на Европейския парламент, като по този начин им се даде демократичната и прозрачна възможност да обменят мнения с кандидатите и да оценяват тяхната независимост, квалификации и професионализъм, както и тяхната визия за длъжността на Европейския омбудсман в рамките на институционалната структура на ЕС; приветства конструктивното сътрудничество на Парламента с Европейския омбудсман, с когото комисията по петиции споделя целите за гарантиране на прозрачност, професионализъм и почтеност на институциите на ЕС спрямо европейските граждани, както и участието в Европейската мрежа на омбудсманите;</w:t>
      </w:r>
    </w:p>
    <w:p w14:paraId="3F11053E" w14:textId="77777777" w:rsidR="00693CAE" w:rsidRPr="00192C32" w:rsidRDefault="00693CAE" w:rsidP="00693CAE">
      <w:pPr>
        <w:pStyle w:val="NormalHanging12a"/>
        <w:rPr>
          <w:rFonts w:eastAsia="Calibri"/>
        </w:rPr>
      </w:pPr>
      <w:r w:rsidRPr="00192C32">
        <w:t>19.</w:t>
      </w:r>
      <w:r w:rsidRPr="00192C32">
        <w:tab/>
        <w:t>поощрява продължаващия редовен принос на Европейския омбудсман за работата на комисията по петиции през цялата година; изразява твърдо убеждение, че институциите, органите и агенциите на Съюза трябва да гарантират последователни и ефективни последващи действия във връзка с препоръките на Омбудсмана; подчертава съществената роля на Европейския омбудсман за насърчаване на прозрачността, добрата администрация и защитата на правата на гражданите; призовава за по-тясно сътрудничество между комисията по петиции и службата на омбудсмана;</w:t>
      </w:r>
    </w:p>
    <w:p w14:paraId="0B02FB10" w14:textId="77777777" w:rsidR="00693CAE" w:rsidRPr="00192C32" w:rsidRDefault="00693CAE" w:rsidP="00693CAE">
      <w:pPr>
        <w:pStyle w:val="NormalHanging12a"/>
        <w:rPr>
          <w:b/>
          <w:i/>
        </w:rPr>
      </w:pPr>
      <w:r w:rsidRPr="00192C32">
        <w:t>20.</w:t>
      </w:r>
      <w:r w:rsidRPr="00192C32">
        <w:tab/>
        <w:t xml:space="preserve">отбелязва, че въпреки прекъсването на работата на Парламента поради провеждането на европейските избори комисията по петиции изрази позицията си и отправи препоръки по важни въпроси, повдигнати в петициите, включително като прие два доклада относно проведени констативни посещения, проведени през втората половина на 2023 г., а именно командировка в Ирландия относно качеството на сградите в графство </w:t>
      </w:r>
      <w:proofErr w:type="spellStart"/>
      <w:r w:rsidRPr="00192C32">
        <w:t>Донегал</w:t>
      </w:r>
      <w:proofErr w:type="spellEnd"/>
      <w:r w:rsidRPr="00192C32">
        <w:t xml:space="preserve"> и командировка в Испания относно езиковото потапяне в Каталония; подчертава значението на изпълнението от страна на органите в Каталония на препоръките, направени от комисията по петиции в нейния доклад от 19 март 2024 г., имащи за цел защитата на езиковите права на студентите и техните семейства;</w:t>
      </w:r>
    </w:p>
    <w:p w14:paraId="0C6638A2" w14:textId="77777777" w:rsidR="00693CAE" w:rsidRPr="00192C32" w:rsidRDefault="00693CAE" w:rsidP="00693CAE">
      <w:pPr>
        <w:pStyle w:val="NormalHanging12a"/>
      </w:pPr>
      <w:r w:rsidRPr="00192C32">
        <w:t>21.</w:t>
      </w:r>
      <w:r w:rsidRPr="00192C32">
        <w:tab/>
        <w:t xml:space="preserve">отбелязва нарастващия брой петиции, свързани с образователната политика, по-специално признаването на преподавателските квалификации в държавите членки; във връзка с това подчертава въпроса с искане за устен отговор на комисията по петиции до Комисията относно условията на труд на учителите в ЕС; изразява тревога поради устния отговор на Комисията, потвърждаващ, че недостигът на учители представлява сериозно предизвикателство, което е </w:t>
      </w:r>
      <w:r w:rsidRPr="00192C32">
        <w:lastRenderedPageBreak/>
        <w:t>отразено и в неотдавнашните резултати на PISA, съгласно който дори една единствена държава членка не е успяла да подобри резултатите си по отношение на основните умения; във връзка с това призовава Комисията и държавите членки да увеличат значително усилията си за подобряване на своите системи за училищно образование, като същевременно увеличават привлекателността на учителската професия, включително чрез финансиране и програми;</w:t>
      </w:r>
    </w:p>
    <w:p w14:paraId="48974B95" w14:textId="00FAF589" w:rsidR="00693CAE" w:rsidRPr="00192C32" w:rsidRDefault="00693CAE" w:rsidP="00693CAE">
      <w:pPr>
        <w:pStyle w:val="NormalHanging12a"/>
      </w:pPr>
      <w:r w:rsidRPr="00192C32">
        <w:t>22.</w:t>
      </w:r>
      <w:r w:rsidRPr="00192C32">
        <w:tab/>
        <w:t>приветства приемането на резолюцията на Парламента от 10 април 2024 г. относно обработката на тежкотоварни превозни средства на граничните контролно-пропускателни пунктове въз основа на Петиция 0146/2023</w:t>
      </w:r>
      <w:r w:rsidRPr="00192C32">
        <w:rPr>
          <w:rStyle w:val="FootnoteReference"/>
        </w:rPr>
        <w:footnoteReference w:id="5"/>
      </w:r>
      <w:r w:rsidRPr="00192C32">
        <w:t xml:space="preserve">; </w:t>
      </w:r>
    </w:p>
    <w:p w14:paraId="6F3B7DD3" w14:textId="0C40C401" w:rsidR="00693CAE" w:rsidRPr="00192C32" w:rsidRDefault="00693CAE" w:rsidP="00693CAE">
      <w:pPr>
        <w:pStyle w:val="NormalHanging12a"/>
      </w:pPr>
      <w:r w:rsidRPr="00192C32">
        <w:t>23.</w:t>
      </w:r>
      <w:r w:rsidRPr="00192C32">
        <w:tab/>
        <w:t xml:space="preserve">подчертава, че </w:t>
      </w:r>
      <w:proofErr w:type="spellStart"/>
      <w:r w:rsidRPr="00192C32">
        <w:t>уебпорталът</w:t>
      </w:r>
      <w:proofErr w:type="spellEnd"/>
      <w:r w:rsidRPr="00192C32">
        <w:t xml:space="preserve"> за петиции е основен инструмент за осигуряване на гладък, ефективен и прозрачен процес на внасяне и разглеждане на петиции; приветства подобренията на портала в полза на вносителите на петиции и подчертава, че усилията за повишаване на достъпността на портала трябва да продължат, включително като той стане по-достъпен за лица, използващи </w:t>
      </w:r>
      <w:proofErr w:type="spellStart"/>
      <w:r w:rsidRPr="00192C32">
        <w:t>жестомимичен</w:t>
      </w:r>
      <w:proofErr w:type="spellEnd"/>
      <w:r w:rsidRPr="00192C32">
        <w:t xml:space="preserve"> език, както е изискано в Петиция </w:t>
      </w:r>
      <w:r w:rsidR="005A305A" w:rsidRPr="00192C32">
        <w:t>№ </w:t>
      </w:r>
      <w:r w:rsidRPr="00192C32">
        <w:t xml:space="preserve">1056/2016, и за хората с увреждания; отбелязва, че </w:t>
      </w:r>
      <w:proofErr w:type="spellStart"/>
      <w:r w:rsidRPr="00192C32">
        <w:t>уебпорталът</w:t>
      </w:r>
      <w:proofErr w:type="spellEnd"/>
      <w:r w:rsidRPr="00192C32">
        <w:t xml:space="preserve"> за петиции е един от най-посещаваните уебсайтове на Парламента и че по този начин той служи като първа точка за контакт с Парламента за много граждани на ЕС;</w:t>
      </w:r>
    </w:p>
    <w:p w14:paraId="5856FAAB" w14:textId="77777777" w:rsidR="00693CAE" w:rsidRPr="00192C32" w:rsidRDefault="00693CAE" w:rsidP="00693CAE">
      <w:pPr>
        <w:pStyle w:val="NormalHanging12a"/>
      </w:pPr>
      <w:r w:rsidRPr="00192C32">
        <w:t>24.</w:t>
      </w:r>
      <w:r w:rsidRPr="00192C32">
        <w:tab/>
        <w:t>възлага на своя председател да предаде настоящата резолюция и доклада на комисията по петиции съответно на Съвета, Комисията, Европейския омбудсман и правителствата и парламентите на държавите членки, на техните комисии по петиции и на техните национални омбудсмани или сходни компетентни органи.</w:t>
      </w:r>
    </w:p>
    <w:bookmarkEnd w:id="1"/>
    <w:p w14:paraId="14CA4E4E" w14:textId="67C781B6" w:rsidR="00E365E1" w:rsidRPr="001F5190" w:rsidRDefault="00E365E1" w:rsidP="001F5190">
      <w:pPr>
        <w:widowControl/>
      </w:pPr>
    </w:p>
    <w:sectPr w:rsidR="00E365E1" w:rsidRPr="001F5190" w:rsidSect="00192C3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1B566" w14:textId="77777777" w:rsidR="00A44A07" w:rsidRPr="00192C32" w:rsidRDefault="00A44A07">
      <w:r w:rsidRPr="00192C32">
        <w:separator/>
      </w:r>
    </w:p>
  </w:endnote>
  <w:endnote w:type="continuationSeparator" w:id="0">
    <w:p w14:paraId="7675B2DC" w14:textId="77777777" w:rsidR="00A44A07" w:rsidRPr="00192C32" w:rsidRDefault="00A44A07">
      <w:r w:rsidRPr="00192C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08802" w14:textId="77777777" w:rsidR="00064002" w:rsidRPr="00192C3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97C30E" w14:textId="77777777" w:rsidR="00064002" w:rsidRPr="00192C3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1AC9B" w14:textId="77777777" w:rsidR="00064002" w:rsidRPr="00192C3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1C0CA8" w14:textId="77777777" w:rsidR="00A44A07" w:rsidRPr="00192C32" w:rsidRDefault="00A44A07">
      <w:r w:rsidRPr="00192C32">
        <w:separator/>
      </w:r>
    </w:p>
  </w:footnote>
  <w:footnote w:type="continuationSeparator" w:id="0">
    <w:p w14:paraId="43F4B47C" w14:textId="77777777" w:rsidR="00A44A07" w:rsidRPr="00192C32" w:rsidRDefault="00A44A07">
      <w:r w:rsidRPr="00192C32">
        <w:continuationSeparator/>
      </w:r>
    </w:p>
  </w:footnote>
  <w:footnote w:id="1">
    <w:p w14:paraId="7553C114" w14:textId="165C6BA7" w:rsidR="00693CAE" w:rsidRPr="00192C32" w:rsidRDefault="00693CAE" w:rsidP="00192C32">
      <w:pPr>
        <w:pStyle w:val="FootnoteText"/>
        <w:ind w:left="567" w:hanging="567"/>
        <w:rPr>
          <w:sz w:val="24"/>
          <w:lang w:val="bg-BG"/>
        </w:rPr>
      </w:pPr>
      <w:r w:rsidRPr="00192C32">
        <w:rPr>
          <w:rStyle w:val="FootnoteReference"/>
          <w:sz w:val="24"/>
          <w:lang w:val="bg-BG"/>
        </w:rPr>
        <w:footnoteRef/>
      </w:r>
      <w:r w:rsidR="00192C32" w:rsidRPr="00192C32">
        <w:rPr>
          <w:sz w:val="24"/>
          <w:lang w:val="bg-BG"/>
        </w:rPr>
        <w:t xml:space="preserve"> </w:t>
      </w:r>
      <w:r w:rsidR="00192C32" w:rsidRPr="00192C32">
        <w:rPr>
          <w:sz w:val="24"/>
          <w:lang w:val="bg-BG"/>
        </w:rPr>
        <w:tab/>
      </w:r>
      <w:r w:rsidRPr="00192C32">
        <w:rPr>
          <w:sz w:val="24"/>
          <w:lang w:val="bg-BG"/>
        </w:rPr>
        <w:t>OВ L 304, 20.11.2010 г</w:t>
      </w:r>
      <w:r w:rsidR="001F5190">
        <w:rPr>
          <w:sz w:val="24"/>
          <w:lang w:val="bg-BG"/>
        </w:rPr>
        <w:t>.</w:t>
      </w:r>
      <w:r w:rsidRPr="00192C32">
        <w:rPr>
          <w:sz w:val="24"/>
          <w:lang w:val="bg-BG"/>
        </w:rPr>
        <w:t xml:space="preserve">, стр. 47, ELI: </w:t>
      </w:r>
      <w:hyperlink r:id="rId1" w:history="1">
        <w:r w:rsidRPr="00192C32">
          <w:rPr>
            <w:rStyle w:val="Hyperlink"/>
            <w:sz w:val="24"/>
            <w:lang w:val="bg-BG"/>
          </w:rPr>
          <w:t>http://data.europa.eu/eli/agree_interinstit/2010/1120/oj</w:t>
        </w:r>
      </w:hyperlink>
      <w:r w:rsidRPr="00192C32">
        <w:rPr>
          <w:sz w:val="24"/>
          <w:lang w:val="bg-BG"/>
        </w:rPr>
        <w:t xml:space="preserve">. </w:t>
      </w:r>
    </w:p>
  </w:footnote>
  <w:footnote w:id="2">
    <w:p w14:paraId="292314C1" w14:textId="1E3538A6" w:rsidR="00693CAE" w:rsidRPr="00192C32" w:rsidRDefault="00693CAE" w:rsidP="00192C32">
      <w:pPr>
        <w:pStyle w:val="FootnoteText"/>
        <w:ind w:left="567" w:hanging="567"/>
        <w:rPr>
          <w:sz w:val="24"/>
          <w:lang w:val="bg-BG"/>
        </w:rPr>
      </w:pPr>
      <w:r w:rsidRPr="00192C32">
        <w:rPr>
          <w:rStyle w:val="FootnoteReference"/>
          <w:sz w:val="24"/>
          <w:lang w:val="bg-BG"/>
        </w:rPr>
        <w:footnoteRef/>
      </w:r>
      <w:r w:rsidR="00192C32" w:rsidRPr="00192C32">
        <w:rPr>
          <w:sz w:val="24"/>
          <w:lang w:val="bg-BG"/>
        </w:rPr>
        <w:t xml:space="preserve"> </w:t>
      </w:r>
      <w:r w:rsidR="00192C32" w:rsidRPr="00192C32">
        <w:rPr>
          <w:sz w:val="24"/>
          <w:lang w:val="bg-BG"/>
        </w:rPr>
        <w:tab/>
      </w:r>
      <w:r w:rsidRPr="00192C32">
        <w:rPr>
          <w:sz w:val="24"/>
          <w:lang w:val="bg-BG"/>
        </w:rPr>
        <w:t xml:space="preserve">Директива (ЕС) 2024/1785 на Европейския парламент и на Съвета от 24 април 2024 г. за изменение на Директива 2010/75/ЕС на Европейския парламент и на Съвета относно емисиите от промишлеността (комплексно предотвратяване и контрол на замърсяването) и на Директива 1999/31/ЕО на Съвета относно депонирането на отпадъци (OВ L, 2024/1785, 15.7.2024 г., ELI: </w:t>
      </w:r>
      <w:r w:rsidR="005A305A">
        <w:fldChar w:fldCharType="begin"/>
      </w:r>
      <w:r w:rsidR="005A305A">
        <w:instrText>HYPERLINK</w:instrText>
      </w:r>
      <w:r w:rsidR="005A305A" w:rsidRPr="005A305A">
        <w:rPr>
          <w:lang w:val="ru-RU"/>
        </w:rPr>
        <w:instrText xml:space="preserve"> "</w:instrText>
      </w:r>
      <w:r w:rsidR="005A305A">
        <w:instrText>http</w:instrText>
      </w:r>
      <w:r w:rsidR="005A305A" w:rsidRPr="005A305A">
        <w:rPr>
          <w:lang w:val="ru-RU"/>
        </w:rPr>
        <w:instrText>://</w:instrText>
      </w:r>
      <w:r w:rsidR="005A305A">
        <w:instrText>data</w:instrText>
      </w:r>
      <w:r w:rsidR="005A305A" w:rsidRPr="005A305A">
        <w:rPr>
          <w:lang w:val="ru-RU"/>
        </w:rPr>
        <w:instrText>.</w:instrText>
      </w:r>
      <w:r w:rsidR="005A305A">
        <w:instrText>europa</w:instrText>
      </w:r>
      <w:r w:rsidR="005A305A" w:rsidRPr="005A305A">
        <w:rPr>
          <w:lang w:val="ru-RU"/>
        </w:rPr>
        <w:instrText>.</w:instrText>
      </w:r>
      <w:r w:rsidR="005A305A">
        <w:instrText>eu</w:instrText>
      </w:r>
      <w:r w:rsidR="005A305A" w:rsidRPr="005A305A">
        <w:rPr>
          <w:lang w:val="ru-RU"/>
        </w:rPr>
        <w:instrText>/</w:instrText>
      </w:r>
      <w:r w:rsidR="005A305A">
        <w:instrText>eli</w:instrText>
      </w:r>
      <w:r w:rsidR="005A305A" w:rsidRPr="005A305A">
        <w:rPr>
          <w:lang w:val="ru-RU"/>
        </w:rPr>
        <w:instrText>/</w:instrText>
      </w:r>
      <w:r w:rsidR="005A305A">
        <w:instrText>dir</w:instrText>
      </w:r>
      <w:r w:rsidR="005A305A" w:rsidRPr="005A305A">
        <w:rPr>
          <w:lang w:val="ru-RU"/>
        </w:rPr>
        <w:instrText>/2024/1785/</w:instrText>
      </w:r>
      <w:r w:rsidR="005A305A">
        <w:instrText>oj</w:instrText>
      </w:r>
      <w:r w:rsidR="005A305A" w:rsidRPr="005A305A">
        <w:rPr>
          <w:lang w:val="ru-RU"/>
        </w:rPr>
        <w:instrText>"</w:instrText>
      </w:r>
      <w:r w:rsidR="005A305A">
        <w:fldChar w:fldCharType="separate"/>
      </w:r>
      <w:r w:rsidRPr="00192C32">
        <w:rPr>
          <w:rStyle w:val="Hyperlink"/>
          <w:sz w:val="24"/>
          <w:lang w:val="bg-BG"/>
        </w:rPr>
        <w:t>http://data.europa.eu/eli/dir/2024/1785/oj</w:t>
      </w:r>
      <w:r w:rsidR="005A305A">
        <w:rPr>
          <w:rStyle w:val="Hyperlink"/>
          <w:sz w:val="24"/>
          <w:lang w:val="bg-BG"/>
        </w:rPr>
        <w:fldChar w:fldCharType="end"/>
      </w:r>
      <w:r w:rsidRPr="00192C32">
        <w:rPr>
          <w:sz w:val="24"/>
          <w:lang w:val="bg-BG"/>
        </w:rPr>
        <w:t xml:space="preserve">). </w:t>
      </w:r>
    </w:p>
  </w:footnote>
  <w:footnote w:id="3">
    <w:p w14:paraId="41DFE696" w14:textId="36FA9359" w:rsidR="00693CAE" w:rsidRPr="00192C32" w:rsidRDefault="00693CAE" w:rsidP="00192C32">
      <w:pPr>
        <w:pStyle w:val="FootnoteText"/>
        <w:ind w:left="567" w:hanging="567"/>
        <w:rPr>
          <w:sz w:val="24"/>
          <w:lang w:val="bg-BG"/>
        </w:rPr>
      </w:pPr>
      <w:r w:rsidRPr="00192C32">
        <w:rPr>
          <w:rStyle w:val="FootnoteReference"/>
          <w:sz w:val="24"/>
          <w:lang w:val="bg-BG"/>
        </w:rPr>
        <w:footnoteRef/>
      </w:r>
      <w:r w:rsidR="00192C32" w:rsidRPr="00192C32">
        <w:rPr>
          <w:sz w:val="24"/>
          <w:lang w:val="bg-BG"/>
        </w:rPr>
        <w:t xml:space="preserve"> </w:t>
      </w:r>
      <w:r w:rsidR="00192C32" w:rsidRPr="00192C32">
        <w:rPr>
          <w:sz w:val="24"/>
          <w:lang w:val="bg-BG"/>
        </w:rPr>
        <w:tab/>
      </w:r>
      <w:r w:rsidRPr="00192C32">
        <w:rPr>
          <w:sz w:val="24"/>
          <w:lang w:val="bg-BG"/>
        </w:rPr>
        <w:t>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(Общ регламент относно защитата на данните) (ОВ L 119, 4.5.2016 г</w:t>
      </w:r>
      <w:r w:rsidR="001F5190">
        <w:rPr>
          <w:sz w:val="24"/>
          <w:lang w:val="bg-BG"/>
        </w:rPr>
        <w:t>.</w:t>
      </w:r>
      <w:r w:rsidRPr="00192C32">
        <w:rPr>
          <w:sz w:val="24"/>
          <w:lang w:val="bg-BG"/>
        </w:rPr>
        <w:t xml:space="preserve">, стр. 1, ELI: </w:t>
      </w:r>
      <w:r w:rsidR="005A305A">
        <w:fldChar w:fldCharType="begin"/>
      </w:r>
      <w:r w:rsidR="005A305A">
        <w:instrText>HYPERLINK</w:instrText>
      </w:r>
      <w:r w:rsidR="005A305A" w:rsidRPr="005A305A">
        <w:rPr>
          <w:lang w:val="ru-RU"/>
        </w:rPr>
        <w:instrText xml:space="preserve"> "</w:instrText>
      </w:r>
      <w:r w:rsidR="005A305A">
        <w:instrText>http</w:instrText>
      </w:r>
      <w:r w:rsidR="005A305A" w:rsidRPr="005A305A">
        <w:rPr>
          <w:lang w:val="ru-RU"/>
        </w:rPr>
        <w:instrText>://</w:instrText>
      </w:r>
      <w:r w:rsidR="005A305A">
        <w:instrText>data</w:instrText>
      </w:r>
      <w:r w:rsidR="005A305A" w:rsidRPr="005A305A">
        <w:rPr>
          <w:lang w:val="ru-RU"/>
        </w:rPr>
        <w:instrText>.</w:instrText>
      </w:r>
      <w:r w:rsidR="005A305A">
        <w:instrText>europa</w:instrText>
      </w:r>
      <w:r w:rsidR="005A305A" w:rsidRPr="005A305A">
        <w:rPr>
          <w:lang w:val="ru-RU"/>
        </w:rPr>
        <w:instrText>.</w:instrText>
      </w:r>
      <w:r w:rsidR="005A305A">
        <w:instrText>eu</w:instrText>
      </w:r>
      <w:r w:rsidR="005A305A" w:rsidRPr="005A305A">
        <w:rPr>
          <w:lang w:val="ru-RU"/>
        </w:rPr>
        <w:instrText>/</w:instrText>
      </w:r>
      <w:r w:rsidR="005A305A">
        <w:instrText>eli</w:instrText>
      </w:r>
      <w:r w:rsidR="005A305A" w:rsidRPr="005A305A">
        <w:rPr>
          <w:lang w:val="ru-RU"/>
        </w:rPr>
        <w:instrText>/</w:instrText>
      </w:r>
      <w:r w:rsidR="005A305A">
        <w:instrText>reg</w:instrText>
      </w:r>
      <w:r w:rsidR="005A305A" w:rsidRPr="005A305A">
        <w:rPr>
          <w:lang w:val="ru-RU"/>
        </w:rPr>
        <w:instrText>/2016/679/</w:instrText>
      </w:r>
      <w:r w:rsidR="005A305A">
        <w:instrText>oj</w:instrText>
      </w:r>
      <w:r w:rsidR="005A305A" w:rsidRPr="005A305A">
        <w:rPr>
          <w:lang w:val="ru-RU"/>
        </w:rPr>
        <w:instrText>"</w:instrText>
      </w:r>
      <w:r w:rsidR="005A305A">
        <w:fldChar w:fldCharType="separate"/>
      </w:r>
      <w:r w:rsidRPr="00192C32">
        <w:rPr>
          <w:rStyle w:val="Hyperlink"/>
          <w:sz w:val="24"/>
          <w:lang w:val="bg-BG"/>
        </w:rPr>
        <w:t>http://data.europa.eu/eli/reg/2016/679/oj</w:t>
      </w:r>
      <w:r w:rsidR="005A305A">
        <w:rPr>
          <w:rStyle w:val="Hyperlink"/>
          <w:sz w:val="24"/>
          <w:lang w:val="bg-BG"/>
        </w:rPr>
        <w:fldChar w:fldCharType="end"/>
      </w:r>
      <w:r w:rsidRPr="00192C32">
        <w:rPr>
          <w:sz w:val="24"/>
          <w:lang w:val="bg-BG"/>
        </w:rPr>
        <w:t>).</w:t>
      </w:r>
    </w:p>
  </w:footnote>
  <w:footnote w:id="4">
    <w:p w14:paraId="459DE45B" w14:textId="002B5EE1" w:rsidR="00693CAE" w:rsidRPr="00192C32" w:rsidRDefault="00693CAE" w:rsidP="00192C32">
      <w:pPr>
        <w:pStyle w:val="FootnoteText"/>
        <w:ind w:left="567" w:hanging="567"/>
        <w:rPr>
          <w:sz w:val="24"/>
          <w:lang w:val="bg-BG"/>
        </w:rPr>
      </w:pPr>
      <w:r w:rsidRPr="00192C32">
        <w:rPr>
          <w:rStyle w:val="FootnoteReference"/>
          <w:sz w:val="24"/>
          <w:lang w:val="bg-BG"/>
        </w:rPr>
        <w:footnoteRef/>
      </w:r>
      <w:r w:rsidR="00192C32" w:rsidRPr="00192C32">
        <w:rPr>
          <w:sz w:val="24"/>
          <w:lang w:val="bg-BG"/>
        </w:rPr>
        <w:t xml:space="preserve"> </w:t>
      </w:r>
      <w:r w:rsidR="00192C32" w:rsidRPr="00192C32">
        <w:rPr>
          <w:sz w:val="24"/>
          <w:lang w:val="bg-BG"/>
        </w:rPr>
        <w:tab/>
      </w:r>
      <w:r w:rsidRPr="00192C32">
        <w:rPr>
          <w:sz w:val="24"/>
          <w:lang w:val="bg-BG"/>
        </w:rPr>
        <w:t>Директива (ЕС) 2024/2841 на Европейския парламент и на Съвета от 23 октомври 2024 г. за установяване на европейската карта за хора с увреждания и на европейската карта за паркиране за хора с увреждания (ОВ L, 2024/2841, 14.11.2024 г., ELI: </w:t>
      </w:r>
      <w:r w:rsidR="005A305A">
        <w:fldChar w:fldCharType="begin"/>
      </w:r>
      <w:r w:rsidR="005A305A">
        <w:instrText>HYPERLINK</w:instrText>
      </w:r>
      <w:r w:rsidR="005A305A" w:rsidRPr="005A305A">
        <w:rPr>
          <w:lang w:val="ru-RU"/>
        </w:rPr>
        <w:instrText xml:space="preserve"> "</w:instrText>
      </w:r>
      <w:r w:rsidR="005A305A">
        <w:instrText>http</w:instrText>
      </w:r>
      <w:r w:rsidR="005A305A" w:rsidRPr="005A305A">
        <w:rPr>
          <w:lang w:val="ru-RU"/>
        </w:rPr>
        <w:instrText>://</w:instrText>
      </w:r>
      <w:r w:rsidR="005A305A">
        <w:instrText>data</w:instrText>
      </w:r>
      <w:r w:rsidR="005A305A" w:rsidRPr="005A305A">
        <w:rPr>
          <w:lang w:val="ru-RU"/>
        </w:rPr>
        <w:instrText>.</w:instrText>
      </w:r>
      <w:r w:rsidR="005A305A">
        <w:instrText>europa</w:instrText>
      </w:r>
      <w:r w:rsidR="005A305A" w:rsidRPr="005A305A">
        <w:rPr>
          <w:lang w:val="ru-RU"/>
        </w:rPr>
        <w:instrText>.</w:instrText>
      </w:r>
      <w:r w:rsidR="005A305A">
        <w:instrText>eu</w:instrText>
      </w:r>
      <w:r w:rsidR="005A305A" w:rsidRPr="005A305A">
        <w:rPr>
          <w:lang w:val="ru-RU"/>
        </w:rPr>
        <w:instrText>/</w:instrText>
      </w:r>
      <w:r w:rsidR="005A305A">
        <w:instrText>eli</w:instrText>
      </w:r>
      <w:r w:rsidR="005A305A" w:rsidRPr="005A305A">
        <w:rPr>
          <w:lang w:val="ru-RU"/>
        </w:rPr>
        <w:instrText>/</w:instrText>
      </w:r>
      <w:r w:rsidR="005A305A">
        <w:instrText>dir</w:instrText>
      </w:r>
      <w:r w:rsidR="005A305A" w:rsidRPr="005A305A">
        <w:rPr>
          <w:lang w:val="ru-RU"/>
        </w:rPr>
        <w:instrText>/2024/2841/</w:instrText>
      </w:r>
      <w:r w:rsidR="005A305A">
        <w:instrText>oj</w:instrText>
      </w:r>
      <w:r w:rsidR="005A305A" w:rsidRPr="005A305A">
        <w:rPr>
          <w:lang w:val="ru-RU"/>
        </w:rPr>
        <w:instrText>" \</w:instrText>
      </w:r>
      <w:r w:rsidR="005A305A">
        <w:instrText>t</w:instrText>
      </w:r>
      <w:r w:rsidR="005A305A" w:rsidRPr="005A305A">
        <w:rPr>
          <w:lang w:val="ru-RU"/>
        </w:rPr>
        <w:instrText xml:space="preserve"> "_</w:instrText>
      </w:r>
      <w:r w:rsidR="005A305A">
        <w:instrText>blank</w:instrText>
      </w:r>
      <w:r w:rsidR="005A305A" w:rsidRPr="005A305A">
        <w:rPr>
          <w:lang w:val="ru-RU"/>
        </w:rPr>
        <w:instrText>" \</w:instrText>
      </w:r>
      <w:r w:rsidR="005A305A">
        <w:instrText>o</w:instrText>
      </w:r>
      <w:r w:rsidR="005A305A" w:rsidRPr="005A305A">
        <w:rPr>
          <w:lang w:val="ru-RU"/>
        </w:rPr>
        <w:instrText xml:space="preserve"> "Предоставя достъп до този документ чрез неговия </w:instrText>
      </w:r>
      <w:r w:rsidR="005A305A">
        <w:instrText>ELI URI</w:instrText>
      </w:r>
      <w:r w:rsidR="005A305A" w:rsidRPr="005A305A">
        <w:rPr>
          <w:lang w:val="ru-RU"/>
        </w:rPr>
        <w:instrText>."</w:instrText>
      </w:r>
      <w:r w:rsidR="005A305A">
        <w:fldChar w:fldCharType="separate"/>
      </w:r>
      <w:r w:rsidRPr="00192C32">
        <w:rPr>
          <w:rStyle w:val="Hyperlink"/>
          <w:sz w:val="24"/>
          <w:lang w:val="bg-BG"/>
        </w:rPr>
        <w:t>http://data.europa.eu/eli/dir/2024/2841/oj</w:t>
      </w:r>
      <w:r w:rsidR="005A305A">
        <w:rPr>
          <w:rStyle w:val="Hyperlink"/>
          <w:sz w:val="24"/>
          <w:lang w:val="bg-BG"/>
        </w:rPr>
        <w:fldChar w:fldCharType="end"/>
      </w:r>
      <w:r w:rsidRPr="00192C32">
        <w:rPr>
          <w:sz w:val="24"/>
          <w:lang w:val="bg-BG"/>
        </w:rPr>
        <w:t>).</w:t>
      </w:r>
    </w:p>
  </w:footnote>
  <w:footnote w:id="5">
    <w:p w14:paraId="554E450F" w14:textId="26D3C1D4" w:rsidR="00693CAE" w:rsidRPr="00192C32" w:rsidRDefault="00693CAE" w:rsidP="00192C32">
      <w:pPr>
        <w:pStyle w:val="FootnoteText"/>
        <w:ind w:left="567" w:hanging="567"/>
        <w:rPr>
          <w:sz w:val="24"/>
          <w:lang w:val="bg-BG"/>
        </w:rPr>
      </w:pPr>
      <w:r w:rsidRPr="00192C32">
        <w:rPr>
          <w:rStyle w:val="FootnoteReference"/>
          <w:sz w:val="24"/>
          <w:lang w:val="bg-BG"/>
        </w:rPr>
        <w:footnoteRef/>
      </w:r>
      <w:r w:rsidR="00192C32" w:rsidRPr="00192C32">
        <w:rPr>
          <w:sz w:val="24"/>
          <w:lang w:val="bg-BG"/>
        </w:rPr>
        <w:t xml:space="preserve"> </w:t>
      </w:r>
      <w:r w:rsidR="00192C32" w:rsidRPr="00192C32">
        <w:rPr>
          <w:sz w:val="24"/>
          <w:lang w:val="bg-BG"/>
        </w:rPr>
        <w:tab/>
      </w:r>
      <w:r w:rsidRPr="00192C32">
        <w:rPr>
          <w:sz w:val="24"/>
          <w:lang w:val="bg-BG"/>
        </w:rPr>
        <w:t xml:space="preserve">ОВ C, C/2025/1278, 13.3.2025 г., ELI: </w:t>
      </w:r>
      <w:r w:rsidR="005A305A">
        <w:fldChar w:fldCharType="begin"/>
      </w:r>
      <w:r w:rsidR="005A305A" w:rsidRPr="005A305A">
        <w:rPr>
          <w:lang w:val="fi-FI"/>
        </w:rPr>
        <w:instrText>HYPERLINK "http://data.europa.eu/eli/C/2025/1278/oj"</w:instrText>
      </w:r>
      <w:r w:rsidR="005A305A">
        <w:fldChar w:fldCharType="separate"/>
      </w:r>
      <w:r w:rsidRPr="00192C32">
        <w:rPr>
          <w:rStyle w:val="Hyperlink"/>
          <w:sz w:val="24"/>
          <w:lang w:val="bg-BG"/>
        </w:rPr>
        <w:t>http://data.europa.eu/eli/C/2025/1278/oj</w:t>
      </w:r>
      <w:r w:rsidR="005A305A">
        <w:rPr>
          <w:rStyle w:val="Hyperlink"/>
          <w:sz w:val="24"/>
          <w:lang w:val="bg-BG"/>
        </w:rPr>
        <w:fldChar w:fldCharType="end"/>
      </w:r>
      <w:r w:rsidRPr="00192C32">
        <w:rPr>
          <w:sz w:val="24"/>
          <w:lang w:val="bg-B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7B968C" w14:textId="77777777" w:rsidR="00064002" w:rsidRPr="00192C3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36B6E" w14:textId="77777777" w:rsidR="00064002" w:rsidRPr="00192C3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E1D81" w14:textId="77777777" w:rsidR="00064002" w:rsidRPr="00192C3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51442176">
    <w:abstractNumId w:val="9"/>
  </w:num>
  <w:num w:numId="2" w16cid:durableId="503251848">
    <w:abstractNumId w:val="9"/>
  </w:num>
  <w:num w:numId="3" w16cid:durableId="207302690">
    <w:abstractNumId w:val="7"/>
  </w:num>
  <w:num w:numId="4" w16cid:durableId="1298336504">
    <w:abstractNumId w:val="7"/>
  </w:num>
  <w:num w:numId="5" w16cid:durableId="178080417">
    <w:abstractNumId w:val="6"/>
  </w:num>
  <w:num w:numId="6" w16cid:durableId="1109395334">
    <w:abstractNumId w:val="6"/>
  </w:num>
  <w:num w:numId="7" w16cid:durableId="1893879919">
    <w:abstractNumId w:val="5"/>
  </w:num>
  <w:num w:numId="8" w16cid:durableId="2048917913">
    <w:abstractNumId w:val="5"/>
  </w:num>
  <w:num w:numId="9" w16cid:durableId="720132119">
    <w:abstractNumId w:val="4"/>
  </w:num>
  <w:num w:numId="10" w16cid:durableId="459765309">
    <w:abstractNumId w:val="4"/>
  </w:num>
  <w:num w:numId="11" w16cid:durableId="196239721">
    <w:abstractNumId w:val="8"/>
  </w:num>
  <w:num w:numId="12" w16cid:durableId="1198809656">
    <w:abstractNumId w:val="8"/>
  </w:num>
  <w:num w:numId="13" w16cid:durableId="2140025707">
    <w:abstractNumId w:val="3"/>
  </w:num>
  <w:num w:numId="14" w16cid:durableId="1101877721">
    <w:abstractNumId w:val="3"/>
  </w:num>
  <w:num w:numId="15" w16cid:durableId="964964182">
    <w:abstractNumId w:val="2"/>
  </w:num>
  <w:num w:numId="16" w16cid:durableId="498233801">
    <w:abstractNumId w:val="2"/>
  </w:num>
  <w:num w:numId="17" w16cid:durableId="1295601028">
    <w:abstractNumId w:val="1"/>
  </w:num>
  <w:num w:numId="18" w16cid:durableId="727459445">
    <w:abstractNumId w:val="1"/>
  </w:num>
  <w:num w:numId="19" w16cid:durableId="329021196">
    <w:abstractNumId w:val="0"/>
  </w:num>
  <w:num w:numId="20" w16cid:durableId="1892888764">
    <w:abstractNumId w:val="0"/>
  </w:num>
  <w:num w:numId="21" w16cid:durableId="371198662">
    <w:abstractNumId w:val="9"/>
  </w:num>
  <w:num w:numId="22" w16cid:durableId="1939174455">
    <w:abstractNumId w:val="7"/>
  </w:num>
  <w:num w:numId="23" w16cid:durableId="478882223">
    <w:abstractNumId w:val="6"/>
  </w:num>
  <w:num w:numId="24" w16cid:durableId="1186168161">
    <w:abstractNumId w:val="5"/>
  </w:num>
  <w:num w:numId="25" w16cid:durableId="433935915">
    <w:abstractNumId w:val="4"/>
  </w:num>
  <w:num w:numId="26" w16cid:durableId="809514183">
    <w:abstractNumId w:val="8"/>
  </w:num>
  <w:num w:numId="27" w16cid:durableId="1881474227">
    <w:abstractNumId w:val="3"/>
  </w:num>
  <w:num w:numId="28" w16cid:durableId="1169059924">
    <w:abstractNumId w:val="2"/>
  </w:num>
  <w:num w:numId="29" w16cid:durableId="336928060">
    <w:abstractNumId w:val="1"/>
  </w:num>
  <w:num w:numId="30" w16cid:durableId="1089304279">
    <w:abstractNumId w:val="0"/>
  </w:num>
  <w:num w:numId="31" w16cid:durableId="2112972814">
    <w:abstractNumId w:val="9"/>
  </w:num>
  <w:num w:numId="32" w16cid:durableId="1399860294">
    <w:abstractNumId w:val="7"/>
  </w:num>
  <w:num w:numId="33" w16cid:durableId="553271247">
    <w:abstractNumId w:val="6"/>
  </w:num>
  <w:num w:numId="34" w16cid:durableId="281771127">
    <w:abstractNumId w:val="5"/>
  </w:num>
  <w:num w:numId="35" w16cid:durableId="15930274">
    <w:abstractNumId w:val="4"/>
  </w:num>
  <w:num w:numId="36" w16cid:durableId="1536502327">
    <w:abstractNumId w:val="8"/>
  </w:num>
  <w:num w:numId="37" w16cid:durableId="1237742052">
    <w:abstractNumId w:val="3"/>
  </w:num>
  <w:num w:numId="38" w16cid:durableId="781412506">
    <w:abstractNumId w:val="2"/>
  </w:num>
  <w:num w:numId="39" w16cid:durableId="55206343">
    <w:abstractNumId w:val="1"/>
  </w:num>
  <w:num w:numId="40" w16cid:durableId="672026165">
    <w:abstractNumId w:val="0"/>
  </w:num>
  <w:num w:numId="41" w16cid:durableId="349917760">
    <w:abstractNumId w:val="10"/>
  </w:num>
  <w:num w:numId="42" w16cid:durableId="954140600">
    <w:abstractNumId w:val="10"/>
  </w:num>
  <w:num w:numId="43" w16cid:durableId="1579947023">
    <w:abstractNumId w:val="10"/>
  </w:num>
  <w:num w:numId="44" w16cid:durableId="16906429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70/2025"/>
    <w:docVar w:name="dvlangue" w:val="BG"/>
    <w:docVar w:name="dvnumam" w:val="0"/>
    <w:docVar w:name="dvpe" w:val="773.363"/>
    <w:docVar w:name="dvrapporteur" w:val="Докладчик: "/>
    <w:docVar w:name="dvtitre" w:val="Резолюция на Европейския парламент от ... 2025 г. относно резултата от разискванията на комисията по петиции през 2024 г.(2025/2114(INI))"/>
  </w:docVars>
  <w:rsids>
    <w:rsidRoot w:val="00A44A07"/>
    <w:rsid w:val="00002272"/>
    <w:rsid w:val="00064002"/>
    <w:rsid w:val="000677B9"/>
    <w:rsid w:val="000831BA"/>
    <w:rsid w:val="000A42CC"/>
    <w:rsid w:val="000E7DD9"/>
    <w:rsid w:val="0010095E"/>
    <w:rsid w:val="00125B37"/>
    <w:rsid w:val="00187494"/>
    <w:rsid w:val="00192C32"/>
    <w:rsid w:val="001F32AE"/>
    <w:rsid w:val="001F5190"/>
    <w:rsid w:val="002064D3"/>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305A"/>
    <w:rsid w:val="005C2568"/>
    <w:rsid w:val="005F1B17"/>
    <w:rsid w:val="006037C0"/>
    <w:rsid w:val="006631B6"/>
    <w:rsid w:val="00680577"/>
    <w:rsid w:val="00693CAE"/>
    <w:rsid w:val="006F74FA"/>
    <w:rsid w:val="00731ADD"/>
    <w:rsid w:val="00734777"/>
    <w:rsid w:val="00747932"/>
    <w:rsid w:val="00751A4A"/>
    <w:rsid w:val="00756632"/>
    <w:rsid w:val="00762C74"/>
    <w:rsid w:val="00785701"/>
    <w:rsid w:val="00786EC0"/>
    <w:rsid w:val="007D1690"/>
    <w:rsid w:val="007E22AD"/>
    <w:rsid w:val="00817416"/>
    <w:rsid w:val="00824440"/>
    <w:rsid w:val="00842779"/>
    <w:rsid w:val="00865F67"/>
    <w:rsid w:val="00881A7B"/>
    <w:rsid w:val="008840E5"/>
    <w:rsid w:val="00887B3E"/>
    <w:rsid w:val="008C2AC6"/>
    <w:rsid w:val="00930C23"/>
    <w:rsid w:val="0093193B"/>
    <w:rsid w:val="009509D8"/>
    <w:rsid w:val="00950B64"/>
    <w:rsid w:val="00981893"/>
    <w:rsid w:val="00A1687D"/>
    <w:rsid w:val="00A43E52"/>
    <w:rsid w:val="00A44A07"/>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C6892"/>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E2873C"/>
  <w15:chartTrackingRefBased/>
  <w15:docId w15:val="{E1321146-BB7F-4A98-8144-4266B1CAE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93CAE"/>
    <w:pPr>
      <w:spacing w:after="240"/>
      <w:ind w:left="567" w:hanging="567"/>
    </w:pPr>
  </w:style>
  <w:style w:type="paragraph" w:customStyle="1" w:styleId="EPComma">
    <w:name w:val="EPComma"/>
    <w:basedOn w:val="Normal"/>
    <w:uiPriority w:val="99"/>
    <w:rsid w:val="00693CAE"/>
    <w:pPr>
      <w:spacing w:before="480" w:after="240"/>
    </w:pPr>
  </w:style>
  <w:style w:type="character" w:styleId="Hyperlink">
    <w:name w:val="Hyperlink"/>
    <w:basedOn w:val="DefaultParagraphFont"/>
    <w:rsid w:val="00693CAE"/>
    <w:rPr>
      <w:color w:val="0563C1" w:themeColor="hyperlink"/>
      <w:u w:val="single"/>
    </w:rPr>
  </w:style>
  <w:style w:type="character" w:customStyle="1" w:styleId="NormalHanging12aChar">
    <w:name w:val="NormalHanging12a Char"/>
    <w:basedOn w:val="DefaultParagraphFont"/>
    <w:link w:val="NormalHanging12a"/>
    <w:rsid w:val="00693CAE"/>
    <w:rPr>
      <w:sz w:val="24"/>
      <w:lang w:val="bg-BG"/>
    </w:rPr>
  </w:style>
  <w:style w:type="paragraph" w:styleId="Revision">
    <w:name w:val="Revision"/>
    <w:hidden/>
    <w:uiPriority w:val="99"/>
    <w:semiHidden/>
    <w:rsid w:val="001F5190"/>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10/112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11</Pages>
  <Words>4664</Words>
  <Characters>26705</Characters>
  <Application>Microsoft Office Word</Application>
  <DocSecurity>0</DocSecurity>
  <Lines>785</Lines>
  <Paragraphs>326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DIMITROV Cvetan</cp:lastModifiedBy>
  <cp:revision>2</cp:revision>
  <cp:lastPrinted>2004-11-19T15:42:00Z</cp:lastPrinted>
  <dcterms:created xsi:type="dcterms:W3CDTF">2025-11-04T14:10:00Z</dcterms:created>
  <dcterms:modified xsi:type="dcterms:W3CDTF">2025-11-04T14:10:00Z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A10-0170/2025</vt:lpwstr>
  </property>
  <property fmtid="{D5CDD505-2E9C-101B-9397-08002B2CF9AE}" pid="4" name="&lt;Type&gt;">
    <vt:lpwstr>RR</vt:lpwstr>
  </property>
</Properties>
</file>