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747CC" w14:paraId="098317AE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0FC2462" w14:textId="77777777" w:rsidR="00751A4A" w:rsidRPr="003747CC" w:rsidRDefault="0064245C" w:rsidP="0010095E">
            <w:pPr>
              <w:pStyle w:val="EPName"/>
            </w:pPr>
            <w:r w:rsidRPr="003747CC">
              <w:t>Evropský parlament</w:t>
            </w:r>
          </w:p>
          <w:p w14:paraId="340C84B7" w14:textId="77777777" w:rsidR="00751A4A" w:rsidRPr="003747CC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747CC">
              <w:t>2024</w:t>
            </w:r>
            <w:r w:rsidR="00817416" w:rsidRPr="003747CC">
              <w:t>-202</w:t>
            </w:r>
            <w:r w:rsidRPr="003747CC">
              <w:t>9</w:t>
            </w:r>
          </w:p>
        </w:tc>
        <w:tc>
          <w:tcPr>
            <w:tcW w:w="2268" w:type="dxa"/>
            <w:shd w:val="clear" w:color="auto" w:fill="auto"/>
          </w:tcPr>
          <w:p w14:paraId="5F4C3466" w14:textId="77777777" w:rsidR="00751A4A" w:rsidRPr="003747CC" w:rsidRDefault="00187494" w:rsidP="0010095E">
            <w:pPr>
              <w:pStyle w:val="EPLogo"/>
            </w:pPr>
            <w:r w:rsidRPr="003747CC">
              <w:rPr>
                <w:noProof/>
                <w:lang w:eastAsia="ja-JP"/>
              </w:rPr>
              <w:drawing>
                <wp:inline distT="0" distB="0" distL="0" distR="0" wp14:anchorId="2B124EB5" wp14:editId="78624D7E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53033E6" w14:textId="77777777" w:rsidR="00D058B8" w:rsidRPr="003747CC" w:rsidRDefault="00D058B8" w:rsidP="004C5D52">
      <w:pPr>
        <w:pStyle w:val="LineTop"/>
      </w:pPr>
    </w:p>
    <w:p w14:paraId="2543AF2F" w14:textId="77777777" w:rsidR="00680577" w:rsidRPr="003747CC" w:rsidRDefault="0064245C" w:rsidP="00680577">
      <w:pPr>
        <w:pStyle w:val="EPBodyTA1"/>
      </w:pPr>
      <w:r w:rsidRPr="003747CC">
        <w:t>PŘIJATÉ TEXTY</w:t>
      </w:r>
    </w:p>
    <w:p w14:paraId="30A4737E" w14:textId="77777777" w:rsidR="00D058B8" w:rsidRPr="003747CC" w:rsidRDefault="00D058B8" w:rsidP="00D058B8">
      <w:pPr>
        <w:pStyle w:val="LineBottom"/>
      </w:pPr>
    </w:p>
    <w:p w14:paraId="2FEF8550" w14:textId="59064E5E" w:rsidR="0064245C" w:rsidRPr="003747CC" w:rsidRDefault="0064245C" w:rsidP="0064245C">
      <w:pPr>
        <w:pStyle w:val="ATHeading1"/>
      </w:pPr>
      <w:bookmarkStart w:id="0" w:name="TANumber"/>
      <w:r w:rsidRPr="003747CC">
        <w:t>P10_TA(2025)0</w:t>
      </w:r>
      <w:bookmarkEnd w:id="0"/>
      <w:r w:rsidR="00C2471F">
        <w:t>228</w:t>
      </w:r>
    </w:p>
    <w:p w14:paraId="12DA0E0E" w14:textId="77777777" w:rsidR="0064245C" w:rsidRPr="003747CC" w:rsidRDefault="0064245C" w:rsidP="0064245C">
      <w:pPr>
        <w:pStyle w:val="ATHeading2"/>
      </w:pPr>
      <w:bookmarkStart w:id="1" w:name="title"/>
      <w:r w:rsidRPr="003747CC">
        <w:t>Výsledky jednání Petičního výboru v průběhu roku 2024</w:t>
      </w:r>
      <w:bookmarkEnd w:id="1"/>
    </w:p>
    <w:p w14:paraId="5259E735" w14:textId="77777777" w:rsidR="0064245C" w:rsidRPr="003747CC" w:rsidRDefault="0064245C" w:rsidP="0064245C">
      <w:pPr>
        <w:rPr>
          <w:i/>
          <w:vanish/>
        </w:rPr>
      </w:pPr>
      <w:r w:rsidRPr="003747CC">
        <w:rPr>
          <w:i/>
        </w:rPr>
        <w:fldChar w:fldCharType="begin"/>
      </w:r>
      <w:r w:rsidRPr="003747CC">
        <w:rPr>
          <w:i/>
        </w:rPr>
        <w:instrText xml:space="preserve"> TC"(</w:instrText>
      </w:r>
      <w:bookmarkStart w:id="2" w:name="DocNumber"/>
      <w:r w:rsidRPr="003747CC">
        <w:rPr>
          <w:i/>
        </w:rPr>
        <w:instrText>A10-0170/2025</w:instrText>
      </w:r>
      <w:bookmarkEnd w:id="2"/>
      <w:r w:rsidRPr="003747CC">
        <w:rPr>
          <w:i/>
        </w:rPr>
        <w:instrText xml:space="preserve"> - Zpravodaj: Fredis Beleris)"\l3 \n&gt; \* MERGEFORMAT </w:instrText>
      </w:r>
      <w:r w:rsidRPr="003747CC">
        <w:rPr>
          <w:i/>
        </w:rPr>
        <w:fldChar w:fldCharType="end"/>
      </w:r>
    </w:p>
    <w:p w14:paraId="5E07B7F7" w14:textId="77777777" w:rsidR="0064245C" w:rsidRPr="003747CC" w:rsidRDefault="0064245C" w:rsidP="0064245C">
      <w:pPr>
        <w:rPr>
          <w:vanish/>
        </w:rPr>
      </w:pPr>
      <w:bookmarkStart w:id="3" w:name="Commission"/>
      <w:r w:rsidRPr="003747CC">
        <w:rPr>
          <w:vanish/>
        </w:rPr>
        <w:t>Petiční výbor</w:t>
      </w:r>
      <w:bookmarkEnd w:id="3"/>
    </w:p>
    <w:p w14:paraId="69296528" w14:textId="77777777" w:rsidR="0064245C" w:rsidRPr="003747CC" w:rsidRDefault="0064245C" w:rsidP="0064245C">
      <w:pPr>
        <w:rPr>
          <w:vanish/>
        </w:rPr>
      </w:pPr>
      <w:bookmarkStart w:id="4" w:name="PE"/>
      <w:r w:rsidRPr="003747CC">
        <w:rPr>
          <w:vanish/>
        </w:rPr>
        <w:t>PE773.363</w:t>
      </w:r>
      <w:bookmarkEnd w:id="4"/>
    </w:p>
    <w:p w14:paraId="741A94FB" w14:textId="6D0FCADB" w:rsidR="0064245C" w:rsidRPr="003747CC" w:rsidRDefault="0064245C" w:rsidP="0064245C">
      <w:pPr>
        <w:pStyle w:val="ATHeading3"/>
      </w:pPr>
      <w:bookmarkStart w:id="5" w:name="Sujet"/>
      <w:r w:rsidRPr="003747CC">
        <w:t>Usnesení Evropského parlamentu ze dne</w:t>
      </w:r>
      <w:r w:rsidR="00687C24">
        <w:t xml:space="preserve"> 9. října</w:t>
      </w:r>
      <w:r w:rsidRPr="003747CC">
        <w:t xml:space="preserve"> 2025 o výsledcích jednání Petičního výboru v průběhu roku 2024</w:t>
      </w:r>
      <w:bookmarkEnd w:id="5"/>
      <w:r w:rsidRPr="003747CC">
        <w:t xml:space="preserve"> </w:t>
      </w:r>
      <w:bookmarkStart w:id="6" w:name="References"/>
      <w:r w:rsidRPr="003747CC">
        <w:t>(2025/2114(INI))</w:t>
      </w:r>
      <w:bookmarkEnd w:id="6"/>
    </w:p>
    <w:p w14:paraId="3E54E617" w14:textId="77777777" w:rsidR="00352CD0" w:rsidRPr="003747CC" w:rsidRDefault="00352CD0" w:rsidP="00352CD0">
      <w:pPr>
        <w:pStyle w:val="EPComma"/>
      </w:pPr>
      <w:r w:rsidRPr="003747CC">
        <w:rPr>
          <w:i/>
        </w:rPr>
        <w:t>Evropský parlament</w:t>
      </w:r>
      <w:r w:rsidRPr="003747CC">
        <w:t>,</w:t>
      </w:r>
    </w:p>
    <w:p w14:paraId="5A0BCECE" w14:textId="77777777" w:rsidR="00352CD0" w:rsidRPr="003747CC" w:rsidRDefault="00352CD0" w:rsidP="00352CD0">
      <w:pPr>
        <w:pStyle w:val="NormalHanging12a"/>
      </w:pPr>
      <w:r w:rsidRPr="003747CC">
        <w:t>–</w:t>
      </w:r>
      <w:r w:rsidRPr="003747CC">
        <w:tab/>
        <w:t>s ohledem na svá předchozí usnesení o jednáních Petičního výboru,</w:t>
      </w:r>
    </w:p>
    <w:p w14:paraId="1209957F" w14:textId="77777777" w:rsidR="00352CD0" w:rsidRPr="003747CC" w:rsidRDefault="00352CD0" w:rsidP="00352CD0">
      <w:pPr>
        <w:pStyle w:val="NormalHanging12a"/>
      </w:pPr>
      <w:r w:rsidRPr="003747CC">
        <w:t>–</w:t>
      </w:r>
      <w:r w:rsidRPr="003747CC">
        <w:tab/>
        <w:t>s ohledem na články 10 a 11 Smlouvy o Evropské unii,</w:t>
      </w:r>
    </w:p>
    <w:p w14:paraId="14B8E8C1" w14:textId="77777777" w:rsidR="00352CD0" w:rsidRPr="003747CC" w:rsidRDefault="00352CD0" w:rsidP="00352CD0">
      <w:pPr>
        <w:pStyle w:val="NormalHanging12a"/>
      </w:pPr>
      <w:r w:rsidRPr="003747CC">
        <w:t>–</w:t>
      </w:r>
      <w:r w:rsidRPr="003747CC">
        <w:tab/>
        <w:t>s ohledem na články 20, 24 a 227 Smlouvy o fungování Evropské unie (SFEU) o právu občanů a obyvatel EU podávat petice Evropskému parlamentu,</w:t>
      </w:r>
    </w:p>
    <w:p w14:paraId="14C5EFC2" w14:textId="77777777" w:rsidR="00352CD0" w:rsidRPr="003747CC" w:rsidRDefault="00352CD0" w:rsidP="00352CD0">
      <w:pPr>
        <w:pStyle w:val="NormalHanging12a"/>
      </w:pPr>
      <w:r w:rsidRPr="003747CC">
        <w:t>–</w:t>
      </w:r>
      <w:r w:rsidRPr="003747CC">
        <w:tab/>
        <w:t>s ohledem na článek 228 SFEU o úloze a funkcích evropského veřejného ochránce práv,</w:t>
      </w:r>
    </w:p>
    <w:p w14:paraId="088BAF6F" w14:textId="77777777" w:rsidR="00352CD0" w:rsidRPr="003747CC" w:rsidRDefault="00352CD0" w:rsidP="00352CD0">
      <w:pPr>
        <w:pStyle w:val="NormalHanging12a"/>
      </w:pPr>
      <w:r w:rsidRPr="003747CC">
        <w:t>–</w:t>
      </w:r>
      <w:r w:rsidRPr="003747CC">
        <w:tab/>
        <w:t>s ohledem na článek 44 Listiny základních práv Evropské unie o petičním právu k Evropskému parlamentu,</w:t>
      </w:r>
    </w:p>
    <w:p w14:paraId="71D5F383" w14:textId="77777777" w:rsidR="00352CD0" w:rsidRPr="003747CC" w:rsidRDefault="00352CD0" w:rsidP="00352CD0">
      <w:pPr>
        <w:pStyle w:val="NormalHanging12a"/>
      </w:pPr>
      <w:r w:rsidRPr="003747CC">
        <w:t>–</w:t>
      </w:r>
      <w:r w:rsidRPr="003747CC">
        <w:tab/>
        <w:t>s ohledem na ustanovení SFEU týkající se řízení o nesplnění povinnosti, zejména na články 258 a 260 této smlouvy,</w:t>
      </w:r>
    </w:p>
    <w:p w14:paraId="37EBDFA7" w14:textId="77777777" w:rsidR="00352CD0" w:rsidRPr="003747CC" w:rsidRDefault="00352CD0" w:rsidP="00352CD0">
      <w:pPr>
        <w:pStyle w:val="NormalHanging12a"/>
      </w:pPr>
      <w:r w:rsidRPr="003747CC">
        <w:t>–</w:t>
      </w:r>
      <w:r w:rsidRPr="003747CC">
        <w:tab/>
        <w:t>s ohledem na článek 55 a čl. 233 odst. 7 jednacího řádu,</w:t>
      </w:r>
    </w:p>
    <w:p w14:paraId="6EEFD545" w14:textId="77777777" w:rsidR="00352CD0" w:rsidRPr="003747CC" w:rsidRDefault="00352CD0" w:rsidP="00352CD0">
      <w:pPr>
        <w:pStyle w:val="NormalHanging12a"/>
      </w:pPr>
      <w:r w:rsidRPr="003747CC">
        <w:t>–</w:t>
      </w:r>
      <w:r w:rsidRPr="003747CC">
        <w:tab/>
        <w:t>s ohledem na zprávu Petičního výboru (A10-0170/2025),</w:t>
      </w:r>
    </w:p>
    <w:p w14:paraId="01D59C79" w14:textId="77777777" w:rsidR="00352CD0" w:rsidRPr="003747CC" w:rsidRDefault="00352CD0" w:rsidP="00352CD0">
      <w:pPr>
        <w:pStyle w:val="NormalHanging12a"/>
      </w:pPr>
      <w:r w:rsidRPr="003747CC">
        <w:t>A.</w:t>
      </w:r>
      <w:r w:rsidRPr="003747CC">
        <w:tab/>
        <w:t xml:space="preserve">vzhledem k tomu, že po volbách do Evropského parlamentu, které se konaly ve dnech 6. až 9. června 2024, a po ustavení nového Parlamentu dne 16. července 2024 Petiční výbor dne 23. července 2024 uspořádal svou ustavující schůzi; </w:t>
      </w:r>
    </w:p>
    <w:p w14:paraId="7AE090B7" w14:textId="77777777" w:rsidR="00352CD0" w:rsidRPr="003747CC" w:rsidRDefault="00352CD0" w:rsidP="00352CD0">
      <w:pPr>
        <w:pStyle w:val="NormalHanging12a"/>
      </w:pPr>
      <w:r w:rsidRPr="003747CC">
        <w:t>B.</w:t>
      </w:r>
      <w:r w:rsidRPr="003747CC">
        <w:tab/>
        <w:t>vzhledem k tomu, že účelem výroční zprávy o jednáních Petičního výboru je předložit analýzu petic obdržených v roce 2024 a vztahů s ostatními orgány a také podat věrný obraz cílů dosažených v roce 2024;</w:t>
      </w:r>
    </w:p>
    <w:p w14:paraId="141CB69E" w14:textId="77777777" w:rsidR="00352CD0" w:rsidRPr="003747CC" w:rsidRDefault="00352CD0" w:rsidP="00352CD0">
      <w:pPr>
        <w:pStyle w:val="NormalHanging12a"/>
      </w:pPr>
      <w:r w:rsidRPr="003747CC">
        <w:t>C.</w:t>
      </w:r>
      <w:r w:rsidRPr="003747CC">
        <w:tab/>
        <w:t>vzhledem k tomu, že Parlament obdržel v roce 2024 celkem 1 518 petic, což představuje nárůst o 4,3 % oproti 1 452 peticím předloženým v roce 2023 a o 19,8 % oproti 1 217 peticím obdrženým v roce 2022; vzhledem k tomu, že celkový počet obdržených petic je i nadále zřetelně nižší než v době vrcholů v roce 2013, kdy Parlament obdržel 2891 petic, a v roce 2014, kdy Parlament obdržel 2715 petic;</w:t>
      </w:r>
    </w:p>
    <w:p w14:paraId="2C9698CD" w14:textId="77777777" w:rsidR="00352CD0" w:rsidRPr="003747CC" w:rsidRDefault="00352CD0" w:rsidP="00352CD0">
      <w:pPr>
        <w:pStyle w:val="NormalHanging12a"/>
      </w:pPr>
      <w:r w:rsidRPr="003747CC">
        <w:t>D.</w:t>
      </w:r>
      <w:r w:rsidRPr="003747CC">
        <w:tab/>
        <w:t xml:space="preserve">vzhledem k tomu, že v roce 2024 podpořilo petice na internetovém portálu Parlamentu </w:t>
      </w:r>
      <w:r w:rsidRPr="003747CC">
        <w:lastRenderedPageBreak/>
        <w:t>pro předkládání petic 15 661 uživatelů, což je výrazný pokles oproti 26 331 v roce 2023 a 22 441 v roce 2022; vzhledem k tomu, že počet podpůrných kliknutí se v roce 2024 rovněž snížil na 17 745 ve srovnání s 29 287 v roce 2023 a 27 927 v roce 2022;</w:t>
      </w:r>
    </w:p>
    <w:p w14:paraId="2870BC4D" w14:textId="77777777" w:rsidR="00352CD0" w:rsidRPr="003747CC" w:rsidRDefault="00352CD0" w:rsidP="00352CD0">
      <w:pPr>
        <w:pStyle w:val="NormalHanging12a"/>
      </w:pPr>
      <w:r w:rsidRPr="003747CC">
        <w:t>E.</w:t>
      </w:r>
      <w:r w:rsidRPr="003747CC">
        <w:tab/>
        <w:t>vzhledem k tomu, že celkový počet petic zůstává v poměru k celkovému počtu obyvatel EU nízký, což ukazuje, že je neustále třeba zvyšovat úsilí o rozšíření povědomí občanů o jejich petičním právu a o možné prospěšnosti petic coby způsobu, jak upozornit orgány a členské státy na záležitosti, které se občanů přímo týkají a které je znepokojují; vzhledem k tomu, že Petiční výbor, který je mezi mladými lidmi velmi oblíbený na akcích, jako je Evropské setkání mládeže (EYE) ve Štrasburku, je účinným prostředkem k prosazování tohoto práva a ke zvyšování povědomí o jeho významu mezi občany, zejména mezi mladšími lidmi; vzhledem k tomu, že je proto nezbytné zajistit aktivní a systematickou přítomnost Petičního výboru na každém ročníku EYE, aby se zvýšila jeho viditelnost a dostupnost; vzhledem k tomu, že občané, kteří svého petičního práva využívají, očekávají od orgánů EU přidanou hodnotu v podobě nalezení řešení jejich problémů; vzhledem k tomu, že toto petiční právo musí rovněž podporovat základní zásady, jako je řádná správa evropských orgánů, svoboda projevu a respektování demokratického vyjádření;</w:t>
      </w:r>
    </w:p>
    <w:p w14:paraId="07F4A8EC" w14:textId="77777777" w:rsidR="00352CD0" w:rsidRPr="003747CC" w:rsidRDefault="00352CD0" w:rsidP="00352CD0">
      <w:pPr>
        <w:pStyle w:val="NormalHanging12a"/>
      </w:pPr>
      <w:r w:rsidRPr="003747CC">
        <w:t>F.</w:t>
      </w:r>
      <w:r w:rsidRPr="003747CC">
        <w:tab/>
        <w:t>vzhledem k tomu, že kritéria pro přípustnost petic jsou stanovena v článku 227 SFEU a v čl. 232 odst. 1 jednacího řádu Parlamentu, podle nichž musí být petice předložena občanem EU nebo fyzickou či právnickou osobou, která má bydliště nebo statutární sídlo v členském státě, a to buď samostatně, nebo společně s jinými osobami, ve věcech, které spadají do oblastí činnosti EU a které se předkladatelů přímo dotýkají, přičemž výklad posledně uvedené podmínky je velmi široký;</w:t>
      </w:r>
    </w:p>
    <w:p w14:paraId="50011C22" w14:textId="77777777" w:rsidR="00352CD0" w:rsidRPr="003747CC" w:rsidRDefault="00352CD0" w:rsidP="00352CD0">
      <w:pPr>
        <w:pStyle w:val="NormalHanging12a"/>
      </w:pPr>
      <w:r w:rsidRPr="003747CC">
        <w:t>G.</w:t>
      </w:r>
      <w:r w:rsidRPr="003747CC">
        <w:tab/>
        <w:t xml:space="preserve">vzhledem k tomu, že z 1 518 petic předložených v roce 2024 jich bylo 611 prohlášeno za nepřípustné a 31 jich bylo staženo; vzhledem k tomu, že vysoké a stále rostoucí procento nepřípustných petic v roce 2024 (40,25 %) potvrzuje, že rozsah oblastí odpovědnosti EU ještě není zcela pochopený; vzhledem k tomu, že v zájmu snížení počtu nepřípustných petic je stále třeba vyvíjet úsilí k dalšímu objasnění oblastí působnosti EU; </w:t>
      </w:r>
    </w:p>
    <w:p w14:paraId="55A1193F" w14:textId="77777777" w:rsidR="00352CD0" w:rsidRPr="003747CC" w:rsidRDefault="00352CD0" w:rsidP="00352CD0">
      <w:pPr>
        <w:pStyle w:val="NormalHanging12a"/>
      </w:pPr>
      <w:r w:rsidRPr="003747CC">
        <w:t>H.</w:t>
      </w:r>
      <w:r w:rsidRPr="003747CC">
        <w:tab/>
        <w:t>vzhledem k tomu, že petiční právo je základním právem občanů EU a nabízí občanům i rezidentům otevřený, demokratický a transparentní mechanismus, jak se přímo obrátit na své volené zástupce; vzhledem k tomu, že mnoho osob se zdravotním postižením nemá rovný přístup k informacím a komunikaci kvůli omezené dostupnosti přístupných formátů a kvůli tomu, že národní znakové jazyky nejsou považovány za součást politiky mnohojazyčnosti EU; vzhledem k tomu, že tento základní nástroj umožňuje občanům podílet se aktivně a účinně na životě Unie; vzhledem k tomu, že prostřednictvím petic si mohou občané EU stěžovat na neprovedení práva EU a pomáhat odhalovat porušování práva EU v souladu se svrchovaností členských států a uplatňováním Smluv EU;</w:t>
      </w:r>
    </w:p>
    <w:p w14:paraId="20525803" w14:textId="77777777" w:rsidR="00352CD0" w:rsidRPr="003747CC" w:rsidRDefault="00352CD0" w:rsidP="00352CD0">
      <w:pPr>
        <w:pStyle w:val="NormalHanging12a"/>
      </w:pPr>
      <w:r w:rsidRPr="003747CC">
        <w:t>I.</w:t>
      </w:r>
      <w:r w:rsidRPr="003747CC">
        <w:tab/>
        <w:t>vzhledem k tomu, že Parlament je v mezinárodním měřítku již dlouho čelným představitelem rozvoje petičního postupu a má nejotevřenější a nejtransparentnější petiční postup v Evropě, který umožňuje plné zapojení předkladatelů petic do jeho činností; vzhledem k tomu, že on-line petiční platforma by mohla být více intuitivní, aby se v ní uživatelé mohli snadněji orientovat; vzhledem k tomu, že začlenění umělé inteligence by mohlo zjednodušit vyhledávání a zlepšit dostupnost petic tím, že nabídne pokročilejší funkce než současný formát;</w:t>
      </w:r>
    </w:p>
    <w:p w14:paraId="12072191" w14:textId="77777777" w:rsidR="00352CD0" w:rsidRPr="003747CC" w:rsidRDefault="00352CD0" w:rsidP="00352CD0">
      <w:pPr>
        <w:pStyle w:val="NormalHanging12a"/>
      </w:pPr>
      <w:r w:rsidRPr="003747CC">
        <w:lastRenderedPageBreak/>
        <w:t>J.</w:t>
      </w:r>
      <w:r w:rsidRPr="003747CC">
        <w:tab/>
        <w:t>vzhledem k tomu, že Petiční výbor zdůrazňuje význam větší transparentnosti při vyřizování petic, včetně poskytování systematické zpětné vazby jejich předkladatelům v klíčových fázích postupu a jasného harmonogramu následných opatření orgánů EU;</w:t>
      </w:r>
    </w:p>
    <w:p w14:paraId="369F6D2D" w14:textId="77777777" w:rsidR="00352CD0" w:rsidRPr="003747CC" w:rsidRDefault="00352CD0" w:rsidP="00352CD0">
      <w:pPr>
        <w:pStyle w:val="NormalHanging12a"/>
      </w:pPr>
      <w:r w:rsidRPr="003747CC">
        <w:t>K.</w:t>
      </w:r>
      <w:r w:rsidRPr="003747CC">
        <w:tab/>
        <w:t>vzhledem k tomu, že činnost Petičního výboru vychází ze vstupů od předkladatelů a z informací, které od nich obdrží; vzhledem k tomu, že Petiční výbor pro svoji činnost nezbytně potřebuje tyto informace i odborné znalosti poskytované Komisí, členskými státy a dalšími subjekty; vzhledem k tomu, že přípustné petice jsou často cenným zdrojem pro práci dalších parlamentních výborů; vzhledem k tomu, že petice tudíž mohou hrát roli i v legislativním procesu, neboť poskytují konkrétní zpětnou vazbu o dopadu politik EU a umožňují jejich přizpůsobení nově vznikajícím potřebám;</w:t>
      </w:r>
    </w:p>
    <w:p w14:paraId="1D2C255A" w14:textId="77777777" w:rsidR="00352CD0" w:rsidRPr="003747CC" w:rsidRDefault="00352CD0" w:rsidP="00352CD0">
      <w:pPr>
        <w:pStyle w:val="NormalHanging12a"/>
      </w:pPr>
      <w:r w:rsidRPr="003747CC">
        <w:t>L.</w:t>
      </w:r>
      <w:r w:rsidRPr="003747CC">
        <w:tab/>
        <w:t>vzhledem k tomu, že petiční právo posiluje schopnost Parlamentu reagovat na stížnosti a obavy týkající se dodržování základních práv EU a práva Unie v členských státech; vzhledem k tomu, že petice by mohly být užitečným zdrojem informací, pokud jde o případy porušení práva EU, a umožňují Parlamentu a dalším orgánům posuzovat provádění a uplatňování práva EU a jeho dopady na práva občanů a obyvatele EU;</w:t>
      </w:r>
    </w:p>
    <w:p w14:paraId="41A1A48B" w14:textId="6734795B" w:rsidR="00352CD0" w:rsidRPr="003747CC" w:rsidRDefault="00352CD0" w:rsidP="00352CD0">
      <w:pPr>
        <w:pStyle w:val="NormalHanging12a"/>
      </w:pPr>
      <w:r w:rsidRPr="003747CC">
        <w:t>M.</w:t>
      </w:r>
      <w:r w:rsidRPr="003747CC">
        <w:tab/>
        <w:t xml:space="preserve">vzhledem k tomu, že každá petice je pečlivě, účinně a transparentně posouzena a prověřena; vzhledem k tomu, že všichni předkladatelé mají právo obdržet odpověď – ve svém jazyce nebo v jazyce, který byl použit v petici, – v níž jsou informováni o rozhodnutí o přípustnosti a následných opatřeních, které výbor přijme v přiměřené lhůtě; vzhledem k tomu, že petice </w:t>
      </w:r>
      <w:r w:rsidR="00B66E59">
        <w:t xml:space="preserve">č. </w:t>
      </w:r>
      <w:r w:rsidRPr="003747CC">
        <w:t>1056/2016 projednaná dne 19. března 2024 požaduje, aby Parlament umožnil předkládání petic v národních znakových jazycích používaných v EU;</w:t>
      </w:r>
    </w:p>
    <w:p w14:paraId="713240D5" w14:textId="77777777" w:rsidR="00352CD0" w:rsidRPr="003747CC" w:rsidRDefault="00352CD0" w:rsidP="00352CD0">
      <w:pPr>
        <w:pStyle w:val="NormalHanging12a"/>
      </w:pPr>
      <w:r w:rsidRPr="003747CC">
        <w:t>N.</w:t>
      </w:r>
      <w:r w:rsidRPr="003747CC">
        <w:tab/>
        <w:t>vzhledem k tomu, že Petiční výbor přikládá posuzování petic a jejich veřejnému projednávání na svých schůzích nejvyšší význam; vzhledem k tomu, že předkladatelé petic mají právo své petice představit a v diskusích často sami vystupují, čímž aktivně přispívají k činnosti výboru; vzhledem k tomu, že v roce 2024 uspořádal Petiční výbor osm schůzí výboru (kromě jeho ustavující schůze), na nichž se projednalo 106 petic se 106 přítomnými předkladateli, kteří se aktivně zapojili a na schůzi vystoupili;</w:t>
      </w:r>
    </w:p>
    <w:p w14:paraId="2FEE3180" w14:textId="77777777" w:rsidR="00352CD0" w:rsidRPr="003747CC" w:rsidRDefault="00352CD0" w:rsidP="00352CD0">
      <w:pPr>
        <w:pStyle w:val="NormalHanging12a"/>
      </w:pPr>
      <w:r w:rsidRPr="003747CC">
        <w:t>O.</w:t>
      </w:r>
      <w:r w:rsidRPr="003747CC">
        <w:tab/>
        <w:t>vzhledem k tomu, že hlavní témata uvedená v peticích předložených v roce 2024 se týkají životního prostředí, základních práv, právního státu (včetně práva na řádnou správu, práva na přístup k dokumentům a svobody projevu a informací), vnitřního trhu, spravedlnosti, práv spotřebitelů a zdraví;</w:t>
      </w:r>
    </w:p>
    <w:p w14:paraId="5FEDDABB" w14:textId="77777777" w:rsidR="00352CD0" w:rsidRPr="003747CC" w:rsidRDefault="00352CD0" w:rsidP="00352CD0">
      <w:pPr>
        <w:pStyle w:val="NormalHanging12a"/>
      </w:pPr>
      <w:r w:rsidRPr="003747CC">
        <w:t>P.</w:t>
      </w:r>
      <w:r w:rsidRPr="003747CC">
        <w:tab/>
        <w:t>vzhledem k tomu, že při přijímání programu svých schůzí se Petiční výbor snaží projednávat petice a témata, která mají vysokou relevanci pro diskusi na úrovni EU, a zohledňuje potřebu zachovat vyvážené geografické pokrytí témat podle přijatých petic;</w:t>
      </w:r>
    </w:p>
    <w:p w14:paraId="42ED32F7" w14:textId="77777777" w:rsidR="00352CD0" w:rsidRPr="003747CC" w:rsidRDefault="00352CD0" w:rsidP="00352CD0">
      <w:pPr>
        <w:pStyle w:val="NormalHanging12a"/>
      </w:pPr>
      <w:r w:rsidRPr="003747CC">
        <w:t>Q.</w:t>
      </w:r>
      <w:r w:rsidRPr="003747CC">
        <w:tab/>
        <w:t>vzhledem k tomu, že 82 % peticí podaných Parlamentu v roce 2024 bylo podáno prostřednictvím internetového portálu pro předkládání petic, což je téměř stejný podíl jako v roce 2023 s 82,4 %, což potvrzuje, že tento portál je pro občany zdaleka nejvyužívanějším kanálem pro podávání petic Parlamentu;</w:t>
      </w:r>
    </w:p>
    <w:p w14:paraId="20C91150" w14:textId="77777777" w:rsidR="00352CD0" w:rsidRPr="003747CC" w:rsidRDefault="00352CD0" w:rsidP="00352CD0">
      <w:pPr>
        <w:pStyle w:val="NormalHanging12a"/>
      </w:pPr>
      <w:r w:rsidRPr="003747CC">
        <w:t>R.</w:t>
      </w:r>
      <w:r w:rsidRPr="003747CC">
        <w:tab/>
        <w:t xml:space="preserve">vzhledem k tomu, že přepracovaný internetový portál pro předkládání petic automaticky zveřejňuje informace o přijetí petic a změnách stavu, doplňující informace (např. zemi, témata) a shrnutí ve všech 24 úředních jazycích EU; vzhledem k tomu, že v roce 2023 </w:t>
      </w:r>
      <w:r w:rsidRPr="003747CC">
        <w:lastRenderedPageBreak/>
        <w:t>byly opět všechny petice připraveny a zveřejněny včas, do několika dnů od jejich přijetí, a že všechny interní i externí žádosti o podporu týkající se používání a obsahu internetového portálu pro předkládání petic byly zodpovězeny úspěšně, včas a v jakémkoli úředním jazyce EU;</w:t>
      </w:r>
    </w:p>
    <w:p w14:paraId="5CA9ECE6" w14:textId="77777777" w:rsidR="00352CD0" w:rsidRPr="003747CC" w:rsidRDefault="00352CD0" w:rsidP="00352CD0">
      <w:pPr>
        <w:pStyle w:val="NormalHanging12a"/>
      </w:pPr>
      <w:r w:rsidRPr="003747CC">
        <w:t>S.</w:t>
      </w:r>
      <w:r w:rsidRPr="003747CC">
        <w:tab/>
        <w:t>vzhledem k tomu, že v roce 2024 neproběhly žádné zjišťovací mise kvůli peticím, u nichž probíhalo šetření, a to z důvodu přestávky v období evropských voleb; vzhledem k tomu, že výbor provedl následné posouzení a přijal dvě zprávy o předchozích zjišťovacích misích, které se uskutečnily v roce 2023; vzhledem k tomu, že na první polovinu roku 2025 byly naplánovány dvě zjišťovací mise;</w:t>
      </w:r>
    </w:p>
    <w:p w14:paraId="7DF20E4A" w14:textId="77777777" w:rsidR="00352CD0" w:rsidRPr="003747CC" w:rsidRDefault="00352CD0" w:rsidP="00352CD0">
      <w:pPr>
        <w:pStyle w:val="NormalHanging12a"/>
      </w:pPr>
      <w:r w:rsidRPr="003747CC">
        <w:t>T.</w:t>
      </w:r>
      <w:r w:rsidRPr="003747CC">
        <w:tab/>
        <w:t xml:space="preserve">vzhledem k tomu, že dne 4. listopadu 2024 se Petiční výbor zúčastnil </w:t>
      </w:r>
      <w:proofErr w:type="spellStart"/>
      <w:r w:rsidRPr="003747CC">
        <w:t>potrvzujícího</w:t>
      </w:r>
      <w:proofErr w:type="spellEnd"/>
      <w:r w:rsidRPr="003747CC">
        <w:t xml:space="preserve"> slyšení kandidáta na komisaře pro obchod a hospodářskou bezpečnost, interinstitucionální vztahy a transparentnost Maroše </w:t>
      </w:r>
      <w:proofErr w:type="spellStart"/>
      <w:r w:rsidRPr="003747CC">
        <w:t>Šefčoviče</w:t>
      </w:r>
      <w:proofErr w:type="spellEnd"/>
      <w:r w:rsidRPr="003747CC">
        <w:t xml:space="preserve"> jako přizvaný výbor; vzhledem k tomu, že Maroš </w:t>
      </w:r>
      <w:proofErr w:type="spellStart"/>
      <w:r w:rsidRPr="003747CC">
        <w:t>Šefčovič</w:t>
      </w:r>
      <w:proofErr w:type="spellEnd"/>
      <w:r w:rsidRPr="003747CC">
        <w:t xml:space="preserve"> v odpovědi na písemné a ústní otázky, které mu položil Petiční výbor v rámci potvrzujícího slyšení, učinil řadu závazků týkajících se petičního procesu a transparentnosti </w:t>
      </w:r>
      <w:proofErr w:type="spellStart"/>
      <w:r w:rsidRPr="003747CC">
        <w:t>prosazovacích</w:t>
      </w:r>
      <w:proofErr w:type="spellEnd"/>
      <w:r w:rsidRPr="003747CC">
        <w:t xml:space="preserve"> opatření Komise; </w:t>
      </w:r>
    </w:p>
    <w:p w14:paraId="4A1B2BD0" w14:textId="77777777" w:rsidR="00352CD0" w:rsidRPr="003747CC" w:rsidRDefault="00352CD0" w:rsidP="00352CD0">
      <w:pPr>
        <w:pStyle w:val="NormalHanging12a"/>
      </w:pPr>
      <w:r w:rsidRPr="003747CC">
        <w:t>U.</w:t>
      </w:r>
      <w:r w:rsidRPr="003747CC">
        <w:tab/>
        <w:t xml:space="preserve">vzhledem k tomu, že podle jednacího řádu Parlamentu je Petiční výbor odpovědný také za vztahy s evropským veřejným ochráncem práv, který šetří stížnosti ohledně nesprávného úředního postupu v orgánech a institucích EU; vzhledem k tomu, že v roce 2024 sehrál Petiční výbor klíčovou úlohu při organizaci volby evropského veřejného ochránce práv, když uspořádal veřejné slyšení kandidátů podle článku 237 jednacího řádu Parlamentu; vzhledem k tomu, že dne 17. prosince 2024 byla evropskou veřejnou ochránkyní práv na volební období 2024–2029 zvolena Teresa </w:t>
      </w:r>
      <w:proofErr w:type="spellStart"/>
      <w:r w:rsidRPr="003747CC">
        <w:t>Anjinhová</w:t>
      </w:r>
      <w:proofErr w:type="spellEnd"/>
      <w:r w:rsidRPr="003747CC">
        <w:t xml:space="preserve">; </w:t>
      </w:r>
    </w:p>
    <w:p w14:paraId="0F6C9904" w14:textId="77777777" w:rsidR="00352CD0" w:rsidRPr="003747CC" w:rsidRDefault="00352CD0" w:rsidP="00352CD0">
      <w:pPr>
        <w:pStyle w:val="NormalHanging12a"/>
      </w:pPr>
      <w:r w:rsidRPr="003747CC">
        <w:t>V.</w:t>
      </w:r>
      <w:r w:rsidRPr="003747CC">
        <w:tab/>
        <w:t xml:space="preserve">vzhledem k tomu, že v roce 2024 zůstaly vztahy mezi Petičním výborem a evropským veřejným ochráncem práv konstruktivní, což dokazuje aktivní účast předchozí evropské veřejné ochránkyně práv Emily </w:t>
      </w:r>
      <w:proofErr w:type="spellStart"/>
      <w:r w:rsidRPr="003747CC">
        <w:t>O’Reillyové</w:t>
      </w:r>
      <w:proofErr w:type="spellEnd"/>
      <w:r w:rsidRPr="003747CC">
        <w:t xml:space="preserve"> na schůzích výboru; vzhledem k tomu, že na schůzi Petičního výboru dne 4. září 2024 předložila výroční zprávu za rok 2023 a dne 2. prosince 2024 se zúčastnila výročního semináře výboru o právech osob se zdravotním postižením; </w:t>
      </w:r>
    </w:p>
    <w:p w14:paraId="5436E8BF" w14:textId="77777777" w:rsidR="00352CD0" w:rsidRPr="003747CC" w:rsidRDefault="00352CD0" w:rsidP="00352CD0">
      <w:pPr>
        <w:pStyle w:val="NormalHanging12a"/>
      </w:pPr>
      <w:r w:rsidRPr="003747CC">
        <w:t>W.</w:t>
      </w:r>
      <w:r w:rsidRPr="003747CC">
        <w:tab/>
        <w:t>vzhledem k tomu, že Petiční výbor je členem Evropské sítě veřejných ochránců práv, která zahrnuje rovněž evropského veřejného ochránce práv, veřejné ochránce práv na vnitrostátní a regionální úrovni a obdobné orgány v členských státech, kandidátských zemích a dalších zemích Evropského hospodářského prostoru a jejímž cílem je podporovat výměnu informací o právu a politikách EU a sdílet osvědčené postupy;</w:t>
      </w:r>
    </w:p>
    <w:p w14:paraId="598BCD5D" w14:textId="77777777" w:rsidR="00352CD0" w:rsidRPr="003747CC" w:rsidRDefault="00352CD0" w:rsidP="00352CD0">
      <w:pPr>
        <w:pStyle w:val="NormalHanging12a"/>
      </w:pPr>
      <w:r w:rsidRPr="003747CC">
        <w:t>1.</w:t>
      </w:r>
      <w:r w:rsidRPr="003747CC">
        <w:tab/>
        <w:t>připomíná významnou úlohu Petičního výboru při ochraně a prosazování práv občanů a rezidentů EU, a zdůrazňuje, že musí zajišťovat včasné, účinné a náležité posouzení obav a stížností předkladatelů petic a aby byli předkladatelé včas informováni o přijatých opatřeních a pokroku, jehož bylo v souvislosti s jejich peticemi dosaženo; vyjadřuje však politování nad tím, že v praxi tomu tak vždy není; připomíná, že všechny petice musí být projednávány v rámci otevřeného, demokratického a transparentního petičního procesu, který by měl výbor důsledně dodržovat; doporučuje revidovat vnitřní postupy s cílem zajistit, aby podobné nebo opakované petice byly seskupeny a vyřizovány účinněji a aby bylo zaručeno právo každého předkladatele na individuální vyslechnutí;</w:t>
      </w:r>
    </w:p>
    <w:p w14:paraId="63524ACA" w14:textId="77777777" w:rsidR="00352CD0" w:rsidRPr="003747CC" w:rsidRDefault="00352CD0" w:rsidP="00352CD0">
      <w:pPr>
        <w:pStyle w:val="NormalHanging12a"/>
      </w:pPr>
      <w:r w:rsidRPr="003747CC">
        <w:t>2.</w:t>
      </w:r>
      <w:r w:rsidRPr="003747CC">
        <w:tab/>
        <w:t xml:space="preserve">znovu připomíná význam pokračující veřejné diskuse o oblastech činnosti EU s cílem </w:t>
      </w:r>
      <w:r w:rsidRPr="003747CC">
        <w:lastRenderedPageBreak/>
        <w:t>zajistit řádnou informovanost občanů o rozsahu pravomocí Unie a o různých úrovních rozhodování tak, aby se snížil počet nepřípustných petic; opětovně vyzývá k širším osvětovým kampaním, zejména v odlehlých regionech a mezi nedostatečně zastoupenými skupinami občanů, včetně mladých lidí, žen a venkovských a ostrovních komunit, a to prostřednictvím aktivního zapojení stávajících komunikačních služeb EU v celé Unii, aby se zvýšila informovanost občanů o jejich petičním právu, jakož i o rozsahu odpovědností EU a pravomocích Petičního výboru; požaduje srozumitelnější komunikaci s předkladateli petic bez používání odborných termínů a lepší vysvětlování úlohy a omezení Petičního výboru veřejnosti, zejména zranitelným uživatelům nebo těm, kteří petici podávají poprvé;</w:t>
      </w:r>
    </w:p>
    <w:p w14:paraId="670C17B3" w14:textId="77777777" w:rsidR="00352CD0" w:rsidRPr="003747CC" w:rsidRDefault="00352CD0" w:rsidP="00352CD0">
      <w:pPr>
        <w:pStyle w:val="NormalHanging12a"/>
      </w:pPr>
      <w:r w:rsidRPr="003747CC">
        <w:t>3.</w:t>
      </w:r>
      <w:r w:rsidRPr="003747CC">
        <w:tab/>
        <w:t>připomíná evropský rozměr Petičního výboru, na který se mohou obracet občané ze všech 27 členských států v otázkách, které spadají do oblasti působnosti Smluv EU a práva EU; je přesvědčen, že výbor má zvláštní odpovědnost za to, aby tento evropský rozměr podporoval a ukázal občanům přidanou hodnotu evropské jednoty a integrace, přičemž musí respektovat suverenitu a specifika jednotlivých států;</w:t>
      </w:r>
    </w:p>
    <w:p w14:paraId="55F61295" w14:textId="77777777" w:rsidR="00352CD0" w:rsidRPr="003747CC" w:rsidRDefault="00352CD0" w:rsidP="00352CD0">
      <w:pPr>
        <w:pStyle w:val="NormalHanging12a"/>
      </w:pPr>
      <w:r w:rsidRPr="003747CC">
        <w:t>4.</w:t>
      </w:r>
      <w:r w:rsidRPr="003747CC">
        <w:tab/>
        <w:t>poukazuje na to, že petice představují pro Parlament a ostatní orgány EU jedinečnou možnost přímého spojení a pravidelného dialogu s občany EU, zejména v případech, kdy jsou postiženi nesprávným uplatňováním nebo porušováním právních předpisů EU; zdůrazňuje, že při šetřeních týkajících se provádění a dodržování právních předpisů EU je třeba posílit spolupráci mezi orgány EU a celostátními, regionálními a místními orgány; je přesvědčen, že tato spolupráce má zásadní význam pro projednávání a řešení obav občanů týkajících se uplatňování práva EU a přispívá k posílení demokratické legitimity a odpovědnosti Unie; vyzývá proto ke smysluplné účasti zástupců členských států na schůzích výboru a ke včasným a podrobným odpovědím na žádosti o objasnění nebo o informace, které Petiční výbor zasílá vnitrostátním orgánům s cílem zajistit, aby na petice navazovala náležitá opatření;</w:t>
      </w:r>
    </w:p>
    <w:p w14:paraId="5C33AED3" w14:textId="77777777" w:rsidR="00352CD0" w:rsidRPr="003747CC" w:rsidRDefault="00352CD0" w:rsidP="00352CD0">
      <w:pPr>
        <w:pStyle w:val="NormalHanging12a"/>
      </w:pPr>
      <w:r w:rsidRPr="003747CC">
        <w:t>5.</w:t>
      </w:r>
      <w:r w:rsidRPr="003747CC">
        <w:tab/>
        <w:t>připomíná, že Petiční výbor obdržel počátkem roku 2024 značný počet petic, v nichž předkladatelé vyjadřují znepokojení nad vnímanými hrozbami, jimž je vystaven právní stát ve Španělsku; bere na vědomí společnou rozpravu z ledna 2024 o několika peticích týkajících se vývoje ve Španělsku, zejména v souvislosti s vládním návrhem zákona o amnestii a jeho možnými důsledky pro španělský právní rámec a právní rámec EU;</w:t>
      </w:r>
    </w:p>
    <w:p w14:paraId="45C6C68B" w14:textId="77777777" w:rsidR="00352CD0" w:rsidRPr="003747CC" w:rsidRDefault="00352CD0" w:rsidP="00352CD0">
      <w:pPr>
        <w:pStyle w:val="NormalHanging12a"/>
      </w:pPr>
      <w:r w:rsidRPr="003747CC">
        <w:t>6.</w:t>
      </w:r>
      <w:r w:rsidRPr="003747CC">
        <w:tab/>
        <w:t xml:space="preserve">připomíná, že petice významně přispívají k plnění úlohy Komise jakožto strážkyně Smluv, neboť poskytují občanům další nástroj, jak oznamovat údajná porušení práva EU; zdůrazňuje, že pro úspěšné vyřizování petic je naprosto nezbytná konstruktivní spolupráce mezi Petičním výborem a Komisí prostřednictvím včasných a podrobných odpovědí Komise, které vycházejí z důkladného prozkoumání otázek vznesených v peticích; opakuje, že tyto odpovědi, které jsou předávány předkladatelům, by měly být jasné, jednoduché a empatické, aby se umožnilo jejich lepší pochopení; </w:t>
      </w:r>
    </w:p>
    <w:p w14:paraId="75BB9FEE" w14:textId="77777777" w:rsidR="00352CD0" w:rsidRPr="003747CC" w:rsidRDefault="00352CD0" w:rsidP="00352CD0">
      <w:pPr>
        <w:pStyle w:val="NormalHanging12a"/>
      </w:pPr>
      <w:r w:rsidRPr="003747CC">
        <w:t>7.</w:t>
      </w:r>
      <w:r w:rsidRPr="003747CC">
        <w:tab/>
        <w:t xml:space="preserve">vítá vytvoření nové internetové stránky Komise věnované případům nesplnění povinnosti, provádění směrnic a dialogu v rámci projektu EU Pilot; opakuje však svou výzvu, aby Komise poskytovala Petičnímu výboru pravidelné aktuální informace o průběhu řízení o nesplnění povinnosti a zaručila Petičnímu výboru přístup k příslušným informacím týkajícím se řízení o nesplnění povinnosti a postupů v systému EU Pilot, které se týkají vyřizovaných petic; opakuje, že je třeba zlepšit transparentnost řízení o nesplnění povinnosti a komunikaci s předkladateli petic o stavu těchto řízení, a zdůrazňuje, že by to petičnímu procesu prospělo; vítá iniciativu Komise </w:t>
      </w:r>
      <w:r w:rsidRPr="003747CC">
        <w:lastRenderedPageBreak/>
        <w:t xml:space="preserve">zařadit petice do veřejného rejstříku Komise o rozhodnutích o nesplnění povinnosti, jakož i zařazení odkazu na veřejný rejstřík Komise na portál pro předkládání petic; vítá závazek komisaře </w:t>
      </w:r>
      <w:proofErr w:type="spellStart"/>
      <w:r w:rsidRPr="003747CC">
        <w:t>Šefčoviče</w:t>
      </w:r>
      <w:proofErr w:type="spellEnd"/>
      <w:r w:rsidRPr="003747CC">
        <w:t xml:space="preserve"> dále propojit veřejný rejstřík Komise a portál Parlamentu pro předkládání petic; opakuje svou výzvu Komisi, aby všechny tyto požadavky zahrnula do rámcové dohody o vztazích mezi Evropským parlamentem a Evropskou komisí</w:t>
      </w:r>
      <w:r w:rsidRPr="003747CC">
        <w:rPr>
          <w:rStyle w:val="FootnoteReference"/>
        </w:rPr>
        <w:footnoteReference w:id="1"/>
      </w:r>
      <w:r w:rsidRPr="003747CC">
        <w:t>;</w:t>
      </w:r>
    </w:p>
    <w:p w14:paraId="39F35AB5" w14:textId="77777777" w:rsidR="00352CD0" w:rsidRPr="003747CC" w:rsidRDefault="00352CD0" w:rsidP="00352CD0">
      <w:pPr>
        <w:pStyle w:val="NormalHanging12a"/>
      </w:pPr>
      <w:r w:rsidRPr="003747CC">
        <w:t>8.</w:t>
      </w:r>
      <w:r w:rsidRPr="003747CC">
        <w:tab/>
        <w:t>požaduje nezávislé a pravidelné hodnocení kvality a srozumitelnosti odpovědí Komise na petice a aby se toto hodnocení zaměřovalo zejména na to, zda jsou odpovědi srozumitelné, relevantní a citlivé vůči podmínkám, v nichž se předkladatelé nacházejí, s cílem zajistit, aby byli občané smysluplně a ohleduplně zapojeni;</w:t>
      </w:r>
    </w:p>
    <w:p w14:paraId="47EBA54C" w14:textId="77777777" w:rsidR="00352CD0" w:rsidRPr="003747CC" w:rsidRDefault="00352CD0" w:rsidP="00352CD0">
      <w:pPr>
        <w:pStyle w:val="NormalHanging12a"/>
      </w:pPr>
      <w:r w:rsidRPr="003747CC">
        <w:t>9.</w:t>
      </w:r>
      <w:r w:rsidRPr="003747CC">
        <w:tab/>
        <w:t>má za to, že při odblokování petic, které si žádají rychlou odpověď a reakci od vnitrostátních orgánů, by mohla být užitečná aktivnější spolupráce mezi členskými státy a Komisí;</w:t>
      </w:r>
    </w:p>
    <w:p w14:paraId="363142C1" w14:textId="77777777" w:rsidR="00352CD0" w:rsidRPr="003747CC" w:rsidRDefault="00352CD0" w:rsidP="00352CD0">
      <w:pPr>
        <w:pStyle w:val="NormalHanging12a"/>
      </w:pPr>
      <w:r w:rsidRPr="003747CC">
        <w:t>10.</w:t>
      </w:r>
      <w:r w:rsidRPr="003747CC">
        <w:tab/>
        <w:t>připomíná, že databáze elektronických petic je klíčovým interním nástrojem, který členům Petičního výboru umožňuje přístup ke všem nezbytným informacím, aby mohli sledovat aktuální stav každé petice a přijímat informovaná rozhodnutí ohledně jejich vyřizování; poznamenává, že databáze elektronických petic (e-petice) hraje důležitou roli také při komunikaci s předkladateli petic; zdůrazňuje, že je třeba dále modernizovat digitální nástroje Petičního výboru, a navrhuje, aby se pro lepší vyřizování petic posoudilo zodpovědné využívání umělé inteligence řízené člověkem;</w:t>
      </w:r>
    </w:p>
    <w:p w14:paraId="1ADAC068" w14:textId="77777777" w:rsidR="00352CD0" w:rsidRPr="003747CC" w:rsidRDefault="00352CD0" w:rsidP="00352CD0">
      <w:pPr>
        <w:pStyle w:val="NormalHanging12a"/>
      </w:pPr>
      <w:r w:rsidRPr="003747CC">
        <w:t>11.</w:t>
      </w:r>
      <w:r w:rsidRPr="003747CC">
        <w:tab/>
        <w:t>připomíná závazek Komise, že vytvoří interinstitucionální nástroj IT Komise i Parlamentu jako prostředek pro sdílení informací a dokumentů o všech následných opatřeních přijatých v souvislosti s peticemi, jako jsou řízení o nesplnění povinnosti, legislativní návrhy nebo odpovědi vnitrostátních orgánů, neboť se tak zvýší transparentnost a efektivita vyřizování petic, což by v širším kontextu přispělo ke zvýšení důvěry občanů v orgány EU a v evropský projekt; vyzývá k rychlému zavedení takového interinstitucionálního nástroje IT;</w:t>
      </w:r>
    </w:p>
    <w:p w14:paraId="55140489" w14:textId="77777777" w:rsidR="00352CD0" w:rsidRPr="003747CC" w:rsidRDefault="00352CD0" w:rsidP="00352CD0">
      <w:pPr>
        <w:pStyle w:val="NormalHanging12a"/>
      </w:pPr>
      <w:r w:rsidRPr="003747CC">
        <w:t>12.</w:t>
      </w:r>
      <w:r w:rsidRPr="003747CC">
        <w:tab/>
        <w:t>připomíná, že pro komplexní zpracování petic je nezbytná spolupráce s ostatními parlamentními výbory; konstatuje, že v roce 2024 bylo ostatním výborům zasláno 30 žádostí o stanovisko a 450 žádostí o informace; konstatuje, že do konce roku 2024 bylo obdrženo 26 stanovisek;</w:t>
      </w:r>
      <w:r w:rsidRPr="003747CC">
        <w:rPr>
          <w:color w:val="FF0000"/>
        </w:rPr>
        <w:t xml:space="preserve"> </w:t>
      </w:r>
      <w:r w:rsidRPr="003747CC">
        <w:t>připomíná, že předkladatelé petic jsou informováni o rozhodnutích, kdy je při vyřizování jejich petic požádáno o stanoviska jiných výborů; zdůrazňuje, že parlamentní výbory by měly zintenzivnit své úsilí a aktivně přispívat k posuzování petic poskytováním svých odborných znalostí, čímž Parlamentu umožní rychleji a uceleněji reagovat na obavy občanů;</w:t>
      </w:r>
    </w:p>
    <w:p w14:paraId="7BFEE2CB" w14:textId="77777777" w:rsidR="00352CD0" w:rsidRPr="003747CC" w:rsidRDefault="00352CD0" w:rsidP="00352CD0">
      <w:pPr>
        <w:pStyle w:val="NormalHanging12a"/>
      </w:pPr>
      <w:r w:rsidRPr="003747CC">
        <w:t>13.</w:t>
      </w:r>
      <w:r w:rsidRPr="003747CC">
        <w:tab/>
        <w:t xml:space="preserve">je přesvědčen o tom, že petiční síť je užitečným nástrojem pro usnadnění opatření navazujících na petice v rámci parlamentní a legislativní činnosti; domnívá se, že pravidelné schůze petiční sítě jsou zásadní pro větší zviditelnění činností Petičního výboru a zabezpečení lepšího porozumění jeho práci a poslání, jakož i pro posílení spolupráce s ostatními parlamentními výbory; </w:t>
      </w:r>
    </w:p>
    <w:p w14:paraId="7C4F7C94" w14:textId="77777777" w:rsidR="00352CD0" w:rsidRPr="003747CC" w:rsidRDefault="00352CD0" w:rsidP="00352CD0">
      <w:pPr>
        <w:pStyle w:val="NormalHanging12a"/>
      </w:pPr>
      <w:r w:rsidRPr="003747CC">
        <w:t>14.</w:t>
      </w:r>
      <w:r w:rsidRPr="003747CC">
        <w:tab/>
        <w:t xml:space="preserve">bere na vědomí, že i v roce 2024 se hlavní obavy předkladatelů petic týkaly životního </w:t>
      </w:r>
      <w:r w:rsidRPr="003747CC">
        <w:lastRenderedPageBreak/>
        <w:t>prostředí, jelikož environmentálních otázek se dotýkalo více než 20 % petic; bere na vědomí značný počet petic oznamujících porušování právních předpisů EU v oblasti životního prostředí v několika členských státech; konstatuje, že mezi problémy, o kterých informovali předkladatelé petic a které byly projednávány ve výboru, patří ochrana vlků v EU, dlouhodobé toxické účinky pesticidů a porušení směrnice o průmyslových emisích</w:t>
      </w:r>
      <w:r w:rsidRPr="003747CC">
        <w:rPr>
          <w:rStyle w:val="FootnoteReference"/>
        </w:rPr>
        <w:footnoteReference w:id="2"/>
      </w:r>
      <w:r w:rsidRPr="003747CC">
        <w:t xml:space="preserve"> v souvislosti s řízením továrny na zpracování oceli; zdůrazňuje, že je důležité naplnit očekávání občanů EU ohledně ochrany životního prostředí, a naléhavě vyzývá Komisi, aby spolu s členskými státy zajistila řádné provádění unijních právních předpisů v oblasti životního prostředí;</w:t>
      </w:r>
    </w:p>
    <w:p w14:paraId="106B3D45" w14:textId="77777777" w:rsidR="00352CD0" w:rsidRPr="003747CC" w:rsidRDefault="00352CD0" w:rsidP="00352CD0">
      <w:pPr>
        <w:pStyle w:val="NormalHanging12a"/>
      </w:pPr>
      <w:r w:rsidRPr="003747CC">
        <w:t>15.</w:t>
      </w:r>
      <w:r w:rsidRPr="003747CC">
        <w:tab/>
        <w:t>bere na vědomí, že Petiční výbor se zabýval dalšími tématy, jako je ochrana práv dětí, včetně bezpečnosti na internetu, a zlepšení životních podmínek zvířat; upozorňuje na petice, které poukazují na porušování práv cestujících; konstatuje rovněž, že řada petic vyjádřila obavy ohledně ochrany údajů, a zejména prosazování obecného nařízení o ochraně osobních údajů</w:t>
      </w:r>
      <w:r w:rsidRPr="003747CC">
        <w:rPr>
          <w:rStyle w:val="FootnoteReference"/>
        </w:rPr>
        <w:footnoteReference w:id="3"/>
      </w:r>
      <w:r w:rsidRPr="003747CC">
        <w:t>; zdůrazňuje rovněž počet petic, které se zabývají krizí v oblasti bydlení ve všech členských státech; konstatuje, že Petiční výbor se zabýval odpovědností společností působících v oblasti fosilních paliv v souvislosti s krizí životních nákladů, obavami týkajícími se bezpečnosti železnic a ochranou práv pracovníků; bere na vědomí projednávání petic týkajících se kultury a národního dědictví; připomíná, že Petiční výbor projednal několik petic týkajících se zrušení povolení k trvalému pobytu ruských občanů; konstatuje, že Petiční výbor obdržel a projednal značný počet petic týkajících se právního státu v členských státech; bere na vědomí petice, které byly předloženy ve věci podmínek přijímání přistěhovalců a žadatelů o azyl v členských státech, a bere na vědomí petice, které hlásí případy diskriminace; očekává, že Komise v souvislosti se všemi těmito peticemi přijme náležitá následná opatření a dodá aktualizované informace;</w:t>
      </w:r>
    </w:p>
    <w:p w14:paraId="7D1A2B26" w14:textId="77777777" w:rsidR="00352CD0" w:rsidRPr="003747CC" w:rsidRDefault="00352CD0" w:rsidP="00352CD0">
      <w:pPr>
        <w:pStyle w:val="NormalHanging12a"/>
      </w:pPr>
      <w:r w:rsidRPr="003747CC">
        <w:t>16.</w:t>
      </w:r>
      <w:r w:rsidRPr="003747CC">
        <w:tab/>
        <w:t xml:space="preserve">zdůrazňuje důležitý přínos Petičního výboru k ochraně práv osob se zdravotním postižením, který se projevil při projednávání řady petic na toto téma, včetně projednání petice č. 1056/2016 o předkládání petic v národních znakových jazycích; uznává v této souvislosti úsilí útvarů Parlamentu a konstatuje, že je třeba nalézt nejen nejlepší technické, ale i nejpřístupnější řešení pro neslyšící občany, aby bylo možné s nimi komunikovat v jejich mateřském jazyce a v národních znakových jazycích; požaduje, aby byla v úzké spolupráci s Výborem pro ústavní záležitosti přijata změna jednacího řádu s cílem odstranit povinnou výlučně písemnou komunikaci s neslyšícími nebo nedoslýchavými občany, kteří používají znakový jazyk, a zavést možnost, že by tito občané mohli na svoji žádost používat během řízení znakový jazyk; konstatuje, že předkladatelé petic vyjadřovali v roce 2024 obavy i v souvislosti se vzděláváním žáků se zdravotním postižením, odepíráním zdravotnických služeb osobám se zdravotním postižením a přístupností veřejných prostor a služeb; připomíná každoroční seminář </w:t>
      </w:r>
      <w:r w:rsidRPr="003747CC">
        <w:lastRenderedPageBreak/>
        <w:t>Petičního výboru o právech osob se zdravotním postižením ze dne 2. prosince 2024, který se zaměřil na aktuální stav Strategie práv osob se zdravotním postižením na období 2021–2030, a naléhavě vyzývá k urychlenému začlenění petičních zjištění do přezkumu Strategie práv osob se zdravotním postižením na období 2021–2030 v polovině období s měřitelnými cíli a rozpočtovými závazky;</w:t>
      </w:r>
    </w:p>
    <w:p w14:paraId="6FF63BA6" w14:textId="77777777" w:rsidR="00352CD0" w:rsidRPr="003747CC" w:rsidRDefault="00352CD0" w:rsidP="00352CD0">
      <w:pPr>
        <w:pStyle w:val="NormalHanging12a"/>
      </w:pPr>
      <w:r w:rsidRPr="003747CC">
        <w:t>17.</w:t>
      </w:r>
      <w:r w:rsidRPr="003747CC">
        <w:tab/>
        <w:t>zdůrazňuje zvláštní ochrannou úlohu, kterou v EU Petiční výbor zastává v rámci Úmluvy OSN o právech osob se zdravotním postižením; upozorňuje na důležitou neustálou práci výboru spojenou s peticemi, které se týkají otázek z oblasti zdravotního postižení; připomíná, že odkaz na petice týkající se potřeby celounijního průkazu osob se zdravotním postižením byl zahrnut do směrnice (EU) 2024/2841, kterou se zavádí evropský průkaz osob se zdravotním postižením a evropský parkovací průkaz</w:t>
      </w:r>
      <w:r w:rsidRPr="003747CC">
        <w:rPr>
          <w:rStyle w:val="FootnoteReference"/>
        </w:rPr>
        <w:footnoteReference w:id="4"/>
      </w:r>
      <w:r w:rsidRPr="003747CC">
        <w:t>; zdůrazňuje, že petice mohou významně přispět k legislativnímu procesu;</w:t>
      </w:r>
    </w:p>
    <w:p w14:paraId="545B5068" w14:textId="77777777" w:rsidR="00352CD0" w:rsidRPr="003747CC" w:rsidRDefault="00352CD0" w:rsidP="00352CD0">
      <w:pPr>
        <w:pStyle w:val="NormalHanging12a"/>
        <w:rPr>
          <w:rFonts w:eastAsia="Calibri"/>
        </w:rPr>
      </w:pPr>
      <w:r w:rsidRPr="003747CC">
        <w:t>18.</w:t>
      </w:r>
      <w:r w:rsidRPr="003747CC">
        <w:tab/>
        <w:t>připomíná, že jednu z povinností, jež jsou Petičnímu výboru svěřeny jednacím řádem Parlamentu, představují vztahy s úřadem evropského veřejného ochránce práv; zdůrazňuje úlohu Petičního výboru ve volebním procesu evropského veřejného ochránce práv, zejména při pořádání veřejného slyšení se všemi způsobilými kandidáty, které se konalo dne 3. prosince 2024 a které bylo otevřené všem poslancům Evropského parlamentu, již díky tomu měli demokratickou a transparentní příležitost vyměnit si názory s kandidáty a posoudit jejich nezávislost, kvalifikaci a profesionalitu, jakož i vizi týkající se úřadu evropského veřejného ochránce práv v rámci institucionální struktury EU; vítá konstruktivní spolupráci Parlamentu s evropskou veřejnou ochránkyní práv, s níž Petiční výbor sdílí cíle zajistit transparentnost, profesionalitu a integritu orgánů EU vůči evropským občanům, jakož i její zapojení do Evropské sítě veřejných ochránců práv;</w:t>
      </w:r>
    </w:p>
    <w:p w14:paraId="4E287E6C" w14:textId="77777777" w:rsidR="00352CD0" w:rsidRPr="003747CC" w:rsidRDefault="00352CD0" w:rsidP="00352CD0">
      <w:pPr>
        <w:pStyle w:val="NormalHanging12a"/>
        <w:rPr>
          <w:rFonts w:eastAsia="Calibri"/>
        </w:rPr>
      </w:pPr>
      <w:r w:rsidRPr="003747CC">
        <w:t>19.</w:t>
      </w:r>
      <w:r w:rsidRPr="003747CC">
        <w:tab/>
        <w:t>podporuje pokračující pravidelný přínos evropské veřejné ochránkyně práv k činnosti Petičního výboru v průběhu celého roku; je pevně přesvědčen, že orgány, instituce a jiné subjekty Unie musí zajistit, aby kroky navazující na doporučení veřejné ochránkyně práv byly prováděny uceleně a účinně; zdůrazňuje zásadní úlohu evropské veřejné ochránkyně práv při prosazování transparentnosti, řádné správy a ochrany práv občanů; vyzývá k užší spolupráci mezi Petičním výborem a úřadem veřejného ochránce práv;</w:t>
      </w:r>
    </w:p>
    <w:p w14:paraId="0286CA82" w14:textId="77777777" w:rsidR="00352CD0" w:rsidRPr="003747CC" w:rsidRDefault="00352CD0" w:rsidP="00352CD0">
      <w:pPr>
        <w:pStyle w:val="NormalHanging12a"/>
        <w:rPr>
          <w:b/>
          <w:i/>
        </w:rPr>
      </w:pPr>
      <w:r w:rsidRPr="003747CC">
        <w:t>20.</w:t>
      </w:r>
      <w:r w:rsidRPr="003747CC">
        <w:tab/>
        <w:t>konstatuje, že navzdory parlamentní přestávce z důvodu evropských voleb Petiční výbor vyjádřil svůj postoj a vydal doporučení k důležitým otázkám vzneseným v peticích, včetně přijetí dvou zpráv v návaznosti na zjišťovací mise, které se uskutečnily v druhé polovině roku 2023, konkrétně na pracovní cestu do Irska týkající se budov obsahujících slídu a pracovní cestu do Španělska týkající se jazykové imerze v Katalánsku; zdůrazňuje, že je důležité, aby katalánské orgány prováděly doporučení Petičního výboru uvedená v jeho zprávě ze dne 19. března 2024, jejichž cílem je chránit jazyková práva studentů a jejich rodin;</w:t>
      </w:r>
    </w:p>
    <w:p w14:paraId="08138578" w14:textId="77777777" w:rsidR="00352CD0" w:rsidRPr="003747CC" w:rsidRDefault="00352CD0" w:rsidP="00352CD0">
      <w:pPr>
        <w:pStyle w:val="NormalHanging12a"/>
      </w:pPr>
      <w:r w:rsidRPr="003747CC">
        <w:t>21.</w:t>
      </w:r>
      <w:r w:rsidRPr="003747CC">
        <w:tab/>
        <w:t xml:space="preserve">bere na vědomí rostoucí počet petic týkajících se politiky v oblasti vzdělávání, zejména uznávání pedagogických kvalifikací ve všech členských státech; v této souvislosti </w:t>
      </w:r>
      <w:r w:rsidRPr="003747CC">
        <w:lastRenderedPageBreak/>
        <w:t>zdůrazňuje otázku Petičního výboru k ústnímu zodpovězení Komisi o pracovních podmínkách učitelů v EU; je znepokojen ústní odpovědí Komise, která potvrzuje, že nedostatek učitelů představuje závažný problém, což se odráží i v nedávných výsledcích průzkumu PISA, kdy ani jeden členský stát nedokáže zlepšit výsledky v oblasti základních dovedností; vyzývá v této souvislosti Komisi a členské státy, aby výrazně zvýšily své úsilí o zlepšení svých systémů školního vzdělávání a zároveň zvýšily atraktivitu učitelského povolání, a to i prostřednictvím financování a programů;</w:t>
      </w:r>
    </w:p>
    <w:p w14:paraId="6FF3EE76" w14:textId="77777777" w:rsidR="00352CD0" w:rsidRPr="003747CC" w:rsidRDefault="00352CD0" w:rsidP="00352CD0">
      <w:pPr>
        <w:pStyle w:val="NormalHanging12a"/>
      </w:pPr>
      <w:r w:rsidRPr="003747CC">
        <w:t>22.</w:t>
      </w:r>
      <w:r w:rsidRPr="003747CC">
        <w:tab/>
        <w:t>vítá přijetí usnesení Parlamentu ze dne 10. dubna 2024 o odbavování těžkých nákladních vozidel na hraničních přechodech na základě petice č. 0146/2023</w:t>
      </w:r>
      <w:r w:rsidRPr="003747CC">
        <w:rPr>
          <w:rStyle w:val="FootnoteReference"/>
        </w:rPr>
        <w:footnoteReference w:id="5"/>
      </w:r>
      <w:r w:rsidRPr="003747CC">
        <w:t xml:space="preserve">; </w:t>
      </w:r>
    </w:p>
    <w:p w14:paraId="7C101998" w14:textId="77777777" w:rsidR="00352CD0" w:rsidRPr="003747CC" w:rsidRDefault="00352CD0" w:rsidP="00352CD0">
      <w:pPr>
        <w:pStyle w:val="NormalHanging12a"/>
      </w:pPr>
      <w:r w:rsidRPr="003747CC">
        <w:t>23.</w:t>
      </w:r>
      <w:r w:rsidRPr="003747CC">
        <w:tab/>
        <w:t>zdůrazňuje, že internetový portál pro předkládání petic je zásadním nástrojem pro zajištění hladkého, účinného a transparentního předkládání petic; vítá zlepšení portálu ve prospěch předkladatelů a zdůrazňuje, že je třeba pokračovat v úsilí o lepší přístupnost portálu, včetně jeho zpřístupnění uživatelům znakového jazyka, jak se požaduje v petici č. 1056/2016, a osobám se zdravotním postižením; konstatuje, že internetový portál pro předkládání petic je jednou z nejnavštěvovanějších internetových stránek Parlamentu, a tudíž mnoha občanům EU slouží jako první místo kontaktu s Parlamentem;</w:t>
      </w:r>
    </w:p>
    <w:p w14:paraId="10B2CD24" w14:textId="77777777" w:rsidR="00352CD0" w:rsidRPr="003747CC" w:rsidRDefault="00352CD0" w:rsidP="00352CD0">
      <w:pPr>
        <w:pStyle w:val="NormalHanging12a"/>
      </w:pPr>
      <w:r w:rsidRPr="003747CC">
        <w:t>24.</w:t>
      </w:r>
      <w:r w:rsidRPr="003747CC">
        <w:tab/>
        <w:t>pověřuje svou předsedkyni, aby předala toto usnesení a zprávu Petičního výboru Radě, Komisi, evropské veřejné ochránkyni práv, vládám a parlamentům členských států a jejich petičním výborům a veřejným ochráncům práv nebo obdobným příslušným orgánům.</w:t>
      </w:r>
    </w:p>
    <w:sectPr w:rsidR="00352CD0" w:rsidRPr="003747CC" w:rsidSect="003747C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5948B4" w14:textId="77777777" w:rsidR="0064245C" w:rsidRPr="003747CC" w:rsidRDefault="0064245C">
      <w:r w:rsidRPr="003747CC">
        <w:separator/>
      </w:r>
    </w:p>
  </w:endnote>
  <w:endnote w:type="continuationSeparator" w:id="0">
    <w:p w14:paraId="3F45B3E5" w14:textId="77777777" w:rsidR="0064245C" w:rsidRPr="003747CC" w:rsidRDefault="0064245C">
      <w:r w:rsidRPr="003747C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EF20B7" w14:textId="77777777" w:rsidR="00064002" w:rsidRPr="003747C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22AD99" w14:textId="77777777" w:rsidR="00064002" w:rsidRPr="003747C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2FAA52" w14:textId="77777777" w:rsidR="00064002" w:rsidRPr="003747C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7CAE6E" w14:textId="77777777" w:rsidR="0064245C" w:rsidRPr="003747CC" w:rsidRDefault="0064245C">
      <w:r w:rsidRPr="003747CC">
        <w:separator/>
      </w:r>
    </w:p>
  </w:footnote>
  <w:footnote w:type="continuationSeparator" w:id="0">
    <w:p w14:paraId="1895971D" w14:textId="77777777" w:rsidR="0064245C" w:rsidRPr="003747CC" w:rsidRDefault="0064245C">
      <w:r w:rsidRPr="003747CC">
        <w:continuationSeparator/>
      </w:r>
    </w:p>
  </w:footnote>
  <w:footnote w:id="1">
    <w:p w14:paraId="705A6A3C" w14:textId="1950B884" w:rsidR="00352CD0" w:rsidRPr="003747CC" w:rsidRDefault="00352CD0" w:rsidP="003747CC">
      <w:pPr>
        <w:pStyle w:val="FootnoteText"/>
        <w:ind w:left="567" w:hanging="567"/>
        <w:rPr>
          <w:sz w:val="24"/>
          <w:lang w:val="cs-CZ"/>
        </w:rPr>
      </w:pPr>
      <w:r w:rsidRPr="003747CC">
        <w:rPr>
          <w:rStyle w:val="FootnoteReference"/>
          <w:sz w:val="24"/>
          <w:lang w:val="cs-CZ"/>
        </w:rPr>
        <w:footnoteRef/>
      </w:r>
      <w:r w:rsidR="003747CC" w:rsidRPr="003747CC">
        <w:rPr>
          <w:sz w:val="24"/>
          <w:lang w:val="cs-CZ"/>
        </w:rPr>
        <w:t xml:space="preserve"> </w:t>
      </w:r>
      <w:r w:rsidR="003747CC" w:rsidRPr="003747CC">
        <w:rPr>
          <w:sz w:val="24"/>
          <w:lang w:val="cs-CZ"/>
        </w:rPr>
        <w:tab/>
      </w:r>
      <w:r w:rsidRPr="003747CC">
        <w:rPr>
          <w:sz w:val="24"/>
          <w:lang w:val="cs-CZ"/>
        </w:rPr>
        <w:t xml:space="preserve">Úř. věst. L 304, 20.11.2010, </w:t>
      </w:r>
      <w:r w:rsidR="00E93569">
        <w:rPr>
          <w:sz w:val="24"/>
          <w:lang w:val="cs-CZ"/>
        </w:rPr>
        <w:t>s</w:t>
      </w:r>
      <w:r w:rsidRPr="003747CC">
        <w:rPr>
          <w:sz w:val="24"/>
          <w:lang w:val="cs-CZ"/>
        </w:rPr>
        <w:t xml:space="preserve">. 47, ELI: </w:t>
      </w:r>
      <w:hyperlink r:id="rId1" w:history="1">
        <w:r w:rsidRPr="003747CC">
          <w:rPr>
            <w:rStyle w:val="Hyperlink"/>
            <w:sz w:val="24"/>
            <w:lang w:val="cs-CZ"/>
          </w:rPr>
          <w:t>http://data.europa.eu/eli/agree_interinstit/2010/1120/oj</w:t>
        </w:r>
      </w:hyperlink>
      <w:r w:rsidRPr="003747CC">
        <w:rPr>
          <w:sz w:val="24"/>
          <w:lang w:val="cs-CZ"/>
        </w:rPr>
        <w:t xml:space="preserve">. </w:t>
      </w:r>
    </w:p>
  </w:footnote>
  <w:footnote w:id="2">
    <w:p w14:paraId="57AA67CC" w14:textId="6884AB74" w:rsidR="00352CD0" w:rsidRPr="003747CC" w:rsidRDefault="00352CD0" w:rsidP="003747CC">
      <w:pPr>
        <w:pStyle w:val="FootnoteText"/>
        <w:ind w:left="567" w:hanging="567"/>
        <w:rPr>
          <w:sz w:val="24"/>
          <w:lang w:val="cs-CZ"/>
        </w:rPr>
      </w:pPr>
      <w:r w:rsidRPr="003747CC">
        <w:rPr>
          <w:rStyle w:val="FootnoteReference"/>
          <w:sz w:val="24"/>
          <w:lang w:val="cs-CZ"/>
        </w:rPr>
        <w:footnoteRef/>
      </w:r>
      <w:r w:rsidR="003747CC" w:rsidRPr="003747CC">
        <w:rPr>
          <w:sz w:val="24"/>
          <w:lang w:val="cs-CZ"/>
        </w:rPr>
        <w:t xml:space="preserve"> </w:t>
      </w:r>
      <w:r w:rsidR="003747CC" w:rsidRPr="003747CC">
        <w:rPr>
          <w:sz w:val="24"/>
          <w:lang w:val="cs-CZ"/>
        </w:rPr>
        <w:tab/>
      </w:r>
      <w:r w:rsidRPr="003747CC">
        <w:rPr>
          <w:sz w:val="24"/>
          <w:lang w:val="cs-CZ"/>
        </w:rPr>
        <w:t xml:space="preserve">Směrnice Evropského parlamentu a Rady (EU) 2024/1785 ze dne 24. dubna 2024, kterou se mění směrnice Evropského parlamentu a Rady 2010/75/EU o průmyslových emisích (integrované prevenci a omezování znečištění) a směrnice Rady 1999/31/ES o skládkách odpadů (Úř. věst. L, 2024/1785, 15.7.2024, ELI:  </w:t>
      </w:r>
      <w:hyperlink r:id="rId2" w:history="1">
        <w:r w:rsidRPr="003747CC">
          <w:rPr>
            <w:rStyle w:val="Hyperlink"/>
            <w:sz w:val="24"/>
            <w:lang w:val="cs-CZ"/>
          </w:rPr>
          <w:t>http://data.europa.eu/eli/dir/2024/1785/oj</w:t>
        </w:r>
      </w:hyperlink>
      <w:r w:rsidRPr="003747CC">
        <w:rPr>
          <w:sz w:val="24"/>
          <w:lang w:val="cs-CZ"/>
        </w:rPr>
        <w:t xml:space="preserve">). </w:t>
      </w:r>
    </w:p>
  </w:footnote>
  <w:footnote w:id="3">
    <w:p w14:paraId="3F5CDB72" w14:textId="09BADC76" w:rsidR="00352CD0" w:rsidRPr="003747CC" w:rsidRDefault="00352CD0" w:rsidP="003747CC">
      <w:pPr>
        <w:pStyle w:val="FootnoteText"/>
        <w:ind w:left="567" w:hanging="567"/>
        <w:rPr>
          <w:sz w:val="24"/>
          <w:lang w:val="cs-CZ"/>
        </w:rPr>
      </w:pPr>
      <w:r w:rsidRPr="003747CC">
        <w:rPr>
          <w:rStyle w:val="FootnoteReference"/>
          <w:sz w:val="24"/>
          <w:lang w:val="cs-CZ"/>
        </w:rPr>
        <w:footnoteRef/>
      </w:r>
      <w:r w:rsidR="003747CC" w:rsidRPr="003747CC">
        <w:rPr>
          <w:sz w:val="24"/>
          <w:lang w:val="cs-CZ"/>
        </w:rPr>
        <w:t xml:space="preserve"> </w:t>
      </w:r>
      <w:r w:rsidR="003747CC" w:rsidRPr="003747CC">
        <w:rPr>
          <w:sz w:val="24"/>
          <w:lang w:val="cs-CZ"/>
        </w:rPr>
        <w:tab/>
      </w:r>
      <w:r w:rsidRPr="003747CC">
        <w:rPr>
          <w:sz w:val="24"/>
          <w:lang w:val="cs-CZ"/>
        </w:rPr>
        <w:t xml:space="preserve">Nařízení Evropského parlamentu a Rady (EU) 2016/679 ze dne 27. dubna 2016 o ochraně fyzických osob v souvislosti se zpracováním osobních údajů a o volném pohybu těchto údajů a o zrušení směrnice 95/46/ES (obecné nařízení o ochraně osobních údajů) (Úř. věst. L 119, 4.5.2016, s. 1, ELI: </w:t>
      </w:r>
      <w:hyperlink r:id="rId3" w:history="1">
        <w:r w:rsidRPr="003747CC">
          <w:rPr>
            <w:rStyle w:val="Hyperlink"/>
            <w:sz w:val="24"/>
            <w:lang w:val="cs-CZ"/>
          </w:rPr>
          <w:t>http://data.europa.eu/eli/reg/2016/679/oj</w:t>
        </w:r>
      </w:hyperlink>
      <w:r w:rsidRPr="003747CC">
        <w:rPr>
          <w:sz w:val="24"/>
          <w:lang w:val="cs-CZ"/>
        </w:rPr>
        <w:t>).</w:t>
      </w:r>
    </w:p>
  </w:footnote>
  <w:footnote w:id="4">
    <w:p w14:paraId="685B7230" w14:textId="35C0C166" w:rsidR="00352CD0" w:rsidRPr="003747CC" w:rsidRDefault="00352CD0" w:rsidP="003747CC">
      <w:pPr>
        <w:pStyle w:val="FootnoteText"/>
        <w:ind w:left="567" w:hanging="567"/>
        <w:rPr>
          <w:sz w:val="24"/>
          <w:lang w:val="cs-CZ"/>
        </w:rPr>
      </w:pPr>
      <w:r w:rsidRPr="003747CC">
        <w:rPr>
          <w:rStyle w:val="FootnoteReference"/>
          <w:sz w:val="24"/>
          <w:lang w:val="cs-CZ"/>
        </w:rPr>
        <w:footnoteRef/>
      </w:r>
      <w:r w:rsidR="003747CC" w:rsidRPr="003747CC">
        <w:rPr>
          <w:sz w:val="24"/>
          <w:lang w:val="cs-CZ"/>
        </w:rPr>
        <w:t xml:space="preserve"> </w:t>
      </w:r>
      <w:r w:rsidR="003747CC" w:rsidRPr="003747CC">
        <w:rPr>
          <w:sz w:val="24"/>
          <w:lang w:val="cs-CZ"/>
        </w:rPr>
        <w:tab/>
      </w:r>
      <w:r w:rsidRPr="003747CC">
        <w:rPr>
          <w:sz w:val="24"/>
          <w:lang w:val="cs-CZ"/>
        </w:rPr>
        <w:t>Směrnice Evropského parlamentu a Rady (EU) 2024/2841 ze dne 23. října 2024, kterou se zavádí evropský průkaz osoby se zdravotním postižením a evropský parkovací průkaz osoby se zdravotním postižením (Úř. věst. L, 2024/2841, 14.11.2024, ELI: </w:t>
      </w:r>
      <w:hyperlink r:id="rId4" w:tgtFrame="_blank" w:tooltip="Umožňuje přístup k tomuto dokumentu prostřednictvím jeho identifikátoru ELI URI." w:history="1">
        <w:r w:rsidRPr="003747CC">
          <w:rPr>
            <w:rStyle w:val="Hyperlink"/>
            <w:sz w:val="24"/>
            <w:lang w:val="cs-CZ"/>
          </w:rPr>
          <w:t>http://data.europa.eu/</w:t>
        </w:r>
        <w:proofErr w:type="spellStart"/>
        <w:r w:rsidRPr="003747CC">
          <w:rPr>
            <w:rStyle w:val="Hyperlink"/>
            <w:sz w:val="24"/>
            <w:lang w:val="cs-CZ"/>
          </w:rPr>
          <w:t>eli</w:t>
        </w:r>
        <w:proofErr w:type="spellEnd"/>
        <w:r w:rsidRPr="003747CC">
          <w:rPr>
            <w:rStyle w:val="Hyperlink"/>
            <w:sz w:val="24"/>
            <w:lang w:val="cs-CZ"/>
          </w:rPr>
          <w:t>/</w:t>
        </w:r>
        <w:proofErr w:type="spellStart"/>
        <w:r w:rsidRPr="003747CC">
          <w:rPr>
            <w:rStyle w:val="Hyperlink"/>
            <w:sz w:val="24"/>
            <w:lang w:val="cs-CZ"/>
          </w:rPr>
          <w:t>dir</w:t>
        </w:r>
        <w:proofErr w:type="spellEnd"/>
        <w:r w:rsidRPr="003747CC">
          <w:rPr>
            <w:rStyle w:val="Hyperlink"/>
            <w:sz w:val="24"/>
            <w:lang w:val="cs-CZ"/>
          </w:rPr>
          <w:t>/2024/2841/oj</w:t>
        </w:r>
      </w:hyperlink>
      <w:r w:rsidRPr="003747CC">
        <w:rPr>
          <w:sz w:val="24"/>
          <w:lang w:val="cs-CZ"/>
        </w:rPr>
        <w:t>).</w:t>
      </w:r>
    </w:p>
  </w:footnote>
  <w:footnote w:id="5">
    <w:p w14:paraId="17388A1C" w14:textId="361B6510" w:rsidR="00352CD0" w:rsidRPr="00213ACA" w:rsidRDefault="00352CD0" w:rsidP="003747CC">
      <w:pPr>
        <w:pStyle w:val="FootnoteText"/>
        <w:ind w:left="567" w:hanging="567"/>
        <w:rPr>
          <w:sz w:val="24"/>
          <w:lang w:val="fi-FI"/>
        </w:rPr>
      </w:pPr>
      <w:r w:rsidRPr="003747CC">
        <w:rPr>
          <w:rStyle w:val="FootnoteReference"/>
          <w:sz w:val="24"/>
          <w:lang w:val="cs-CZ"/>
        </w:rPr>
        <w:footnoteRef/>
      </w:r>
      <w:r w:rsidR="003747CC" w:rsidRPr="003747CC">
        <w:rPr>
          <w:sz w:val="24"/>
          <w:lang w:val="cs-CZ"/>
        </w:rPr>
        <w:t xml:space="preserve"> </w:t>
      </w:r>
      <w:r w:rsidR="003747CC" w:rsidRPr="003747CC">
        <w:rPr>
          <w:sz w:val="24"/>
          <w:lang w:val="cs-CZ"/>
        </w:rPr>
        <w:tab/>
      </w:r>
      <w:r w:rsidRPr="003747CC">
        <w:rPr>
          <w:sz w:val="24"/>
          <w:lang w:val="cs-CZ"/>
        </w:rPr>
        <w:t xml:space="preserve">Úř. věst. C, C/2025/1278, 13.3.2025, ELI: </w:t>
      </w:r>
      <w:hyperlink r:id="rId5" w:history="1">
        <w:r w:rsidR="00213ACA" w:rsidRPr="00213ACA">
          <w:rPr>
            <w:rStyle w:val="Hyperlink"/>
            <w:sz w:val="24"/>
            <w:lang w:val="fi-FI"/>
          </w:rPr>
          <w:t>http://data.europa.eu/eli/C/2025/1278/oj</w:t>
        </w:r>
      </w:hyperlink>
      <w:r w:rsidR="00213ACA" w:rsidRPr="00213ACA">
        <w:rPr>
          <w:rStyle w:val="Hyperlink"/>
          <w:sz w:val="24"/>
          <w:lang w:val="fi-F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EEF487" w14:textId="77777777" w:rsidR="00064002" w:rsidRPr="003747C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850C6F" w14:textId="77777777" w:rsidR="00064002" w:rsidRPr="003747C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118474" w14:textId="77777777" w:rsidR="00064002" w:rsidRPr="003747C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834368546">
    <w:abstractNumId w:val="9"/>
  </w:num>
  <w:num w:numId="2" w16cid:durableId="494883057">
    <w:abstractNumId w:val="9"/>
  </w:num>
  <w:num w:numId="3" w16cid:durableId="1553418817">
    <w:abstractNumId w:val="7"/>
  </w:num>
  <w:num w:numId="4" w16cid:durableId="1594779580">
    <w:abstractNumId w:val="7"/>
  </w:num>
  <w:num w:numId="5" w16cid:durableId="1331568643">
    <w:abstractNumId w:val="6"/>
  </w:num>
  <w:num w:numId="6" w16cid:durableId="34745549">
    <w:abstractNumId w:val="6"/>
  </w:num>
  <w:num w:numId="7" w16cid:durableId="873539394">
    <w:abstractNumId w:val="5"/>
  </w:num>
  <w:num w:numId="8" w16cid:durableId="755634860">
    <w:abstractNumId w:val="5"/>
  </w:num>
  <w:num w:numId="9" w16cid:durableId="896473845">
    <w:abstractNumId w:val="4"/>
  </w:num>
  <w:num w:numId="10" w16cid:durableId="854611220">
    <w:abstractNumId w:val="4"/>
  </w:num>
  <w:num w:numId="11" w16cid:durableId="468282023">
    <w:abstractNumId w:val="8"/>
  </w:num>
  <w:num w:numId="12" w16cid:durableId="16736883">
    <w:abstractNumId w:val="8"/>
  </w:num>
  <w:num w:numId="13" w16cid:durableId="223028191">
    <w:abstractNumId w:val="3"/>
  </w:num>
  <w:num w:numId="14" w16cid:durableId="711808742">
    <w:abstractNumId w:val="3"/>
  </w:num>
  <w:num w:numId="15" w16cid:durableId="552472262">
    <w:abstractNumId w:val="2"/>
  </w:num>
  <w:num w:numId="16" w16cid:durableId="345326687">
    <w:abstractNumId w:val="2"/>
  </w:num>
  <w:num w:numId="17" w16cid:durableId="1021198317">
    <w:abstractNumId w:val="1"/>
  </w:num>
  <w:num w:numId="18" w16cid:durableId="939531489">
    <w:abstractNumId w:val="1"/>
  </w:num>
  <w:num w:numId="19" w16cid:durableId="1246526915">
    <w:abstractNumId w:val="0"/>
  </w:num>
  <w:num w:numId="20" w16cid:durableId="1560749544">
    <w:abstractNumId w:val="0"/>
  </w:num>
  <w:num w:numId="21" w16cid:durableId="656147657">
    <w:abstractNumId w:val="9"/>
  </w:num>
  <w:num w:numId="22" w16cid:durableId="311954441">
    <w:abstractNumId w:val="7"/>
  </w:num>
  <w:num w:numId="23" w16cid:durableId="1113669754">
    <w:abstractNumId w:val="6"/>
  </w:num>
  <w:num w:numId="24" w16cid:durableId="1355889197">
    <w:abstractNumId w:val="5"/>
  </w:num>
  <w:num w:numId="25" w16cid:durableId="1570073333">
    <w:abstractNumId w:val="4"/>
  </w:num>
  <w:num w:numId="26" w16cid:durableId="39407977">
    <w:abstractNumId w:val="8"/>
  </w:num>
  <w:num w:numId="27" w16cid:durableId="1304694495">
    <w:abstractNumId w:val="3"/>
  </w:num>
  <w:num w:numId="28" w16cid:durableId="2107993648">
    <w:abstractNumId w:val="2"/>
  </w:num>
  <w:num w:numId="29" w16cid:durableId="1176459189">
    <w:abstractNumId w:val="1"/>
  </w:num>
  <w:num w:numId="30" w16cid:durableId="1256861043">
    <w:abstractNumId w:val="0"/>
  </w:num>
  <w:num w:numId="31" w16cid:durableId="602035303">
    <w:abstractNumId w:val="9"/>
  </w:num>
  <w:num w:numId="32" w16cid:durableId="331761178">
    <w:abstractNumId w:val="7"/>
  </w:num>
  <w:num w:numId="33" w16cid:durableId="819619623">
    <w:abstractNumId w:val="6"/>
  </w:num>
  <w:num w:numId="34" w16cid:durableId="408961978">
    <w:abstractNumId w:val="5"/>
  </w:num>
  <w:num w:numId="35" w16cid:durableId="1332106425">
    <w:abstractNumId w:val="4"/>
  </w:num>
  <w:num w:numId="36" w16cid:durableId="1811825882">
    <w:abstractNumId w:val="8"/>
  </w:num>
  <w:num w:numId="37" w16cid:durableId="1617326064">
    <w:abstractNumId w:val="3"/>
  </w:num>
  <w:num w:numId="38" w16cid:durableId="391198537">
    <w:abstractNumId w:val="2"/>
  </w:num>
  <w:num w:numId="39" w16cid:durableId="303312300">
    <w:abstractNumId w:val="1"/>
  </w:num>
  <w:num w:numId="40" w16cid:durableId="763114827">
    <w:abstractNumId w:val="0"/>
  </w:num>
  <w:num w:numId="41" w16cid:durableId="251856731">
    <w:abstractNumId w:val="10"/>
  </w:num>
  <w:num w:numId="42" w16cid:durableId="1707832095">
    <w:abstractNumId w:val="10"/>
  </w:num>
  <w:num w:numId="43" w16cid:durableId="1599019567">
    <w:abstractNumId w:val="10"/>
  </w:num>
  <w:num w:numId="44" w16cid:durableId="207955172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70/2025"/>
    <w:docVar w:name="dvlangue" w:val="CS"/>
    <w:docVar w:name="dvnumam" w:val="0"/>
    <w:docVar w:name="dvpe" w:val="773.363"/>
    <w:docVar w:name="dvrapporteur" w:val="Zpravodaj: "/>
    <w:docVar w:name="dvtitre" w:val="Usnesení Evropského parlamentu ze dne.... 2025 o výsledcích jednání Petičního výboru v průběhu roku 2024(2025/2114(INI))"/>
  </w:docVars>
  <w:rsids>
    <w:rsidRoot w:val="0064245C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13ACA"/>
    <w:rsid w:val="002767FF"/>
    <w:rsid w:val="002953F5"/>
    <w:rsid w:val="002B18FE"/>
    <w:rsid w:val="002B5493"/>
    <w:rsid w:val="00343214"/>
    <w:rsid w:val="00352CD0"/>
    <w:rsid w:val="00361C00"/>
    <w:rsid w:val="003747CC"/>
    <w:rsid w:val="00395FA1"/>
    <w:rsid w:val="003E15D4"/>
    <w:rsid w:val="003E6FA5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B0B6F"/>
    <w:rsid w:val="005C2568"/>
    <w:rsid w:val="005F1B17"/>
    <w:rsid w:val="006037C0"/>
    <w:rsid w:val="0064245C"/>
    <w:rsid w:val="006631B6"/>
    <w:rsid w:val="00680577"/>
    <w:rsid w:val="00687C24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66E59"/>
    <w:rsid w:val="00BD48FE"/>
    <w:rsid w:val="00BD7BD8"/>
    <w:rsid w:val="00BE6ADC"/>
    <w:rsid w:val="00C05BFE"/>
    <w:rsid w:val="00C23CD4"/>
    <w:rsid w:val="00C2471F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93569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9D923BE"/>
  <w15:chartTrackingRefBased/>
  <w15:docId w15:val="{AD731E70-ADAB-4D9B-B37F-B43DB57508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352CD0"/>
    <w:pPr>
      <w:spacing w:after="240"/>
      <w:ind w:left="567" w:hanging="567"/>
    </w:pPr>
  </w:style>
  <w:style w:type="paragraph" w:customStyle="1" w:styleId="EPComma">
    <w:name w:val="EPComma"/>
    <w:basedOn w:val="Normal"/>
    <w:uiPriority w:val="99"/>
    <w:rsid w:val="00352CD0"/>
    <w:pPr>
      <w:spacing w:before="480" w:after="240"/>
    </w:pPr>
  </w:style>
  <w:style w:type="character" w:styleId="Hyperlink">
    <w:name w:val="Hyperlink"/>
    <w:basedOn w:val="DefaultParagraphFont"/>
    <w:rsid w:val="00352CD0"/>
    <w:rPr>
      <w:color w:val="0563C1" w:themeColor="hyperlink"/>
      <w:u w:val="single"/>
    </w:rPr>
  </w:style>
  <w:style w:type="character" w:customStyle="1" w:styleId="NormalHanging12aChar">
    <w:name w:val="NormalHanging12a Char"/>
    <w:basedOn w:val="DefaultParagraphFont"/>
    <w:link w:val="NormalHanging12a"/>
    <w:rsid w:val="00352CD0"/>
    <w:rPr>
      <w:sz w:val="24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reg/2016/679/oj" TargetMode="External"/><Relationship Id="rId2" Type="http://schemas.openxmlformats.org/officeDocument/2006/relationships/hyperlink" Target="http://data.europa.eu/eli/dir/2024/1785/oj" TargetMode="External"/><Relationship Id="rId1" Type="http://schemas.openxmlformats.org/officeDocument/2006/relationships/hyperlink" Target="http://data.europa.eu/eli/agree_interinstit/2010/1120/oj" TargetMode="External"/><Relationship Id="rId5" Type="http://schemas.openxmlformats.org/officeDocument/2006/relationships/hyperlink" Target="http://data.europa.eu/eli/C/2025/1278/oj" TargetMode="External"/><Relationship Id="rId4" Type="http://schemas.openxmlformats.org/officeDocument/2006/relationships/hyperlink" Target="http://data.europa.eu/eli/dir/2024/2841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3966</Words>
  <Characters>23051</Characters>
  <Application>Microsoft Office Word</Application>
  <DocSecurity>0</DocSecurity>
  <Lines>192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26964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HILL Romana</dc:creator>
  <cp:keywords/>
  <cp:lastModifiedBy>SOCHOROVA Lenka</cp:lastModifiedBy>
  <cp:revision>2</cp:revision>
  <cp:lastPrinted>2004-11-19T15:42:00Z</cp:lastPrinted>
  <dcterms:created xsi:type="dcterms:W3CDTF">2025-11-05T15:51:00Z</dcterms:created>
  <dcterms:modified xsi:type="dcterms:W3CDTF">2025-11-05T15:51:00Z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A10-0170/2025</vt:lpwstr>
  </property>
  <property fmtid="{D5CDD505-2E9C-101B-9397-08002B2CF9AE}" pid="4" name="&lt;Type&gt;">
    <vt:lpwstr>RR</vt:lpwstr>
  </property>
</Properties>
</file>